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14:paraId="7EF0DB71">
      <w:pPr>
        <w:autoSpaceDE w:val="0"/>
        <w:autoSpaceDN w:val="0"/>
        <w:ind w:firstLine="0" w:firstLineChars="0"/>
        <w:jc w:val="right"/>
        <w:rPr>
          <w:rFonts w:cs="Times New Roman"/>
          <w:b/>
          <w:color w:val="000000" w:themeColor="text1"/>
          <w:sz w:val="28"/>
          <w:szCs w:val="28"/>
          <w14:textFill>
            <w14:solidFill>
              <w14:schemeClr w14:val="tx1"/>
            </w14:solidFill>
          </w14:textFill>
        </w:rPr>
      </w:pPr>
    </w:p>
    <w:p w14:paraId="791F7542">
      <w:pPr>
        <w:ind w:firstLine="0" w:firstLineChars="0"/>
        <w:jc w:val="center"/>
        <w:rPr>
          <w:rFonts w:hint="eastAsia" w:ascii="宋体" w:hAnsi="宋体" w:eastAsia="宋体" w:cs="宋体"/>
          <w:b/>
          <w:bCs/>
          <w:color w:val="000000" w:themeColor="text1"/>
          <w:sz w:val="44"/>
          <w:szCs w:val="44"/>
          <w14:textFill>
            <w14:solidFill>
              <w14:schemeClr w14:val="tx1"/>
            </w14:solidFill>
          </w14:textFill>
        </w:rPr>
      </w:pPr>
      <w:bookmarkStart w:id="0" w:name="_Hlk103785085"/>
      <w:bookmarkEnd w:id="0"/>
      <w:bookmarkStart w:id="1" w:name="_Hlk136418755"/>
      <w:r>
        <w:rPr>
          <w:rFonts w:hint="eastAsia" w:ascii="宋体" w:hAnsi="宋体" w:eastAsia="宋体" w:cs="宋体"/>
          <w:b/>
          <w:bCs/>
          <w:color w:val="000000" w:themeColor="text1"/>
          <w:sz w:val="44"/>
          <w:szCs w:val="44"/>
          <w14:textFill>
            <w14:solidFill>
              <w14:schemeClr w14:val="tx1"/>
            </w14:solidFill>
          </w14:textFill>
        </w:rPr>
        <w:t>高新区兆辉新能源工业园及基础设施配套项目</w:t>
      </w:r>
    </w:p>
    <w:p w14:paraId="46E264E1">
      <w:pPr>
        <w:ind w:firstLine="0" w:firstLineChars="0"/>
        <w:jc w:val="center"/>
        <w:rPr>
          <w:rFonts w:hint="eastAsia" w:ascii="宋体" w:hAnsi="宋体" w:eastAsia="宋体" w:cs="宋体"/>
          <w:b/>
          <w:bCs/>
          <w:color w:val="000000" w:themeColor="text1"/>
          <w:sz w:val="44"/>
          <w:szCs w:val="44"/>
          <w14:textFill>
            <w14:solidFill>
              <w14:schemeClr w14:val="tx1"/>
            </w14:solidFill>
          </w14:textFill>
        </w:rPr>
      </w:pPr>
      <w:r>
        <w:rPr>
          <w:rFonts w:hint="eastAsia" w:ascii="宋体" w:hAnsi="宋体" w:eastAsia="宋体" w:cs="宋体"/>
          <w:b/>
          <w:bCs/>
          <w:color w:val="000000" w:themeColor="text1"/>
          <w:sz w:val="44"/>
          <w:szCs w:val="44"/>
          <w14:textFill>
            <w14:solidFill>
              <w14:schemeClr w14:val="tx1"/>
            </w14:solidFill>
          </w14:textFill>
        </w:rPr>
        <w:t>（二期）</w:t>
      </w:r>
    </w:p>
    <w:bookmarkEnd w:id="1"/>
    <w:p w14:paraId="7644E7F9">
      <w:pPr>
        <w:ind w:firstLine="0" w:firstLineChars="0"/>
        <w:jc w:val="center"/>
        <w:rPr>
          <w:rFonts w:eastAsia="黑体" w:cs="Times New Roman"/>
          <w:b/>
          <w:color w:val="000000" w:themeColor="text1"/>
          <w:sz w:val="72"/>
          <w:szCs w:val="72"/>
          <w14:textFill>
            <w14:solidFill>
              <w14:schemeClr w14:val="tx1"/>
            </w14:solidFill>
          </w14:textFill>
        </w:rPr>
      </w:pPr>
      <w:r>
        <w:rPr>
          <w:rFonts w:hint="eastAsia" w:eastAsia="黑体" w:cs="Times New Roman"/>
          <w:b/>
          <w:color w:val="000000" w:themeColor="text1"/>
          <w:sz w:val="72"/>
          <w:szCs w:val="72"/>
          <w:lang w:eastAsia="zh-CN"/>
          <w14:textFill>
            <w14:solidFill>
              <w14:schemeClr w14:val="tx1"/>
            </w14:solidFill>
          </w14:textFill>
        </w:rPr>
        <w:t>水土保持方案报告表</w:t>
      </w:r>
    </w:p>
    <w:p w14:paraId="4C842C4C">
      <w:pPr>
        <w:ind w:firstLine="0" w:firstLineChars="0"/>
        <w:jc w:val="center"/>
        <w:rPr>
          <w:rFonts w:eastAsia="黑体" w:cs="Times New Roman"/>
          <w:b/>
          <w:color w:val="000000" w:themeColor="text1"/>
          <w:sz w:val="72"/>
          <w:szCs w:val="72"/>
          <w14:textFill>
            <w14:solidFill>
              <w14:schemeClr w14:val="tx1"/>
            </w14:solidFill>
          </w14:textFill>
        </w:rPr>
      </w:pPr>
      <w:r>
        <w:rPr>
          <w:rFonts w:hint="eastAsia" w:eastAsia="黑体" w:cs="Times New Roman"/>
          <w:b/>
          <w:color w:val="000000" w:themeColor="text1"/>
          <w:sz w:val="72"/>
          <w:szCs w:val="72"/>
          <w14:textFill>
            <w14:solidFill>
              <w14:schemeClr w14:val="tx1"/>
            </w14:solidFill>
          </w14:textFill>
        </w:rPr>
        <w:t>（</w:t>
      </w:r>
      <w:r>
        <w:rPr>
          <w:rFonts w:hint="eastAsia" w:eastAsia="黑体" w:cs="Times New Roman"/>
          <w:b/>
          <w:color w:val="000000" w:themeColor="text1"/>
          <w:sz w:val="72"/>
          <w:szCs w:val="72"/>
          <w:lang w:eastAsia="zh-CN"/>
          <w14:textFill>
            <w14:solidFill>
              <w14:schemeClr w14:val="tx1"/>
            </w14:solidFill>
          </w14:textFill>
        </w:rPr>
        <w:t>报批稿</w:t>
      </w:r>
      <w:r>
        <w:rPr>
          <w:rFonts w:hint="eastAsia" w:eastAsia="黑体" w:cs="Times New Roman"/>
          <w:b/>
          <w:color w:val="000000" w:themeColor="text1"/>
          <w:sz w:val="72"/>
          <w:szCs w:val="72"/>
          <w14:textFill>
            <w14:solidFill>
              <w14:schemeClr w14:val="tx1"/>
            </w14:solidFill>
          </w14:textFill>
        </w:rPr>
        <w:t>）</w:t>
      </w:r>
    </w:p>
    <w:p w14:paraId="05A44EBB">
      <w:pPr>
        <w:spacing w:line="480" w:lineRule="auto"/>
        <w:ind w:firstLine="0" w:firstLineChars="0"/>
        <w:jc w:val="center"/>
        <w:rPr>
          <w:rFonts w:hint="eastAsia" w:ascii="宋体" w:hAnsi="宋体" w:eastAsia="宋体" w:cs="Times New Roman"/>
          <w:b/>
          <w:bCs/>
          <w:color w:val="000000" w:themeColor="text1"/>
          <w:sz w:val="32"/>
          <w:szCs w:val="84"/>
          <w14:textFill>
            <w14:solidFill>
              <w14:schemeClr w14:val="tx1"/>
            </w14:solidFill>
          </w14:textFill>
        </w:rPr>
      </w:pPr>
    </w:p>
    <w:p w14:paraId="0B6D1DB9">
      <w:pPr>
        <w:tabs>
          <w:tab w:val="right" w:leader="dot" w:pos="8495"/>
        </w:tabs>
        <w:ind w:firstLine="0" w:firstLineChars="0"/>
        <w:rPr>
          <w:rFonts w:cs="Times New Roman"/>
          <w:color w:val="000000" w:themeColor="text1"/>
          <w14:textFill>
            <w14:solidFill>
              <w14:schemeClr w14:val="tx1"/>
            </w14:solidFill>
          </w14:textFill>
        </w:rPr>
      </w:pPr>
    </w:p>
    <w:p w14:paraId="741A081D">
      <w:pPr>
        <w:tabs>
          <w:tab w:val="right" w:leader="dot" w:pos="8495"/>
        </w:tabs>
        <w:ind w:firstLine="0" w:firstLineChars="0"/>
        <w:rPr>
          <w:rFonts w:cs="Times New Roman"/>
          <w:color w:val="000000" w:themeColor="text1"/>
          <w14:textFill>
            <w14:solidFill>
              <w14:schemeClr w14:val="tx1"/>
            </w14:solidFill>
          </w14:textFill>
        </w:rPr>
      </w:pPr>
    </w:p>
    <w:p w14:paraId="25B62C6F">
      <w:pPr>
        <w:tabs>
          <w:tab w:val="right" w:leader="dot" w:pos="8495"/>
        </w:tabs>
        <w:ind w:firstLine="0" w:firstLineChars="0"/>
        <w:rPr>
          <w:rFonts w:cs="Times New Roman"/>
          <w:color w:val="000000" w:themeColor="text1"/>
          <w14:textFill>
            <w14:solidFill>
              <w14:schemeClr w14:val="tx1"/>
            </w14:solidFill>
          </w14:textFill>
        </w:rPr>
      </w:pPr>
    </w:p>
    <w:p w14:paraId="58D36761">
      <w:pPr>
        <w:tabs>
          <w:tab w:val="right" w:leader="dot" w:pos="8495"/>
        </w:tabs>
        <w:ind w:firstLine="0" w:firstLineChars="0"/>
        <w:rPr>
          <w:rFonts w:cs="Times New Roman"/>
          <w:color w:val="000000" w:themeColor="text1"/>
          <w14:textFill>
            <w14:solidFill>
              <w14:schemeClr w14:val="tx1"/>
            </w14:solidFill>
          </w14:textFill>
        </w:rPr>
      </w:pPr>
    </w:p>
    <w:p w14:paraId="4131D1E6">
      <w:pPr>
        <w:tabs>
          <w:tab w:val="right" w:leader="dot" w:pos="8495"/>
        </w:tabs>
        <w:ind w:firstLine="0" w:firstLineChars="0"/>
        <w:rPr>
          <w:rFonts w:cs="Times New Roman"/>
          <w:color w:val="000000" w:themeColor="text1"/>
          <w14:textFill>
            <w14:solidFill>
              <w14:schemeClr w14:val="tx1"/>
            </w14:solidFill>
          </w14:textFill>
        </w:rPr>
      </w:pPr>
    </w:p>
    <w:p w14:paraId="2F4E4058">
      <w:pPr>
        <w:tabs>
          <w:tab w:val="right" w:leader="dot" w:pos="8495"/>
        </w:tabs>
        <w:ind w:firstLine="0" w:firstLineChars="0"/>
        <w:rPr>
          <w:rFonts w:cs="Times New Roman"/>
          <w:color w:val="000000" w:themeColor="text1"/>
          <w14:textFill>
            <w14:solidFill>
              <w14:schemeClr w14:val="tx1"/>
            </w14:solidFill>
          </w14:textFill>
        </w:rPr>
      </w:pPr>
    </w:p>
    <w:p w14:paraId="68073700">
      <w:pPr>
        <w:tabs>
          <w:tab w:val="right" w:leader="dot" w:pos="8495"/>
        </w:tabs>
        <w:ind w:firstLine="0" w:firstLineChars="0"/>
        <w:rPr>
          <w:rFonts w:cs="Times New Roman"/>
          <w:color w:val="000000" w:themeColor="text1"/>
          <w14:textFill>
            <w14:solidFill>
              <w14:schemeClr w14:val="tx1"/>
            </w14:solidFill>
          </w14:textFill>
        </w:rPr>
      </w:pPr>
    </w:p>
    <w:p w14:paraId="77D5DC54">
      <w:pPr>
        <w:tabs>
          <w:tab w:val="right" w:leader="dot" w:pos="8495"/>
        </w:tabs>
        <w:ind w:firstLine="0" w:firstLineChars="0"/>
        <w:rPr>
          <w:rFonts w:cs="Times New Roman"/>
          <w:color w:val="000000" w:themeColor="text1"/>
          <w14:textFill>
            <w14:solidFill>
              <w14:schemeClr w14:val="tx1"/>
            </w14:solidFill>
          </w14:textFill>
        </w:rPr>
      </w:pPr>
    </w:p>
    <w:p w14:paraId="627280D8">
      <w:pPr>
        <w:tabs>
          <w:tab w:val="right" w:leader="dot" w:pos="8495"/>
        </w:tabs>
        <w:ind w:firstLine="0" w:firstLineChars="0"/>
        <w:rPr>
          <w:rFonts w:cs="Times New Roman"/>
          <w:color w:val="000000" w:themeColor="text1"/>
          <w14:textFill>
            <w14:solidFill>
              <w14:schemeClr w14:val="tx1"/>
            </w14:solidFill>
          </w14:textFill>
        </w:rPr>
      </w:pPr>
    </w:p>
    <w:p w14:paraId="5DC5C1E6">
      <w:pPr>
        <w:tabs>
          <w:tab w:val="right" w:leader="dot" w:pos="8495"/>
        </w:tabs>
        <w:ind w:firstLine="0" w:firstLineChars="0"/>
        <w:rPr>
          <w:rFonts w:cs="Times New Roman"/>
          <w:color w:val="000000" w:themeColor="text1"/>
          <w14:textFill>
            <w14:solidFill>
              <w14:schemeClr w14:val="tx1"/>
            </w14:solidFill>
          </w14:textFill>
        </w:rPr>
      </w:pPr>
    </w:p>
    <w:p w14:paraId="06AC6FD2">
      <w:pPr>
        <w:tabs>
          <w:tab w:val="right" w:leader="dot" w:pos="8495"/>
        </w:tabs>
        <w:ind w:firstLine="0" w:firstLineChars="0"/>
        <w:rPr>
          <w:rFonts w:cs="Times New Roman"/>
          <w:color w:val="000000" w:themeColor="text1"/>
          <w14:textFill>
            <w14:solidFill>
              <w14:schemeClr w14:val="tx1"/>
            </w14:solidFill>
          </w14:textFill>
        </w:rPr>
      </w:pPr>
    </w:p>
    <w:p w14:paraId="204A87E9">
      <w:pPr>
        <w:tabs>
          <w:tab w:val="right" w:leader="dot" w:pos="8495"/>
        </w:tabs>
        <w:ind w:firstLine="0" w:firstLineChars="0"/>
        <w:rPr>
          <w:rFonts w:cs="Times New Roman"/>
          <w:color w:val="000000" w:themeColor="text1"/>
          <w14:textFill>
            <w14:solidFill>
              <w14:schemeClr w14:val="tx1"/>
            </w14:solidFill>
          </w14:textFill>
        </w:rPr>
      </w:pPr>
    </w:p>
    <w:p w14:paraId="664CA718">
      <w:pPr>
        <w:tabs>
          <w:tab w:val="right" w:leader="dot" w:pos="8495"/>
        </w:tabs>
        <w:ind w:firstLine="0" w:firstLineChars="0"/>
        <w:rPr>
          <w:rFonts w:cs="Times New Roman"/>
          <w:color w:val="000000" w:themeColor="text1"/>
          <w14:textFill>
            <w14:solidFill>
              <w14:schemeClr w14:val="tx1"/>
            </w14:solidFill>
          </w14:textFill>
        </w:rPr>
      </w:pPr>
    </w:p>
    <w:tbl>
      <w:tblPr>
        <w:tblStyle w:val="27"/>
        <w:tblW w:w="720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67"/>
        <w:gridCol w:w="5240"/>
      </w:tblGrid>
      <w:tr w14:paraId="394D4B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jc w:val="center"/>
        </w:trPr>
        <w:tc>
          <w:tcPr>
            <w:tcW w:w="1967" w:type="dxa"/>
            <w:vAlign w:val="center"/>
          </w:tcPr>
          <w:p w14:paraId="25B33F6D">
            <w:pPr>
              <w:tabs>
                <w:tab w:val="right" w:leader="dot" w:pos="8495"/>
              </w:tabs>
              <w:ind w:firstLine="0" w:firstLineChars="0"/>
              <w:jc w:val="right"/>
              <w:rPr>
                <w:rFonts w:cs="Times New Roman"/>
                <w:color w:val="000000" w:themeColor="text1"/>
                <w:sz w:val="28"/>
                <w:szCs w:val="28"/>
                <w14:textFill>
                  <w14:solidFill>
                    <w14:schemeClr w14:val="tx1"/>
                  </w14:solidFill>
                </w14:textFill>
              </w:rPr>
            </w:pPr>
            <w:r>
              <w:rPr>
                <w:rFonts w:cs="Times New Roman"/>
                <w:b/>
                <w:color w:val="000000" w:themeColor="text1"/>
                <w:sz w:val="28"/>
                <w:szCs w:val="28"/>
                <w14:textFill>
                  <w14:solidFill>
                    <w14:schemeClr w14:val="tx1"/>
                  </w14:solidFill>
                </w14:textFill>
              </w:rPr>
              <w:t>建设单位：</w:t>
            </w:r>
          </w:p>
        </w:tc>
        <w:tc>
          <w:tcPr>
            <w:tcW w:w="5240" w:type="dxa"/>
            <w:vAlign w:val="center"/>
          </w:tcPr>
          <w:p w14:paraId="68950E2A">
            <w:pPr>
              <w:ind w:firstLine="0" w:firstLineChars="0"/>
              <w:jc w:val="distribute"/>
              <w:rPr>
                <w:rFonts w:cs="Times New Roman"/>
                <w:color w:val="000000" w:themeColor="text1"/>
                <w:sz w:val="28"/>
                <w:szCs w:val="28"/>
                <w14:textFill>
                  <w14:solidFill>
                    <w14:schemeClr w14:val="tx1"/>
                  </w14:solidFill>
                </w14:textFill>
              </w:rPr>
            </w:pPr>
            <w:r>
              <w:rPr>
                <w:rFonts w:hint="eastAsia" w:cs="Times New Roman"/>
                <w:b/>
                <w:color w:val="000000" w:themeColor="text1"/>
                <w:sz w:val="28"/>
                <w:szCs w:val="28"/>
                <w14:textFill>
                  <w14:solidFill>
                    <w14:schemeClr w14:val="tx1"/>
                  </w14:solidFill>
                </w14:textFill>
              </w:rPr>
              <w:t>绵阳兆辉投资有限公司</w:t>
            </w:r>
          </w:p>
        </w:tc>
      </w:tr>
      <w:tr w14:paraId="08A37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jc w:val="center"/>
        </w:trPr>
        <w:tc>
          <w:tcPr>
            <w:tcW w:w="1967" w:type="dxa"/>
            <w:vAlign w:val="center"/>
          </w:tcPr>
          <w:p w14:paraId="655F230B">
            <w:pPr>
              <w:tabs>
                <w:tab w:val="right" w:leader="dot" w:pos="8495"/>
              </w:tabs>
              <w:ind w:firstLine="0" w:firstLineChars="0"/>
              <w:jc w:val="right"/>
              <w:rPr>
                <w:rFonts w:cs="Times New Roman"/>
                <w:color w:val="000000" w:themeColor="text1"/>
                <w:sz w:val="28"/>
                <w:szCs w:val="28"/>
                <w14:textFill>
                  <w14:solidFill>
                    <w14:schemeClr w14:val="tx1"/>
                  </w14:solidFill>
                </w14:textFill>
              </w:rPr>
            </w:pPr>
            <w:r>
              <w:rPr>
                <w:rFonts w:cs="Times New Roman"/>
                <w:b/>
                <w:color w:val="000000" w:themeColor="text1"/>
                <w:sz w:val="28"/>
                <w:szCs w:val="28"/>
                <w14:textFill>
                  <w14:solidFill>
                    <w14:schemeClr w14:val="tx1"/>
                  </w14:solidFill>
                </w14:textFill>
              </w:rPr>
              <w:t>编制单位：</w:t>
            </w:r>
          </w:p>
        </w:tc>
        <w:tc>
          <w:tcPr>
            <w:tcW w:w="5240" w:type="dxa"/>
            <w:vAlign w:val="center"/>
          </w:tcPr>
          <w:p w14:paraId="0DD03C3C">
            <w:pPr>
              <w:ind w:firstLine="0" w:firstLineChars="0"/>
              <w:jc w:val="distribute"/>
              <w:rPr>
                <w:rFonts w:cs="Times New Roman"/>
                <w:color w:val="000000" w:themeColor="text1"/>
                <w:sz w:val="28"/>
                <w:szCs w:val="28"/>
                <w14:textFill>
                  <w14:solidFill>
                    <w14:schemeClr w14:val="tx1"/>
                  </w14:solidFill>
                </w14:textFill>
              </w:rPr>
            </w:pPr>
            <w:r>
              <w:rPr>
                <w:rFonts w:hint="eastAsia" w:cs="Times New Roman"/>
                <w:b/>
                <w:color w:val="000000" w:themeColor="text1"/>
                <w:sz w:val="28"/>
                <w:szCs w:val="28"/>
                <w14:textFill>
                  <w14:solidFill>
                    <w14:schemeClr w14:val="tx1"/>
                  </w14:solidFill>
                </w14:textFill>
              </w:rPr>
              <w:t>四川乾蓉工程项目管理有限公司</w:t>
            </w:r>
          </w:p>
        </w:tc>
      </w:tr>
    </w:tbl>
    <w:p w14:paraId="02436107">
      <w:pPr>
        <w:ind w:right="84" w:rightChars="35" w:firstLine="643"/>
        <w:jc w:val="center"/>
        <w:rPr>
          <w:rFonts w:cs="Times New Roman"/>
          <w:b/>
          <w:bCs/>
          <w:caps/>
          <w:color w:val="000000" w:themeColor="text1"/>
          <w:sz w:val="32"/>
          <w:szCs w:val="28"/>
          <w14:textFill>
            <w14:solidFill>
              <w14:schemeClr w14:val="tx1"/>
            </w14:solidFill>
          </w14:textFill>
        </w:rPr>
      </w:pPr>
    </w:p>
    <w:p w14:paraId="6DEE0C60">
      <w:pPr>
        <w:ind w:right="84" w:rightChars="35" w:firstLine="643"/>
        <w:jc w:val="center"/>
        <w:rPr>
          <w:rFonts w:cs="Times New Roman"/>
          <w:b/>
          <w:bCs/>
          <w:caps/>
          <w:color w:val="000000" w:themeColor="text1"/>
          <w:sz w:val="32"/>
          <w:szCs w:val="28"/>
          <w14:textFill>
            <w14:solidFill>
              <w14:schemeClr w14:val="tx1"/>
            </w14:solidFill>
          </w14:textFill>
        </w:rPr>
      </w:pPr>
      <w:r>
        <w:rPr>
          <w:rFonts w:cs="Times New Roman"/>
          <w:b/>
          <w:bCs/>
          <w:caps/>
          <w:color w:val="000000" w:themeColor="text1"/>
          <w:sz w:val="32"/>
          <w:szCs w:val="28"/>
          <w14:textFill>
            <w14:solidFill>
              <w14:schemeClr w14:val="tx1"/>
            </w14:solidFill>
          </w14:textFill>
        </w:rPr>
        <w:t>20</w:t>
      </w:r>
      <w:r>
        <w:rPr>
          <w:rFonts w:hint="eastAsia" w:cs="Times New Roman"/>
          <w:b/>
          <w:bCs/>
          <w:caps/>
          <w:color w:val="000000" w:themeColor="text1"/>
          <w:sz w:val="32"/>
          <w:szCs w:val="28"/>
          <w14:textFill>
            <w14:solidFill>
              <w14:schemeClr w14:val="tx1"/>
            </w14:solidFill>
          </w14:textFill>
        </w:rPr>
        <w:t>24</w:t>
      </w:r>
      <w:r>
        <w:rPr>
          <w:rFonts w:cs="Times New Roman"/>
          <w:b/>
          <w:bCs/>
          <w:caps/>
          <w:color w:val="000000" w:themeColor="text1"/>
          <w:sz w:val="32"/>
          <w:szCs w:val="28"/>
          <w14:textFill>
            <w14:solidFill>
              <w14:schemeClr w14:val="tx1"/>
            </w14:solidFill>
          </w14:textFill>
        </w:rPr>
        <w:t>年</w:t>
      </w:r>
      <w:r>
        <w:rPr>
          <w:rFonts w:hint="eastAsia" w:cs="Times New Roman"/>
          <w:b/>
          <w:bCs/>
          <w:caps/>
          <w:color w:val="000000" w:themeColor="text1"/>
          <w:sz w:val="32"/>
          <w:szCs w:val="28"/>
          <w14:textFill>
            <w14:solidFill>
              <w14:schemeClr w14:val="tx1"/>
            </w14:solidFill>
          </w14:textFill>
        </w:rPr>
        <w:t>7</w:t>
      </w:r>
      <w:r>
        <w:rPr>
          <w:rFonts w:cs="Times New Roman"/>
          <w:b/>
          <w:bCs/>
          <w:caps/>
          <w:color w:val="000000" w:themeColor="text1"/>
          <w:sz w:val="32"/>
          <w:szCs w:val="28"/>
          <w14:textFill>
            <w14:solidFill>
              <w14:schemeClr w14:val="tx1"/>
            </w14:solidFill>
          </w14:textFill>
        </w:rPr>
        <w:t>月</w:t>
      </w:r>
      <w:r>
        <w:rPr>
          <w:rFonts w:cs="Times New Roman"/>
          <w:b/>
          <w:bCs/>
          <w:caps/>
          <w:color w:val="000000" w:themeColor="text1"/>
          <w:sz w:val="32"/>
          <w:szCs w:val="28"/>
          <w14:textFill>
            <w14:solidFill>
              <w14:schemeClr w14:val="tx1"/>
            </w14:solidFill>
          </w14:textFill>
        </w:rPr>
        <w:br w:type="page"/>
      </w:r>
    </w:p>
    <w:p w14:paraId="605DBFFA">
      <w:pPr>
        <w:autoSpaceDE w:val="0"/>
        <w:autoSpaceDN w:val="0"/>
        <w:ind w:firstLine="0" w:firstLineChars="0"/>
        <w:jc w:val="right"/>
        <w:rPr>
          <w:rFonts w:cs="Times New Roman"/>
          <w:b/>
          <w:color w:val="000000" w:themeColor="text1"/>
          <w:sz w:val="28"/>
          <w:szCs w:val="28"/>
          <w14:textFill>
            <w14:solidFill>
              <w14:schemeClr w14:val="tx1"/>
            </w14:solidFill>
          </w14:textFill>
        </w:rPr>
      </w:pPr>
      <w:bookmarkStart w:id="2" w:name="_Hlk124359076"/>
    </w:p>
    <w:p w14:paraId="079AC964">
      <w:pPr>
        <w:ind w:firstLine="0" w:firstLineChars="0"/>
        <w:jc w:val="center"/>
        <w:rPr>
          <w:rFonts w:hint="eastAsia" w:ascii="宋体" w:hAnsi="宋体" w:eastAsia="宋体" w:cs="宋体"/>
          <w:b/>
          <w:bCs/>
          <w:color w:val="000000" w:themeColor="text1"/>
          <w:sz w:val="44"/>
          <w:szCs w:val="44"/>
          <w14:textFill>
            <w14:solidFill>
              <w14:schemeClr w14:val="tx1"/>
            </w14:solidFill>
          </w14:textFill>
        </w:rPr>
      </w:pPr>
      <w:r>
        <w:rPr>
          <w:rFonts w:hint="eastAsia" w:ascii="宋体" w:hAnsi="宋体" w:eastAsia="宋体" w:cs="宋体"/>
          <w:b/>
          <w:bCs/>
          <w:color w:val="000000" w:themeColor="text1"/>
          <w:sz w:val="44"/>
          <w:szCs w:val="44"/>
          <w14:textFill>
            <w14:solidFill>
              <w14:schemeClr w14:val="tx1"/>
            </w14:solidFill>
          </w14:textFill>
        </w:rPr>
        <w:t>高新区兆辉新能源工业园及基础设施配套项目</w:t>
      </w:r>
    </w:p>
    <w:p w14:paraId="582CC690">
      <w:pPr>
        <w:ind w:firstLine="0" w:firstLineChars="0"/>
        <w:jc w:val="center"/>
        <w:rPr>
          <w:rFonts w:hint="eastAsia" w:ascii="宋体" w:hAnsi="宋体" w:eastAsia="宋体" w:cs="宋体"/>
          <w:b/>
          <w:bCs/>
          <w:color w:val="000000" w:themeColor="text1"/>
          <w:sz w:val="44"/>
          <w:szCs w:val="44"/>
          <w14:textFill>
            <w14:solidFill>
              <w14:schemeClr w14:val="tx1"/>
            </w14:solidFill>
          </w14:textFill>
        </w:rPr>
      </w:pPr>
      <w:r>
        <w:rPr>
          <w:rFonts w:hint="eastAsia" w:ascii="宋体" w:hAnsi="宋体" w:eastAsia="宋体" w:cs="宋体"/>
          <w:b/>
          <w:bCs/>
          <w:color w:val="000000" w:themeColor="text1"/>
          <w:sz w:val="44"/>
          <w:szCs w:val="44"/>
          <w14:textFill>
            <w14:solidFill>
              <w14:schemeClr w14:val="tx1"/>
            </w14:solidFill>
          </w14:textFill>
        </w:rPr>
        <w:t>（二期）</w:t>
      </w:r>
    </w:p>
    <w:p w14:paraId="48CA55DB">
      <w:pPr>
        <w:ind w:firstLine="0" w:firstLineChars="0"/>
        <w:jc w:val="center"/>
        <w:rPr>
          <w:rFonts w:hint="eastAsia" w:eastAsia="黑体" w:cs="Times New Roman"/>
          <w:b/>
          <w:color w:val="000000" w:themeColor="text1"/>
          <w:sz w:val="72"/>
          <w:szCs w:val="72"/>
          <w:lang w:eastAsia="zh-CN"/>
          <w14:textFill>
            <w14:solidFill>
              <w14:schemeClr w14:val="tx1"/>
            </w14:solidFill>
          </w14:textFill>
        </w:rPr>
      </w:pPr>
      <w:r>
        <w:rPr>
          <w:rFonts w:hint="eastAsia" w:eastAsia="黑体" w:cs="Times New Roman"/>
          <w:b/>
          <w:color w:val="000000" w:themeColor="text1"/>
          <w:sz w:val="72"/>
          <w:szCs w:val="72"/>
          <w:lang w:eastAsia="zh-CN"/>
          <w14:textFill>
            <w14:solidFill>
              <w14:schemeClr w14:val="tx1"/>
            </w14:solidFill>
          </w14:textFill>
        </w:rPr>
        <w:t>水土保持方案报告表</w:t>
      </w:r>
    </w:p>
    <w:p w14:paraId="154CA0B5">
      <w:pPr>
        <w:spacing w:line="480" w:lineRule="auto"/>
        <w:ind w:firstLine="0" w:firstLineChars="0"/>
        <w:jc w:val="center"/>
        <w:rPr>
          <w:rFonts w:hint="eastAsia" w:ascii="宋体" w:hAnsi="宋体" w:eastAsia="宋体" w:cs="Times New Roman"/>
          <w:b/>
          <w:bCs/>
          <w:color w:val="000000" w:themeColor="text1"/>
          <w:sz w:val="32"/>
          <w:szCs w:val="84"/>
          <w14:textFill>
            <w14:solidFill>
              <w14:schemeClr w14:val="tx1"/>
            </w14:solidFill>
          </w14:textFill>
        </w:rPr>
      </w:pPr>
    </w:p>
    <w:p w14:paraId="37BDF3AE">
      <w:pPr>
        <w:tabs>
          <w:tab w:val="right" w:leader="dot" w:pos="8495"/>
        </w:tabs>
        <w:ind w:firstLine="0" w:firstLineChars="0"/>
        <w:rPr>
          <w:rFonts w:cs="Times New Roman"/>
          <w:color w:val="000000" w:themeColor="text1"/>
          <w14:textFill>
            <w14:solidFill>
              <w14:schemeClr w14:val="tx1"/>
            </w14:solidFill>
          </w14:textFill>
        </w:rPr>
      </w:pPr>
    </w:p>
    <w:p w14:paraId="0D3A2F55">
      <w:pPr>
        <w:tabs>
          <w:tab w:val="right" w:leader="dot" w:pos="8495"/>
        </w:tabs>
        <w:ind w:firstLine="0" w:firstLineChars="0"/>
        <w:rPr>
          <w:rFonts w:cs="Times New Roman"/>
          <w:color w:val="000000" w:themeColor="text1"/>
          <w14:textFill>
            <w14:solidFill>
              <w14:schemeClr w14:val="tx1"/>
            </w14:solidFill>
          </w14:textFill>
        </w:rPr>
      </w:pPr>
    </w:p>
    <w:p w14:paraId="0C36908C">
      <w:pPr>
        <w:tabs>
          <w:tab w:val="right" w:leader="dot" w:pos="8495"/>
        </w:tabs>
        <w:ind w:firstLine="0" w:firstLineChars="0"/>
        <w:rPr>
          <w:rFonts w:cs="Times New Roman"/>
          <w:color w:val="000000" w:themeColor="text1"/>
          <w14:textFill>
            <w14:solidFill>
              <w14:schemeClr w14:val="tx1"/>
            </w14:solidFill>
          </w14:textFill>
        </w:rPr>
      </w:pPr>
    </w:p>
    <w:p w14:paraId="2453F4F9">
      <w:pPr>
        <w:tabs>
          <w:tab w:val="right" w:leader="dot" w:pos="8495"/>
        </w:tabs>
        <w:ind w:firstLine="0" w:firstLineChars="0"/>
        <w:rPr>
          <w:rFonts w:cs="Times New Roman"/>
          <w:color w:val="000000" w:themeColor="text1"/>
          <w14:textFill>
            <w14:solidFill>
              <w14:schemeClr w14:val="tx1"/>
            </w14:solidFill>
          </w14:textFill>
        </w:rPr>
      </w:pPr>
    </w:p>
    <w:p w14:paraId="43E9AB14">
      <w:pPr>
        <w:tabs>
          <w:tab w:val="right" w:leader="dot" w:pos="8495"/>
        </w:tabs>
        <w:ind w:firstLine="0" w:firstLineChars="0"/>
        <w:rPr>
          <w:rFonts w:cs="Times New Roman"/>
          <w:color w:val="000000" w:themeColor="text1"/>
          <w14:textFill>
            <w14:solidFill>
              <w14:schemeClr w14:val="tx1"/>
            </w14:solidFill>
          </w14:textFill>
        </w:rPr>
      </w:pPr>
    </w:p>
    <w:p w14:paraId="76550810">
      <w:pPr>
        <w:tabs>
          <w:tab w:val="right" w:leader="dot" w:pos="8495"/>
        </w:tabs>
        <w:ind w:firstLine="0" w:firstLineChars="0"/>
        <w:rPr>
          <w:rFonts w:cs="Times New Roman"/>
          <w:color w:val="000000" w:themeColor="text1"/>
          <w14:textFill>
            <w14:solidFill>
              <w14:schemeClr w14:val="tx1"/>
            </w14:solidFill>
          </w14:textFill>
        </w:rPr>
      </w:pPr>
    </w:p>
    <w:p w14:paraId="372339EF">
      <w:pPr>
        <w:tabs>
          <w:tab w:val="right" w:leader="dot" w:pos="8495"/>
        </w:tabs>
        <w:ind w:firstLine="0" w:firstLineChars="0"/>
        <w:rPr>
          <w:rFonts w:cs="Times New Roman"/>
          <w:color w:val="000000" w:themeColor="text1"/>
          <w14:textFill>
            <w14:solidFill>
              <w14:schemeClr w14:val="tx1"/>
            </w14:solidFill>
          </w14:textFill>
        </w:rPr>
      </w:pPr>
    </w:p>
    <w:p w14:paraId="5D7263DC">
      <w:pPr>
        <w:tabs>
          <w:tab w:val="right" w:leader="dot" w:pos="8495"/>
        </w:tabs>
        <w:ind w:firstLine="0" w:firstLineChars="0"/>
        <w:rPr>
          <w:rFonts w:cs="Times New Roman"/>
          <w:color w:val="000000" w:themeColor="text1"/>
          <w14:textFill>
            <w14:solidFill>
              <w14:schemeClr w14:val="tx1"/>
            </w14:solidFill>
          </w14:textFill>
        </w:rPr>
      </w:pPr>
    </w:p>
    <w:p w14:paraId="086DC731">
      <w:pPr>
        <w:tabs>
          <w:tab w:val="right" w:leader="dot" w:pos="8495"/>
        </w:tabs>
        <w:ind w:firstLine="0" w:firstLineChars="0"/>
        <w:rPr>
          <w:rFonts w:cs="Times New Roman"/>
          <w:color w:val="000000" w:themeColor="text1"/>
          <w14:textFill>
            <w14:solidFill>
              <w14:schemeClr w14:val="tx1"/>
            </w14:solidFill>
          </w14:textFill>
        </w:rPr>
      </w:pPr>
    </w:p>
    <w:p w14:paraId="767F5539">
      <w:pPr>
        <w:tabs>
          <w:tab w:val="right" w:leader="dot" w:pos="8495"/>
        </w:tabs>
        <w:ind w:firstLine="0" w:firstLineChars="0"/>
        <w:rPr>
          <w:rFonts w:cs="Times New Roman"/>
          <w:color w:val="000000" w:themeColor="text1"/>
          <w14:textFill>
            <w14:solidFill>
              <w14:schemeClr w14:val="tx1"/>
            </w14:solidFill>
          </w14:textFill>
        </w:rPr>
      </w:pPr>
    </w:p>
    <w:p w14:paraId="0DF57547">
      <w:pPr>
        <w:tabs>
          <w:tab w:val="right" w:leader="dot" w:pos="8495"/>
        </w:tabs>
        <w:ind w:firstLine="0" w:firstLineChars="0"/>
        <w:rPr>
          <w:rFonts w:cs="Times New Roman"/>
          <w:color w:val="000000" w:themeColor="text1"/>
          <w14:textFill>
            <w14:solidFill>
              <w14:schemeClr w14:val="tx1"/>
            </w14:solidFill>
          </w14:textFill>
        </w:rPr>
      </w:pPr>
    </w:p>
    <w:p w14:paraId="1CA0EB27">
      <w:pPr>
        <w:tabs>
          <w:tab w:val="right" w:leader="dot" w:pos="8495"/>
        </w:tabs>
        <w:ind w:firstLine="0" w:firstLineChars="0"/>
        <w:rPr>
          <w:rFonts w:cs="Times New Roman"/>
          <w:color w:val="000000" w:themeColor="text1"/>
          <w14:textFill>
            <w14:solidFill>
              <w14:schemeClr w14:val="tx1"/>
            </w14:solidFill>
          </w14:textFill>
        </w:rPr>
      </w:pPr>
    </w:p>
    <w:p w14:paraId="646A0025">
      <w:pPr>
        <w:tabs>
          <w:tab w:val="right" w:leader="dot" w:pos="8495"/>
        </w:tabs>
        <w:ind w:firstLine="0" w:firstLineChars="0"/>
        <w:rPr>
          <w:rFonts w:cs="Times New Roman"/>
          <w:color w:val="000000" w:themeColor="text1"/>
          <w14:textFill>
            <w14:solidFill>
              <w14:schemeClr w14:val="tx1"/>
            </w14:solidFill>
          </w14:textFill>
        </w:rPr>
      </w:pPr>
    </w:p>
    <w:p w14:paraId="5194887F">
      <w:pPr>
        <w:tabs>
          <w:tab w:val="right" w:leader="dot" w:pos="8495"/>
        </w:tabs>
        <w:ind w:firstLine="0" w:firstLineChars="0"/>
        <w:rPr>
          <w:rFonts w:cs="Times New Roman"/>
          <w:color w:val="000000" w:themeColor="text1"/>
          <w14:textFill>
            <w14:solidFill>
              <w14:schemeClr w14:val="tx1"/>
            </w14:solidFill>
          </w14:textFill>
        </w:rPr>
      </w:pPr>
    </w:p>
    <w:p w14:paraId="4A45500B">
      <w:pPr>
        <w:tabs>
          <w:tab w:val="right" w:leader="dot" w:pos="8495"/>
        </w:tabs>
        <w:ind w:firstLine="0" w:firstLineChars="0"/>
        <w:rPr>
          <w:rFonts w:cs="Times New Roman"/>
          <w:color w:val="000000" w:themeColor="text1"/>
          <w14:textFill>
            <w14:solidFill>
              <w14:schemeClr w14:val="tx1"/>
            </w14:solidFill>
          </w14:textFill>
        </w:rPr>
      </w:pPr>
    </w:p>
    <w:tbl>
      <w:tblPr>
        <w:tblStyle w:val="27"/>
        <w:tblW w:w="720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67"/>
        <w:gridCol w:w="5240"/>
      </w:tblGrid>
      <w:tr w14:paraId="27865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jc w:val="center"/>
        </w:trPr>
        <w:tc>
          <w:tcPr>
            <w:tcW w:w="1967" w:type="dxa"/>
            <w:vAlign w:val="center"/>
          </w:tcPr>
          <w:p w14:paraId="601CA304">
            <w:pPr>
              <w:tabs>
                <w:tab w:val="right" w:leader="dot" w:pos="8495"/>
              </w:tabs>
              <w:ind w:firstLine="0" w:firstLineChars="0"/>
              <w:jc w:val="right"/>
              <w:rPr>
                <w:rFonts w:cs="Times New Roman"/>
                <w:color w:val="000000" w:themeColor="text1"/>
                <w:sz w:val="28"/>
                <w:szCs w:val="28"/>
                <w14:textFill>
                  <w14:solidFill>
                    <w14:schemeClr w14:val="tx1"/>
                  </w14:solidFill>
                </w14:textFill>
              </w:rPr>
            </w:pPr>
            <w:r>
              <w:rPr>
                <w:rFonts w:cs="Times New Roman"/>
                <w:b/>
                <w:color w:val="000000" w:themeColor="text1"/>
                <w:sz w:val="28"/>
                <w:szCs w:val="28"/>
                <w14:textFill>
                  <w14:solidFill>
                    <w14:schemeClr w14:val="tx1"/>
                  </w14:solidFill>
                </w14:textFill>
              </w:rPr>
              <w:t>建设单位：</w:t>
            </w:r>
          </w:p>
        </w:tc>
        <w:tc>
          <w:tcPr>
            <w:tcW w:w="5240" w:type="dxa"/>
            <w:vAlign w:val="center"/>
          </w:tcPr>
          <w:p w14:paraId="45A6B54E">
            <w:pPr>
              <w:ind w:firstLine="0" w:firstLineChars="0"/>
              <w:jc w:val="distribute"/>
              <w:rPr>
                <w:rFonts w:cs="Times New Roman"/>
                <w:color w:val="000000" w:themeColor="text1"/>
                <w:sz w:val="28"/>
                <w:szCs w:val="28"/>
                <w14:textFill>
                  <w14:solidFill>
                    <w14:schemeClr w14:val="tx1"/>
                  </w14:solidFill>
                </w14:textFill>
              </w:rPr>
            </w:pPr>
            <w:r>
              <w:rPr>
                <w:rFonts w:hint="eastAsia" w:cs="Times New Roman"/>
                <w:b/>
                <w:color w:val="000000" w:themeColor="text1"/>
                <w:sz w:val="28"/>
                <w:szCs w:val="28"/>
                <w14:textFill>
                  <w14:solidFill>
                    <w14:schemeClr w14:val="tx1"/>
                  </w14:solidFill>
                </w14:textFill>
              </w:rPr>
              <w:t>绵阳兆辉投资有限公司</w:t>
            </w:r>
          </w:p>
        </w:tc>
      </w:tr>
      <w:tr w14:paraId="51252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jc w:val="center"/>
        </w:trPr>
        <w:tc>
          <w:tcPr>
            <w:tcW w:w="1967" w:type="dxa"/>
            <w:vAlign w:val="center"/>
          </w:tcPr>
          <w:p w14:paraId="68CD6EB0">
            <w:pPr>
              <w:tabs>
                <w:tab w:val="right" w:leader="dot" w:pos="8495"/>
              </w:tabs>
              <w:ind w:firstLine="0" w:firstLineChars="0"/>
              <w:jc w:val="right"/>
              <w:rPr>
                <w:rFonts w:cs="Times New Roman"/>
                <w:color w:val="000000" w:themeColor="text1"/>
                <w:sz w:val="28"/>
                <w:szCs w:val="28"/>
                <w14:textFill>
                  <w14:solidFill>
                    <w14:schemeClr w14:val="tx1"/>
                  </w14:solidFill>
                </w14:textFill>
              </w:rPr>
            </w:pPr>
            <w:r>
              <w:rPr>
                <w:rFonts w:cs="Times New Roman"/>
                <w:b/>
                <w:color w:val="000000" w:themeColor="text1"/>
                <w:sz w:val="28"/>
                <w:szCs w:val="28"/>
                <w14:textFill>
                  <w14:solidFill>
                    <w14:schemeClr w14:val="tx1"/>
                  </w14:solidFill>
                </w14:textFill>
              </w:rPr>
              <w:t>编制单位：</w:t>
            </w:r>
          </w:p>
        </w:tc>
        <w:tc>
          <w:tcPr>
            <w:tcW w:w="5240" w:type="dxa"/>
            <w:vAlign w:val="center"/>
          </w:tcPr>
          <w:p w14:paraId="2C1C34E0">
            <w:pPr>
              <w:ind w:firstLine="0" w:firstLineChars="0"/>
              <w:jc w:val="distribute"/>
              <w:rPr>
                <w:rFonts w:cs="Times New Roman"/>
                <w:color w:val="000000" w:themeColor="text1"/>
                <w:sz w:val="28"/>
                <w:szCs w:val="28"/>
                <w14:textFill>
                  <w14:solidFill>
                    <w14:schemeClr w14:val="tx1"/>
                  </w14:solidFill>
                </w14:textFill>
              </w:rPr>
            </w:pPr>
            <w:r>
              <w:rPr>
                <w:rFonts w:hint="eastAsia" w:cs="Times New Roman"/>
                <w:b/>
                <w:color w:val="000000" w:themeColor="text1"/>
                <w:sz w:val="28"/>
                <w:szCs w:val="28"/>
                <w14:textFill>
                  <w14:solidFill>
                    <w14:schemeClr w14:val="tx1"/>
                  </w14:solidFill>
                </w14:textFill>
              </w:rPr>
              <w:t>四川乾蓉工程项目管理有限公司</w:t>
            </w:r>
          </w:p>
        </w:tc>
      </w:tr>
    </w:tbl>
    <w:p w14:paraId="1A691BB0">
      <w:pPr>
        <w:ind w:right="84" w:rightChars="35" w:firstLine="643"/>
        <w:jc w:val="center"/>
        <w:rPr>
          <w:rFonts w:cs="Times New Roman"/>
          <w:b/>
          <w:bCs/>
          <w:caps/>
          <w:color w:val="000000" w:themeColor="text1"/>
          <w:sz w:val="32"/>
          <w:szCs w:val="28"/>
          <w14:textFill>
            <w14:solidFill>
              <w14:schemeClr w14:val="tx1"/>
            </w14:solidFill>
          </w14:textFill>
        </w:rPr>
      </w:pPr>
    </w:p>
    <w:p w14:paraId="4D57F046">
      <w:pPr>
        <w:ind w:firstLine="0" w:firstLineChars="0"/>
        <w:jc w:val="center"/>
        <w:rPr>
          <w:rFonts w:hint="eastAsia" w:ascii="黑体" w:hAnsi="黑体" w:cs="黑体"/>
          <w:b/>
          <w:bCs/>
          <w:color w:val="000000" w:themeColor="text1"/>
          <w:sz w:val="32"/>
          <w:szCs w:val="32"/>
          <w14:textFill>
            <w14:solidFill>
              <w14:schemeClr w14:val="tx1"/>
            </w14:solidFill>
          </w14:textFill>
        </w:rPr>
      </w:pPr>
      <w:r>
        <w:rPr>
          <w:rFonts w:cs="Times New Roman"/>
          <w:b/>
          <w:bCs/>
          <w:caps/>
          <w:color w:val="000000" w:themeColor="text1"/>
          <w:sz w:val="32"/>
          <w:szCs w:val="28"/>
          <w14:textFill>
            <w14:solidFill>
              <w14:schemeClr w14:val="tx1"/>
            </w14:solidFill>
          </w14:textFill>
        </w:rPr>
        <w:t>20</w:t>
      </w:r>
      <w:r>
        <w:rPr>
          <w:rFonts w:hint="eastAsia" w:cs="Times New Roman"/>
          <w:b/>
          <w:bCs/>
          <w:caps/>
          <w:color w:val="000000" w:themeColor="text1"/>
          <w:sz w:val="32"/>
          <w:szCs w:val="28"/>
          <w14:textFill>
            <w14:solidFill>
              <w14:schemeClr w14:val="tx1"/>
            </w14:solidFill>
          </w14:textFill>
        </w:rPr>
        <w:t>24</w:t>
      </w:r>
      <w:r>
        <w:rPr>
          <w:rFonts w:cs="Times New Roman"/>
          <w:b/>
          <w:bCs/>
          <w:caps/>
          <w:color w:val="000000" w:themeColor="text1"/>
          <w:sz w:val="32"/>
          <w:szCs w:val="28"/>
          <w14:textFill>
            <w14:solidFill>
              <w14:schemeClr w14:val="tx1"/>
            </w14:solidFill>
          </w14:textFill>
        </w:rPr>
        <w:t>年</w:t>
      </w:r>
      <w:r>
        <w:rPr>
          <w:rFonts w:hint="eastAsia" w:cs="Times New Roman"/>
          <w:b/>
          <w:bCs/>
          <w:caps/>
          <w:color w:val="000000" w:themeColor="text1"/>
          <w:sz w:val="32"/>
          <w:szCs w:val="28"/>
          <w14:textFill>
            <w14:solidFill>
              <w14:schemeClr w14:val="tx1"/>
            </w14:solidFill>
          </w14:textFill>
        </w:rPr>
        <w:t>7</w:t>
      </w:r>
      <w:r>
        <w:rPr>
          <w:rFonts w:cs="Times New Roman"/>
          <w:b/>
          <w:bCs/>
          <w:caps/>
          <w:color w:val="000000" w:themeColor="text1"/>
          <w:sz w:val="32"/>
          <w:szCs w:val="28"/>
          <w14:textFill>
            <w14:solidFill>
              <w14:schemeClr w14:val="tx1"/>
            </w14:solidFill>
          </w14:textFill>
        </w:rPr>
        <w:t>月</w:t>
      </w:r>
      <w:r>
        <w:rPr>
          <w:rFonts w:cs="Times New Roman"/>
          <w:b/>
          <w:bCs/>
          <w:caps/>
          <w:color w:val="000000" w:themeColor="text1"/>
          <w:sz w:val="32"/>
          <w:szCs w:val="28"/>
          <w14:textFill>
            <w14:solidFill>
              <w14:schemeClr w14:val="tx1"/>
            </w14:solidFill>
          </w14:textFill>
        </w:rPr>
        <w:br w:type="page"/>
      </w:r>
      <w:bookmarkStart w:id="3" w:name="_Hlk136418829"/>
      <w:r>
        <w:rPr>
          <w:rFonts w:hint="eastAsia" w:ascii="黑体" w:hAnsi="黑体" w:eastAsia="黑体" w:cs="黑体"/>
          <w:b/>
          <w:bCs/>
          <w:color w:val="000000" w:themeColor="text1"/>
          <w:sz w:val="32"/>
          <w:szCs w:val="32"/>
          <w14:textFill>
            <w14:solidFill>
              <w14:schemeClr w14:val="tx1"/>
            </w14:solidFill>
          </w14:textFill>
        </w:rPr>
        <w:t>高新区兆辉新能源工业园及基础设施配套项目（二期）</w:t>
      </w:r>
    </w:p>
    <w:bookmarkEnd w:id="2"/>
    <w:p w14:paraId="41A99641">
      <w:pPr>
        <w:ind w:firstLine="0" w:firstLineChars="0"/>
        <w:jc w:val="center"/>
        <w:rPr>
          <w:rFonts w:hint="eastAsia" w:ascii="黑体" w:hAnsi="黑体" w:eastAsia="黑体" w:cs="黑体"/>
          <w:b/>
          <w:bCs/>
          <w:color w:val="000000" w:themeColor="text1"/>
          <w:sz w:val="32"/>
          <w:szCs w:val="32"/>
          <w:lang w:eastAsia="zh-CN"/>
          <w14:textFill>
            <w14:solidFill>
              <w14:schemeClr w14:val="tx1"/>
            </w14:solidFill>
          </w14:textFill>
        </w:rPr>
      </w:pPr>
      <w:r>
        <w:rPr>
          <w:rFonts w:hint="eastAsia" w:ascii="黑体" w:hAnsi="黑体" w:eastAsia="黑体" w:cs="黑体"/>
          <w:b/>
          <w:bCs/>
          <w:color w:val="000000" w:themeColor="text1"/>
          <w:sz w:val="32"/>
          <w:szCs w:val="32"/>
          <w:lang w:eastAsia="zh-CN"/>
          <w14:textFill>
            <w14:solidFill>
              <w14:schemeClr w14:val="tx1"/>
            </w14:solidFill>
          </w14:textFill>
        </w:rPr>
        <w:t>水土保持方案报告表</w:t>
      </w:r>
    </w:p>
    <w:p w14:paraId="21F619E0">
      <w:pPr>
        <w:ind w:firstLine="0" w:firstLineChars="0"/>
        <w:jc w:val="center"/>
        <w:rPr>
          <w:rFonts w:hint="eastAsia" w:ascii="黑体" w:hAnsi="黑体" w:eastAsia="黑体" w:cs="黑体"/>
          <w:b/>
          <w:color w:val="000000" w:themeColor="text1"/>
          <w:sz w:val="32"/>
          <w:szCs w:val="32"/>
          <w14:textFill>
            <w14:solidFill>
              <w14:schemeClr w14:val="tx1"/>
            </w14:solidFill>
          </w14:textFill>
        </w:rPr>
      </w:pPr>
      <w:r>
        <w:rPr>
          <w:rFonts w:hint="eastAsia" w:ascii="黑体" w:hAnsi="黑体" w:eastAsia="黑体" w:cs="黑体"/>
          <w:b/>
          <w:color w:val="000000" w:themeColor="text1"/>
          <w:sz w:val="32"/>
          <w:szCs w:val="32"/>
          <w14:textFill>
            <w14:solidFill>
              <w14:schemeClr w14:val="tx1"/>
            </w14:solidFill>
          </w14:textFill>
        </w:rPr>
        <w:t>责任页</w:t>
      </w:r>
    </w:p>
    <w:p w14:paraId="794B6D2E">
      <w:pPr>
        <w:ind w:firstLine="0" w:firstLineChars="0"/>
        <w:jc w:val="center"/>
        <w:rPr>
          <w:rFonts w:eastAsia="宋体"/>
          <w:b/>
          <w:color w:val="000000" w:themeColor="text1"/>
          <w:sz w:val="32"/>
          <w:szCs w:val="32"/>
          <w14:textFill>
            <w14:solidFill>
              <w14:schemeClr w14:val="tx1"/>
            </w14:solidFill>
          </w14:textFill>
        </w:rPr>
      </w:pPr>
    </w:p>
    <w:p w14:paraId="21F0C2D5">
      <w:pPr>
        <w:adjustRightInd/>
        <w:snapToGrid/>
        <w:spacing w:line="900" w:lineRule="exact"/>
        <w:ind w:left="1279" w:leftChars="533" w:firstLine="0" w:firstLineChars="0"/>
        <w:rPr>
          <w:rFonts w:ascii="Calibri" w:hAnsi="Calibri" w:eastAsia="宋体" w:cs="Calibri"/>
          <w:b/>
          <w:bCs/>
          <w:color w:val="000000" w:themeColor="text1"/>
          <w:sz w:val="32"/>
          <w:szCs w:val="32"/>
          <w14:textFill>
            <w14:solidFill>
              <w14:schemeClr w14:val="tx1"/>
            </w14:solidFill>
          </w14:textFill>
        </w:rPr>
      </w:pPr>
      <w:r>
        <w:rPr>
          <w:rFonts w:ascii="Calibri" w:hAnsi="Calibri" w:eastAsia="宋体" w:cs="Calibri"/>
          <w:b/>
          <w:bCs/>
          <w:color w:val="000000" w:themeColor="text1"/>
          <w:sz w:val="32"/>
          <w:szCs w:val="32"/>
          <w14:textFill>
            <w14:solidFill>
              <w14:schemeClr w14:val="tx1"/>
            </w14:solidFill>
          </w14:textFill>
        </w:rPr>
        <w:t>批  准：</w:t>
      </w:r>
      <w:r>
        <w:rPr>
          <w:rFonts w:hint="eastAsia" w:ascii="Calibri" w:hAnsi="Calibri" w:eastAsia="宋体" w:cs="Calibri"/>
          <w:b/>
          <w:bCs/>
          <w:color w:val="000000" w:themeColor="text1"/>
          <w:sz w:val="32"/>
          <w:szCs w:val="32"/>
          <w14:textFill>
            <w14:solidFill>
              <w14:schemeClr w14:val="tx1"/>
            </w14:solidFill>
          </w14:textFill>
        </w:rPr>
        <w:t>周若如（总经理）</w:t>
      </w:r>
      <w:r>
        <w:drawing>
          <wp:inline distT="0" distB="0" distL="0" distR="0">
            <wp:extent cx="844550" cy="424180"/>
            <wp:effectExtent l="0" t="0" r="12700" b="13970"/>
            <wp:docPr id="9794962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496207" name="图片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859894" cy="432037"/>
                    </a:xfrm>
                    <a:prstGeom prst="rect">
                      <a:avLst/>
                    </a:prstGeom>
                    <a:noFill/>
                    <a:ln>
                      <a:noFill/>
                    </a:ln>
                  </pic:spPr>
                </pic:pic>
              </a:graphicData>
            </a:graphic>
          </wp:inline>
        </w:drawing>
      </w:r>
    </w:p>
    <w:p w14:paraId="2C6F212C">
      <w:pPr>
        <w:adjustRightInd/>
        <w:snapToGrid/>
        <w:spacing w:line="900" w:lineRule="exact"/>
        <w:ind w:left="1279" w:leftChars="533" w:firstLine="0" w:firstLineChars="0"/>
        <w:rPr>
          <w:rFonts w:ascii="Calibri" w:hAnsi="Calibri" w:eastAsia="宋体" w:cs="Calibri"/>
          <w:b/>
          <w:bCs/>
          <w:color w:val="000000" w:themeColor="text1"/>
          <w:sz w:val="32"/>
          <w:szCs w:val="32"/>
          <w14:textFill>
            <w14:solidFill>
              <w14:schemeClr w14:val="tx1"/>
            </w14:solidFill>
          </w14:textFill>
        </w:rPr>
      </w:pPr>
      <w:r>
        <w:rPr>
          <w:rFonts w:ascii="Calibri" w:hAnsi="Calibri" w:eastAsia="宋体" w:cs="Calibri"/>
          <w:b/>
          <w:bCs/>
          <w:color w:val="000000" w:themeColor="text1"/>
          <w:sz w:val="32"/>
          <w:szCs w:val="32"/>
          <w14:textFill>
            <w14:solidFill>
              <w14:schemeClr w14:val="tx1"/>
            </w14:solidFill>
          </w14:textFill>
        </w:rPr>
        <w:t>审  定：</w:t>
      </w:r>
      <w:r>
        <w:rPr>
          <w:rFonts w:hint="eastAsia" w:ascii="Calibri" w:hAnsi="Calibri" w:eastAsia="宋体" w:cs="Calibri"/>
          <w:b/>
          <w:bCs/>
          <w:color w:val="000000" w:themeColor="text1"/>
          <w:sz w:val="32"/>
          <w:szCs w:val="32"/>
          <w14:textFill>
            <w14:solidFill>
              <w14:schemeClr w14:val="tx1"/>
            </w14:solidFill>
          </w14:textFill>
        </w:rPr>
        <w:t>赵文侠（高级工程师）</w:t>
      </w:r>
      <w:r>
        <w:drawing>
          <wp:inline distT="0" distB="0" distL="0" distR="0">
            <wp:extent cx="1122045" cy="351790"/>
            <wp:effectExtent l="0" t="0" r="1905" b="10160"/>
            <wp:docPr id="9075925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92521"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141645" cy="358351"/>
                    </a:xfrm>
                    <a:prstGeom prst="rect">
                      <a:avLst/>
                    </a:prstGeom>
                    <a:noFill/>
                    <a:ln>
                      <a:noFill/>
                    </a:ln>
                  </pic:spPr>
                </pic:pic>
              </a:graphicData>
            </a:graphic>
          </wp:inline>
        </w:drawing>
      </w:r>
    </w:p>
    <w:p w14:paraId="3E586CE0">
      <w:pPr>
        <w:adjustRightInd/>
        <w:snapToGrid/>
        <w:spacing w:line="900" w:lineRule="exact"/>
        <w:ind w:left="1279" w:leftChars="533" w:firstLine="0" w:firstLineChars="0"/>
        <w:rPr>
          <w:rFonts w:ascii="Calibri" w:hAnsi="Calibri" w:eastAsia="宋体" w:cs="Calibri"/>
          <w:b/>
          <w:bCs/>
          <w:color w:val="000000" w:themeColor="text1"/>
          <w:sz w:val="32"/>
          <w:szCs w:val="32"/>
          <w14:textFill>
            <w14:solidFill>
              <w14:schemeClr w14:val="tx1"/>
            </w14:solidFill>
          </w14:textFill>
        </w:rPr>
      </w:pPr>
      <w:r>
        <w:rPr>
          <w:rFonts w:ascii="Calibri" w:hAnsi="Calibri" w:eastAsia="宋体" w:cs="Calibri"/>
          <w:b/>
          <w:bCs/>
          <w:color w:val="000000" w:themeColor="text1"/>
          <w:sz w:val="32"/>
          <w:szCs w:val="32"/>
          <w14:textFill>
            <w14:solidFill>
              <w14:schemeClr w14:val="tx1"/>
            </w14:solidFill>
          </w14:textFill>
        </w:rPr>
        <w:t>审  查：</w:t>
      </w:r>
      <w:r>
        <w:rPr>
          <w:rFonts w:hint="eastAsia" w:ascii="Calibri" w:hAnsi="Calibri" w:eastAsia="宋体" w:cs="Calibri"/>
          <w:b/>
          <w:bCs/>
          <w:color w:val="000000" w:themeColor="text1"/>
          <w:sz w:val="32"/>
          <w:szCs w:val="32"/>
          <w14:textFill>
            <w14:solidFill>
              <w14:schemeClr w14:val="tx1"/>
            </w14:solidFill>
          </w14:textFill>
        </w:rPr>
        <w:t>徐岩（工程师）</w:t>
      </w:r>
      <w:r>
        <w:drawing>
          <wp:inline distT="0" distB="0" distL="0" distR="0">
            <wp:extent cx="1191260" cy="373380"/>
            <wp:effectExtent l="0" t="0" r="0" b="7620"/>
            <wp:docPr id="18163997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99791" name="图片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200685" cy="376292"/>
                    </a:xfrm>
                    <a:prstGeom prst="rect">
                      <a:avLst/>
                    </a:prstGeom>
                    <a:noFill/>
                    <a:ln>
                      <a:noFill/>
                    </a:ln>
                  </pic:spPr>
                </pic:pic>
              </a:graphicData>
            </a:graphic>
          </wp:inline>
        </w:drawing>
      </w:r>
    </w:p>
    <w:p w14:paraId="6155A9AF">
      <w:pPr>
        <w:adjustRightInd/>
        <w:snapToGrid/>
        <w:spacing w:line="900" w:lineRule="exact"/>
        <w:ind w:left="1279" w:leftChars="533" w:firstLine="0" w:firstLineChars="0"/>
        <w:rPr>
          <w:rFonts w:ascii="Calibri" w:hAnsi="Calibri" w:eastAsia="宋体" w:cs="Calibri"/>
          <w:b/>
          <w:bCs/>
          <w:color w:val="000000" w:themeColor="text1"/>
          <w:sz w:val="32"/>
          <w:szCs w:val="32"/>
          <w14:textFill>
            <w14:solidFill>
              <w14:schemeClr w14:val="tx1"/>
            </w14:solidFill>
          </w14:textFill>
        </w:rPr>
      </w:pPr>
      <w:r>
        <w:drawing>
          <wp:anchor distT="0" distB="0" distL="0" distR="0" simplePos="0" relativeHeight="251691008" behindDoc="1" locked="0" layoutInCell="1" allowOverlap="1">
            <wp:simplePos x="0" y="0"/>
            <wp:positionH relativeFrom="column">
              <wp:posOffset>3290570</wp:posOffset>
            </wp:positionH>
            <wp:positionV relativeFrom="paragraph">
              <wp:posOffset>73025</wp:posOffset>
            </wp:positionV>
            <wp:extent cx="963930" cy="484505"/>
            <wp:effectExtent l="0" t="0" r="0" b="10795"/>
            <wp:wrapNone/>
            <wp:docPr id="12537897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89731" name="图片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976284" cy="491078"/>
                    </a:xfrm>
                    <a:prstGeom prst="rect">
                      <a:avLst/>
                    </a:prstGeom>
                    <a:noFill/>
                    <a:ln>
                      <a:noFill/>
                    </a:ln>
                  </pic:spPr>
                </pic:pic>
              </a:graphicData>
            </a:graphic>
          </wp:anchor>
        </w:drawing>
      </w:r>
      <w:r>
        <w:rPr>
          <w:rFonts w:ascii="Calibri" w:hAnsi="Calibri" w:eastAsia="宋体" w:cs="Calibri"/>
          <w:b/>
          <w:bCs/>
          <w:color w:val="000000" w:themeColor="text1"/>
          <w:sz w:val="32"/>
          <w:szCs w:val="32"/>
          <w14:textFill>
            <w14:solidFill>
              <w14:schemeClr w14:val="tx1"/>
            </w14:solidFill>
          </w14:textFill>
        </w:rPr>
        <w:t>校  核：</w:t>
      </w:r>
      <w:r>
        <w:rPr>
          <w:rFonts w:hint="eastAsia" w:ascii="Calibri" w:hAnsi="Calibri" w:eastAsia="宋体" w:cs="Calibri"/>
          <w:b/>
          <w:bCs/>
          <w:color w:val="000000" w:themeColor="text1"/>
          <w:sz w:val="32"/>
          <w:szCs w:val="32"/>
          <w14:textFill>
            <w14:solidFill>
              <w14:schemeClr w14:val="tx1"/>
            </w14:solidFill>
          </w14:textFill>
        </w:rPr>
        <w:t>吴厘章（工程师）</w:t>
      </w:r>
    </w:p>
    <w:p w14:paraId="2E5B9663">
      <w:pPr>
        <w:adjustRightInd/>
        <w:snapToGrid/>
        <w:spacing w:line="900" w:lineRule="exact"/>
        <w:ind w:left="1279" w:leftChars="533" w:firstLine="0" w:firstLineChars="0"/>
        <w:rPr>
          <w:rFonts w:ascii="Calibri" w:hAnsi="Calibri" w:eastAsia="宋体" w:cs="Calibri"/>
          <w:b/>
          <w:bCs/>
          <w:color w:val="000000" w:themeColor="text1"/>
          <w:sz w:val="32"/>
          <w:szCs w:val="32"/>
          <w14:textFill>
            <w14:solidFill>
              <w14:schemeClr w14:val="tx1"/>
            </w14:solidFill>
          </w14:textFill>
        </w:rPr>
      </w:pPr>
      <w:r>
        <w:rPr>
          <w:rFonts w:hint="eastAsia" w:ascii="Calibri" w:hAnsi="Calibri" w:eastAsia="宋体" w:cs="Calibri"/>
          <w:b/>
          <w:bCs/>
          <w:color w:val="000000" w:themeColor="text1"/>
          <w:sz w:val="32"/>
          <w:szCs w:val="32"/>
          <w14:textFill>
            <w14:solidFill>
              <w14:schemeClr w14:val="tx1"/>
            </w14:solidFill>
          </w14:textFill>
        </w:rPr>
        <w:t>项目负责人：王会琴（高级工程师）</w:t>
      </w:r>
      <w:r>
        <w:drawing>
          <wp:inline distT="0" distB="0" distL="0" distR="0">
            <wp:extent cx="963930" cy="386715"/>
            <wp:effectExtent l="0" t="0" r="0" b="13335"/>
            <wp:docPr id="1008376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7693" name="图片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973965" cy="390915"/>
                    </a:xfrm>
                    <a:prstGeom prst="rect">
                      <a:avLst/>
                    </a:prstGeom>
                    <a:noFill/>
                    <a:ln>
                      <a:noFill/>
                    </a:ln>
                  </pic:spPr>
                </pic:pic>
              </a:graphicData>
            </a:graphic>
          </wp:inline>
        </w:drawing>
      </w:r>
    </w:p>
    <w:p w14:paraId="0AA51874">
      <w:pPr>
        <w:adjustRightInd/>
        <w:snapToGrid/>
        <w:spacing w:line="900" w:lineRule="exact"/>
        <w:ind w:left="1279" w:leftChars="533" w:firstLine="0" w:firstLineChars="0"/>
        <w:rPr>
          <w:rFonts w:ascii="Calibri" w:hAnsi="Calibri" w:eastAsia="宋体" w:cs="Calibri"/>
          <w:b/>
          <w:bCs/>
          <w:color w:val="000000" w:themeColor="text1"/>
          <w:sz w:val="36"/>
          <w:szCs w:val="36"/>
          <w14:textFill>
            <w14:solidFill>
              <w14:schemeClr w14:val="tx1"/>
            </w14:solidFill>
          </w14:textFill>
        </w:rPr>
      </w:pPr>
      <w:r>
        <w:rPr>
          <w:rFonts w:ascii="Calibri" w:hAnsi="Calibri" w:eastAsia="宋体" w:cs="Calibri"/>
          <w:b/>
          <w:bCs/>
          <w:color w:val="000000" w:themeColor="text1"/>
          <w:sz w:val="36"/>
          <w:szCs w:val="36"/>
          <w14:textFill>
            <w14:solidFill>
              <w14:schemeClr w14:val="tx1"/>
            </w14:solidFill>
          </w14:textFill>
        </w:rPr>
        <w:t>编  写：</w:t>
      </w:r>
    </w:p>
    <w:tbl>
      <w:tblPr>
        <w:tblStyle w:val="26"/>
        <w:tblW w:w="435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30"/>
        <w:gridCol w:w="4000"/>
        <w:gridCol w:w="1560"/>
        <w:gridCol w:w="2093"/>
      </w:tblGrid>
      <w:tr w14:paraId="5C1628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93" w:type="pct"/>
            <w:vAlign w:val="center"/>
          </w:tcPr>
          <w:p w14:paraId="7AA7CE5D">
            <w:pPr>
              <w:adjustRightInd/>
              <w:snapToGrid/>
              <w:spacing w:line="240" w:lineRule="auto"/>
              <w:ind w:firstLine="0" w:firstLineChars="0"/>
              <w:jc w:val="center"/>
              <w:rPr>
                <w:rFonts w:hint="eastAsia" w:cs="宋体" w:asciiTheme="minorEastAsia" w:hAnsiTheme="minorEastAsia" w:eastAsiaTheme="minorEastAsia"/>
                <w:b/>
                <w:color w:val="000000" w:themeColor="text1"/>
                <w14:textFill>
                  <w14:solidFill>
                    <w14:schemeClr w14:val="tx1"/>
                  </w14:solidFill>
                </w14:textFill>
              </w:rPr>
            </w:pPr>
            <w:r>
              <w:rPr>
                <w:rFonts w:hint="eastAsia" w:cs="宋体" w:asciiTheme="minorEastAsia" w:hAnsiTheme="minorEastAsia" w:eastAsiaTheme="minorEastAsia"/>
                <w:b/>
                <w:color w:val="000000" w:themeColor="text1"/>
                <w14:textFill>
                  <w14:solidFill>
                    <w14:schemeClr w14:val="tx1"/>
                  </w14:solidFill>
                </w14:textFill>
              </w:rPr>
              <w:t>姓名</w:t>
            </w:r>
          </w:p>
        </w:tc>
        <w:tc>
          <w:tcPr>
            <w:tcW w:w="2303" w:type="pct"/>
            <w:vAlign w:val="center"/>
          </w:tcPr>
          <w:p w14:paraId="12A4B6C8">
            <w:pPr>
              <w:adjustRightInd/>
              <w:snapToGrid/>
              <w:spacing w:line="240" w:lineRule="auto"/>
              <w:ind w:firstLine="0" w:firstLineChars="0"/>
              <w:jc w:val="center"/>
              <w:rPr>
                <w:rFonts w:hint="eastAsia" w:cs="宋体" w:asciiTheme="minorEastAsia" w:hAnsiTheme="minorEastAsia" w:eastAsiaTheme="minorEastAsia"/>
                <w:b/>
                <w:color w:val="000000" w:themeColor="text1"/>
                <w14:textFill>
                  <w14:solidFill>
                    <w14:schemeClr w14:val="tx1"/>
                  </w14:solidFill>
                </w14:textFill>
              </w:rPr>
            </w:pPr>
            <w:r>
              <w:rPr>
                <w:rFonts w:hint="eastAsia" w:cs="宋体" w:asciiTheme="minorEastAsia" w:hAnsiTheme="minorEastAsia" w:eastAsiaTheme="minorEastAsia"/>
                <w:b/>
                <w:color w:val="000000" w:themeColor="text1"/>
                <w14:textFill>
                  <w14:solidFill>
                    <w14:schemeClr w14:val="tx1"/>
                  </w14:solidFill>
                </w14:textFill>
              </w:rPr>
              <w:t>负责章节</w:t>
            </w:r>
          </w:p>
        </w:tc>
        <w:tc>
          <w:tcPr>
            <w:tcW w:w="898" w:type="pct"/>
            <w:vAlign w:val="center"/>
          </w:tcPr>
          <w:p w14:paraId="5404C6D6">
            <w:pPr>
              <w:adjustRightInd/>
              <w:snapToGrid/>
              <w:spacing w:line="240" w:lineRule="auto"/>
              <w:ind w:firstLine="0" w:firstLineChars="0"/>
              <w:jc w:val="center"/>
              <w:rPr>
                <w:rFonts w:hint="eastAsia" w:cs="宋体" w:asciiTheme="minorEastAsia" w:hAnsiTheme="minorEastAsia" w:eastAsiaTheme="minorEastAsia"/>
                <w:b/>
                <w:color w:val="000000" w:themeColor="text1"/>
                <w14:textFill>
                  <w14:solidFill>
                    <w14:schemeClr w14:val="tx1"/>
                  </w14:solidFill>
                </w14:textFill>
              </w:rPr>
            </w:pPr>
            <w:r>
              <w:rPr>
                <w:rFonts w:hint="eastAsia" w:cs="宋体" w:asciiTheme="minorEastAsia" w:hAnsiTheme="minorEastAsia" w:eastAsiaTheme="minorEastAsia"/>
                <w:b/>
                <w:color w:val="000000" w:themeColor="text1"/>
                <w14:textFill>
                  <w14:solidFill>
                    <w14:schemeClr w14:val="tx1"/>
                  </w14:solidFill>
                </w14:textFill>
              </w:rPr>
              <w:t>职称</w:t>
            </w:r>
          </w:p>
        </w:tc>
        <w:tc>
          <w:tcPr>
            <w:tcW w:w="1205" w:type="pct"/>
            <w:vAlign w:val="center"/>
          </w:tcPr>
          <w:p w14:paraId="564CD1B6">
            <w:pPr>
              <w:adjustRightInd/>
              <w:snapToGrid/>
              <w:spacing w:line="240" w:lineRule="auto"/>
              <w:ind w:firstLine="0" w:firstLineChars="0"/>
              <w:jc w:val="center"/>
              <w:rPr>
                <w:rFonts w:hint="eastAsia" w:cs="宋体" w:asciiTheme="minorEastAsia" w:hAnsiTheme="minorEastAsia" w:eastAsiaTheme="minorEastAsia"/>
                <w:b/>
                <w:color w:val="000000" w:themeColor="text1"/>
                <w14:textFill>
                  <w14:solidFill>
                    <w14:schemeClr w14:val="tx1"/>
                  </w14:solidFill>
                </w14:textFill>
              </w:rPr>
            </w:pPr>
            <w:r>
              <w:rPr>
                <w:rFonts w:hint="eastAsia" w:cs="宋体" w:asciiTheme="minorEastAsia" w:hAnsiTheme="minorEastAsia" w:eastAsiaTheme="minorEastAsia"/>
                <w:b/>
                <w:color w:val="000000" w:themeColor="text1"/>
                <w14:textFill>
                  <w14:solidFill>
                    <w14:schemeClr w14:val="tx1"/>
                  </w14:solidFill>
                </w14:textFill>
              </w:rPr>
              <w:t>签名</w:t>
            </w:r>
          </w:p>
        </w:tc>
      </w:tr>
      <w:tr w14:paraId="550387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93" w:type="pct"/>
            <w:vAlign w:val="center"/>
          </w:tcPr>
          <w:p w14:paraId="5917F557">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赵文侠</w:t>
            </w:r>
          </w:p>
        </w:tc>
        <w:tc>
          <w:tcPr>
            <w:tcW w:w="2303" w:type="pct"/>
            <w:vAlign w:val="center"/>
          </w:tcPr>
          <w:p w14:paraId="072BFE39">
            <w:pPr>
              <w:adjustRightInd/>
              <w:snapToGrid/>
              <w:spacing w:line="240" w:lineRule="auto"/>
              <w:ind w:firstLine="0" w:firstLineChars="0"/>
              <w:jc w:val="left"/>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第1章：综合说明</w:t>
            </w:r>
          </w:p>
        </w:tc>
        <w:tc>
          <w:tcPr>
            <w:tcW w:w="898" w:type="pct"/>
            <w:vAlign w:val="center"/>
          </w:tcPr>
          <w:p w14:paraId="3DC48E99">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高级工程师</w:t>
            </w:r>
          </w:p>
        </w:tc>
        <w:tc>
          <w:tcPr>
            <w:tcW w:w="1205" w:type="pct"/>
            <w:vAlign w:val="center"/>
          </w:tcPr>
          <w:p w14:paraId="389F5EC5">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drawing>
                <wp:anchor distT="0" distB="0" distL="0" distR="0" simplePos="0" relativeHeight="251692032" behindDoc="1" locked="0" layoutInCell="1" allowOverlap="1">
                  <wp:simplePos x="0" y="0"/>
                  <wp:positionH relativeFrom="column">
                    <wp:posOffset>50800</wp:posOffset>
                  </wp:positionH>
                  <wp:positionV relativeFrom="paragraph">
                    <wp:posOffset>195580</wp:posOffset>
                  </wp:positionV>
                  <wp:extent cx="1066800" cy="396240"/>
                  <wp:effectExtent l="0" t="0" r="0" b="3810"/>
                  <wp:wrapNone/>
                  <wp:docPr id="148939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9860" name="图片 1"/>
                          <pic:cNvPicPr>
                            <a:picLocks noChangeAspect="1"/>
                          </pic:cNvPicPr>
                        </pic:nvPicPr>
                        <pic:blipFill>
                          <a:blip r:embed="rId37"/>
                          <a:stretch>
                            <a:fillRect/>
                          </a:stretch>
                        </pic:blipFill>
                        <pic:spPr>
                          <a:xfrm>
                            <a:off x="0" y="0"/>
                            <a:ext cx="1066892" cy="396274"/>
                          </a:xfrm>
                          <a:prstGeom prst="rect">
                            <a:avLst/>
                          </a:prstGeom>
                        </pic:spPr>
                      </pic:pic>
                    </a:graphicData>
                  </a:graphic>
                </wp:anchor>
              </w:drawing>
            </w:r>
            <w:r>
              <w:drawing>
                <wp:anchor distT="0" distB="0" distL="0" distR="0" simplePos="0" relativeHeight="251691008" behindDoc="0" locked="0" layoutInCell="1" allowOverlap="1">
                  <wp:simplePos x="0" y="0"/>
                  <wp:positionH relativeFrom="column">
                    <wp:posOffset>119380</wp:posOffset>
                  </wp:positionH>
                  <wp:positionV relativeFrom="paragraph">
                    <wp:posOffset>-5715</wp:posOffset>
                  </wp:positionV>
                  <wp:extent cx="935990" cy="294005"/>
                  <wp:effectExtent l="0" t="0" r="16510" b="10795"/>
                  <wp:wrapNone/>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935990" cy="294005"/>
                          </a:xfrm>
                          <a:prstGeom prst="rect">
                            <a:avLst/>
                          </a:prstGeom>
                          <a:noFill/>
                          <a:ln>
                            <a:noFill/>
                          </a:ln>
                        </pic:spPr>
                      </pic:pic>
                    </a:graphicData>
                  </a:graphic>
                </wp:anchor>
              </w:drawing>
            </w:r>
          </w:p>
        </w:tc>
      </w:tr>
      <w:tr w14:paraId="6FDC6A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93" w:type="pct"/>
            <w:vAlign w:val="center"/>
          </w:tcPr>
          <w:p w14:paraId="037514B5">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王德宝</w:t>
            </w:r>
          </w:p>
        </w:tc>
        <w:tc>
          <w:tcPr>
            <w:tcW w:w="2303" w:type="pct"/>
            <w:vAlign w:val="center"/>
          </w:tcPr>
          <w:p w14:paraId="3DA8125C">
            <w:pPr>
              <w:adjustRightInd/>
              <w:snapToGrid/>
              <w:spacing w:line="240" w:lineRule="auto"/>
              <w:ind w:firstLine="0" w:firstLineChars="0"/>
              <w:jc w:val="left"/>
              <w:rPr>
                <w:rFonts w:hint="eastAsia" w:cs="宋体" w:asciiTheme="minorEastAsia" w:hAnsiTheme="minorEastAsia" w:eastAsiaTheme="minorEastAsia"/>
                <w:b/>
                <w:bCs/>
                <w:color w:val="000000" w:themeColor="text1"/>
                <w:lang w:val="zh-CN"/>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第</w:t>
            </w:r>
            <w:r>
              <w:rPr>
                <w:rFonts w:cs="宋体" w:asciiTheme="minorEastAsia" w:hAnsiTheme="minorEastAsia" w:eastAsiaTheme="minorEastAsia"/>
                <w:b/>
                <w:bCs/>
                <w:color w:val="000000" w:themeColor="text1"/>
                <w14:textFill>
                  <w14:solidFill>
                    <w14:schemeClr w14:val="tx1"/>
                  </w14:solidFill>
                </w14:textFill>
              </w:rPr>
              <w:t>2</w:t>
            </w:r>
            <w:r>
              <w:rPr>
                <w:rFonts w:hint="eastAsia" w:cs="宋体" w:asciiTheme="minorEastAsia" w:hAnsiTheme="minorEastAsia" w:eastAsiaTheme="minorEastAsia"/>
                <w:b/>
                <w:bCs/>
                <w:color w:val="000000" w:themeColor="text1"/>
                <w14:textFill>
                  <w14:solidFill>
                    <w14:schemeClr w14:val="tx1"/>
                  </w14:solidFill>
                </w14:textFill>
              </w:rPr>
              <w:t>章：</w:t>
            </w:r>
            <w:r>
              <w:rPr>
                <w:rFonts w:cs="宋体" w:asciiTheme="minorEastAsia" w:hAnsiTheme="minorEastAsia" w:eastAsiaTheme="minorEastAsia"/>
                <w:b/>
                <w:bCs/>
                <w:color w:val="000000" w:themeColor="text1"/>
                <w:lang w:val="zh-CN"/>
                <w14:textFill>
                  <w14:solidFill>
                    <w14:schemeClr w14:val="tx1"/>
                  </w14:solidFill>
                </w14:textFill>
              </w:rPr>
              <w:t>项目</w:t>
            </w:r>
            <w:r>
              <w:rPr>
                <w:rFonts w:hint="eastAsia" w:cs="宋体" w:asciiTheme="minorEastAsia" w:hAnsiTheme="minorEastAsia" w:eastAsiaTheme="minorEastAsia"/>
                <w:b/>
                <w:bCs/>
                <w:color w:val="000000" w:themeColor="text1"/>
                <w:lang w:val="zh-CN"/>
                <w14:textFill>
                  <w14:solidFill>
                    <w14:schemeClr w14:val="tx1"/>
                  </w14:solidFill>
                </w14:textFill>
              </w:rPr>
              <w:t>概况</w:t>
            </w:r>
          </w:p>
        </w:tc>
        <w:tc>
          <w:tcPr>
            <w:tcW w:w="898" w:type="pct"/>
            <w:vAlign w:val="center"/>
          </w:tcPr>
          <w:p w14:paraId="73D52C82">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高级工程师</w:t>
            </w:r>
          </w:p>
        </w:tc>
        <w:tc>
          <w:tcPr>
            <w:tcW w:w="1205" w:type="pct"/>
            <w:shd w:val="clear" w:color="auto" w:fill="auto"/>
            <w:vAlign w:val="center"/>
          </w:tcPr>
          <w:p w14:paraId="5419764E">
            <w:pPr>
              <w:adjustRightInd/>
              <w:snapToGrid/>
              <w:spacing w:line="240" w:lineRule="auto"/>
              <w:ind w:firstLine="0" w:firstLineChars="0"/>
              <w:jc w:val="center"/>
              <w:rPr>
                <w:rFonts w:hint="eastAsia" w:cs="宋体" w:asciiTheme="minorEastAsia" w:hAnsiTheme="minorEastAsia" w:eastAsiaTheme="minorEastAsia"/>
                <w:b/>
                <w:bCs/>
                <w:color w:val="000000" w:themeColor="text1"/>
                <w:kern w:val="2"/>
                <w:sz w:val="24"/>
                <w:szCs w:val="24"/>
                <w:lang w:val="en-US" w:eastAsia="zh-CN" w:bidi="ar-SA"/>
                <w14:textFill>
                  <w14:solidFill>
                    <w14:schemeClr w14:val="tx1"/>
                  </w14:solidFill>
                </w14:textFill>
              </w:rPr>
            </w:pPr>
          </w:p>
        </w:tc>
      </w:tr>
      <w:tr w14:paraId="0626D9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93" w:type="pct"/>
            <w:vAlign w:val="center"/>
          </w:tcPr>
          <w:p w14:paraId="75F153E1">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李德兴</w:t>
            </w:r>
          </w:p>
        </w:tc>
        <w:tc>
          <w:tcPr>
            <w:tcW w:w="2303" w:type="pct"/>
            <w:vAlign w:val="center"/>
          </w:tcPr>
          <w:p w14:paraId="462BCDDB">
            <w:pPr>
              <w:adjustRightInd/>
              <w:snapToGrid/>
              <w:spacing w:line="240" w:lineRule="auto"/>
              <w:ind w:firstLine="0" w:firstLineChars="0"/>
              <w:jc w:val="left"/>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第</w:t>
            </w:r>
            <w:r>
              <w:rPr>
                <w:rFonts w:cs="宋体" w:asciiTheme="minorEastAsia" w:hAnsiTheme="minorEastAsia" w:eastAsiaTheme="minorEastAsia"/>
                <w:b/>
                <w:bCs/>
                <w:color w:val="000000" w:themeColor="text1"/>
                <w14:textFill>
                  <w14:solidFill>
                    <w14:schemeClr w14:val="tx1"/>
                  </w14:solidFill>
                </w14:textFill>
              </w:rPr>
              <w:t>3</w:t>
            </w:r>
            <w:r>
              <w:rPr>
                <w:rFonts w:hint="eastAsia" w:cs="宋体" w:asciiTheme="minorEastAsia" w:hAnsiTheme="minorEastAsia" w:eastAsiaTheme="minorEastAsia"/>
                <w:b/>
                <w:bCs/>
                <w:color w:val="000000" w:themeColor="text1"/>
                <w14:textFill>
                  <w14:solidFill>
                    <w14:schemeClr w14:val="tx1"/>
                  </w14:solidFill>
                </w14:textFill>
              </w:rPr>
              <w:t>章：</w:t>
            </w:r>
            <w:r>
              <w:rPr>
                <w:rFonts w:cs="宋体" w:asciiTheme="minorEastAsia" w:hAnsiTheme="minorEastAsia" w:eastAsiaTheme="minorEastAsia"/>
                <w:b/>
                <w:bCs/>
                <w:color w:val="000000" w:themeColor="text1"/>
                <w:lang w:val="zh-CN"/>
                <w14:textFill>
                  <w14:solidFill>
                    <w14:schemeClr w14:val="tx1"/>
                  </w14:solidFill>
                </w14:textFill>
              </w:rPr>
              <w:t>项目</w:t>
            </w:r>
            <w:r>
              <w:rPr>
                <w:rFonts w:hint="eastAsia" w:cs="宋体" w:asciiTheme="minorEastAsia" w:hAnsiTheme="minorEastAsia" w:eastAsiaTheme="minorEastAsia"/>
                <w:b/>
                <w:bCs/>
                <w:color w:val="000000" w:themeColor="text1"/>
                <w:lang w:val="zh-CN"/>
                <w14:textFill>
                  <w14:solidFill>
                    <w14:schemeClr w14:val="tx1"/>
                  </w14:solidFill>
                </w14:textFill>
              </w:rPr>
              <w:t>水土保持评价</w:t>
            </w:r>
          </w:p>
        </w:tc>
        <w:tc>
          <w:tcPr>
            <w:tcW w:w="898" w:type="pct"/>
            <w:vAlign w:val="center"/>
          </w:tcPr>
          <w:p w14:paraId="198532C9">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高级工程师</w:t>
            </w:r>
          </w:p>
        </w:tc>
        <w:tc>
          <w:tcPr>
            <w:tcW w:w="1205" w:type="pct"/>
            <w:shd w:val="clear" w:color="auto" w:fill="auto"/>
            <w:vAlign w:val="center"/>
          </w:tcPr>
          <w:p w14:paraId="25FA15E6">
            <w:pPr>
              <w:adjustRightInd/>
              <w:snapToGrid/>
              <w:spacing w:line="240" w:lineRule="auto"/>
              <w:ind w:firstLine="0" w:firstLineChars="0"/>
              <w:jc w:val="center"/>
              <w:rPr>
                <w:rFonts w:hint="eastAsia" w:cs="宋体" w:asciiTheme="minorEastAsia" w:hAnsiTheme="minorEastAsia" w:eastAsiaTheme="minorEastAsia"/>
                <w:b/>
                <w:bCs/>
                <w:color w:val="000000" w:themeColor="text1"/>
                <w:kern w:val="2"/>
                <w:sz w:val="24"/>
                <w:szCs w:val="24"/>
                <w:lang w:val="en-US" w:eastAsia="zh-CN" w:bidi="ar-SA"/>
                <w14:textFill>
                  <w14:solidFill>
                    <w14:schemeClr w14:val="tx1"/>
                  </w14:solidFill>
                </w14:textFill>
              </w:rPr>
            </w:pPr>
            <w:r>
              <w:drawing>
                <wp:anchor distT="0" distB="0" distL="0" distR="0" simplePos="0" relativeHeight="251692032" behindDoc="1" locked="0" layoutInCell="1" allowOverlap="1">
                  <wp:simplePos x="0" y="0"/>
                  <wp:positionH relativeFrom="column">
                    <wp:posOffset>252730</wp:posOffset>
                  </wp:positionH>
                  <wp:positionV relativeFrom="paragraph">
                    <wp:posOffset>-5080</wp:posOffset>
                  </wp:positionV>
                  <wp:extent cx="633095" cy="321310"/>
                  <wp:effectExtent l="0" t="0" r="14605" b="2540"/>
                  <wp:wrapNone/>
                  <wp:docPr id="196714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14237" name="图片 1"/>
                          <pic:cNvPicPr>
                            <a:picLocks noChangeAspect="1"/>
                          </pic:cNvPicPr>
                        </pic:nvPicPr>
                        <pic:blipFill>
                          <a:blip r:embed="rId38"/>
                          <a:stretch>
                            <a:fillRect/>
                          </a:stretch>
                        </pic:blipFill>
                        <pic:spPr>
                          <a:xfrm>
                            <a:off x="0" y="0"/>
                            <a:ext cx="633095" cy="321310"/>
                          </a:xfrm>
                          <a:prstGeom prst="rect">
                            <a:avLst/>
                          </a:prstGeom>
                        </pic:spPr>
                      </pic:pic>
                    </a:graphicData>
                  </a:graphic>
                </wp:anchor>
              </w:drawing>
            </w:r>
          </w:p>
        </w:tc>
      </w:tr>
      <w:tr w14:paraId="5CD955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93" w:type="pct"/>
            <w:vAlign w:val="center"/>
          </w:tcPr>
          <w:p w14:paraId="1B84C887">
            <w:pPr>
              <w:adjustRightInd/>
              <w:snapToGrid/>
              <w:spacing w:line="240" w:lineRule="auto"/>
              <w:ind w:firstLine="0" w:firstLineChars="0"/>
              <w:jc w:val="center"/>
              <w:rPr>
                <w:rFonts w:hint="eastAsia" w:cs="宋体" w:asciiTheme="minorEastAsia" w:hAnsiTheme="minorEastAsia" w:eastAsiaTheme="minorEastAsia"/>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薛久全</w:t>
            </w:r>
          </w:p>
        </w:tc>
        <w:tc>
          <w:tcPr>
            <w:tcW w:w="2303" w:type="pct"/>
            <w:vAlign w:val="center"/>
          </w:tcPr>
          <w:p w14:paraId="500D96D1">
            <w:pPr>
              <w:adjustRightInd/>
              <w:snapToGrid/>
              <w:spacing w:line="240" w:lineRule="auto"/>
              <w:ind w:firstLine="0" w:firstLineChars="0"/>
              <w:jc w:val="left"/>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第</w:t>
            </w:r>
            <w:r>
              <w:rPr>
                <w:rFonts w:cs="宋体" w:asciiTheme="minorEastAsia" w:hAnsiTheme="minorEastAsia" w:eastAsiaTheme="minorEastAsia"/>
                <w:b/>
                <w:bCs/>
                <w:color w:val="000000" w:themeColor="text1"/>
                <w14:textFill>
                  <w14:solidFill>
                    <w14:schemeClr w14:val="tx1"/>
                  </w14:solidFill>
                </w14:textFill>
              </w:rPr>
              <w:t>4</w:t>
            </w:r>
            <w:r>
              <w:rPr>
                <w:rFonts w:hint="eastAsia" w:cs="宋体" w:asciiTheme="minorEastAsia" w:hAnsiTheme="minorEastAsia" w:eastAsiaTheme="minorEastAsia"/>
                <w:b/>
                <w:bCs/>
                <w:color w:val="000000" w:themeColor="text1"/>
                <w14:textFill>
                  <w14:solidFill>
                    <w14:schemeClr w14:val="tx1"/>
                  </w14:solidFill>
                </w14:textFill>
              </w:rPr>
              <w:t>章：</w:t>
            </w:r>
            <w:r>
              <w:rPr>
                <w:rFonts w:hint="eastAsia" w:cs="宋体" w:asciiTheme="minorEastAsia" w:hAnsiTheme="minorEastAsia" w:eastAsiaTheme="minorEastAsia"/>
                <w:b/>
                <w:bCs/>
                <w:color w:val="000000" w:themeColor="text1"/>
                <w:lang w:val="zh-CN"/>
                <w14:textFill>
                  <w14:solidFill>
                    <w14:schemeClr w14:val="tx1"/>
                  </w14:solidFill>
                </w14:textFill>
              </w:rPr>
              <w:t>水土流失分析与调查预测</w:t>
            </w:r>
          </w:p>
        </w:tc>
        <w:tc>
          <w:tcPr>
            <w:tcW w:w="898" w:type="pct"/>
            <w:vAlign w:val="center"/>
          </w:tcPr>
          <w:p w14:paraId="345FBD79">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工程师</w:t>
            </w:r>
          </w:p>
        </w:tc>
        <w:tc>
          <w:tcPr>
            <w:tcW w:w="1205" w:type="pct"/>
            <w:shd w:val="clear" w:color="auto" w:fill="auto"/>
            <w:vAlign w:val="center"/>
          </w:tcPr>
          <w:p w14:paraId="57F493DC">
            <w:pPr>
              <w:adjustRightInd/>
              <w:snapToGrid/>
              <w:spacing w:line="240" w:lineRule="auto"/>
              <w:ind w:firstLine="0" w:firstLineChars="0"/>
              <w:jc w:val="center"/>
              <w:rPr>
                <w:rFonts w:hint="eastAsia" w:cs="宋体" w:asciiTheme="minorEastAsia" w:hAnsiTheme="minorEastAsia" w:eastAsiaTheme="minorEastAsia"/>
                <w:b/>
                <w:bCs/>
                <w:color w:val="000000" w:themeColor="text1"/>
                <w:kern w:val="2"/>
                <w:sz w:val="24"/>
                <w:szCs w:val="24"/>
                <w:lang w:val="en-US" w:eastAsia="zh-CN" w:bidi="ar-SA"/>
                <w14:textFill>
                  <w14:solidFill>
                    <w14:schemeClr w14:val="tx1"/>
                  </w14:solidFill>
                </w14:textFill>
              </w:rPr>
            </w:pPr>
            <w:r>
              <w:drawing>
                <wp:anchor distT="0" distB="0" distL="0" distR="0" simplePos="0" relativeHeight="251692032" behindDoc="0" locked="0" layoutInCell="1" allowOverlap="1">
                  <wp:simplePos x="0" y="0"/>
                  <wp:positionH relativeFrom="column">
                    <wp:posOffset>243205</wp:posOffset>
                  </wp:positionH>
                  <wp:positionV relativeFrom="paragraph">
                    <wp:posOffset>-4445</wp:posOffset>
                  </wp:positionV>
                  <wp:extent cx="696595" cy="256540"/>
                  <wp:effectExtent l="0" t="0" r="8255" b="10160"/>
                  <wp:wrapNone/>
                  <wp:docPr id="17764331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33155" name="图片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696595" cy="256540"/>
                          </a:xfrm>
                          <a:prstGeom prst="rect">
                            <a:avLst/>
                          </a:prstGeom>
                          <a:noFill/>
                          <a:ln>
                            <a:noFill/>
                          </a:ln>
                        </pic:spPr>
                      </pic:pic>
                    </a:graphicData>
                  </a:graphic>
                </wp:anchor>
              </w:drawing>
            </w:r>
          </w:p>
        </w:tc>
      </w:tr>
      <w:tr w14:paraId="0E473D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93" w:type="pct"/>
            <w:vAlign w:val="center"/>
          </w:tcPr>
          <w:p w14:paraId="189F11C2">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徐岩</w:t>
            </w:r>
          </w:p>
        </w:tc>
        <w:tc>
          <w:tcPr>
            <w:tcW w:w="2303" w:type="pct"/>
            <w:vAlign w:val="center"/>
          </w:tcPr>
          <w:p w14:paraId="297905C3">
            <w:pPr>
              <w:adjustRightInd/>
              <w:snapToGrid/>
              <w:spacing w:line="240" w:lineRule="auto"/>
              <w:ind w:firstLine="0" w:firstLineChars="0"/>
              <w:jc w:val="left"/>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第</w:t>
            </w:r>
            <w:r>
              <w:rPr>
                <w:rFonts w:cs="宋体" w:asciiTheme="minorEastAsia" w:hAnsiTheme="minorEastAsia" w:eastAsiaTheme="minorEastAsia"/>
                <w:b/>
                <w:bCs/>
                <w:color w:val="000000" w:themeColor="text1"/>
                <w14:textFill>
                  <w14:solidFill>
                    <w14:schemeClr w14:val="tx1"/>
                  </w14:solidFill>
                </w14:textFill>
              </w:rPr>
              <w:t>5</w:t>
            </w:r>
            <w:r>
              <w:rPr>
                <w:rFonts w:hint="eastAsia" w:cs="宋体" w:asciiTheme="minorEastAsia" w:hAnsiTheme="minorEastAsia" w:eastAsiaTheme="minorEastAsia"/>
                <w:b/>
                <w:bCs/>
                <w:color w:val="000000" w:themeColor="text1"/>
                <w14:textFill>
                  <w14:solidFill>
                    <w14:schemeClr w14:val="tx1"/>
                  </w14:solidFill>
                </w14:textFill>
              </w:rPr>
              <w:t>章：</w:t>
            </w:r>
            <w:r>
              <w:rPr>
                <w:rFonts w:hint="eastAsia" w:cs="宋体" w:asciiTheme="minorEastAsia" w:hAnsiTheme="minorEastAsia" w:eastAsiaTheme="minorEastAsia"/>
                <w:b/>
                <w:bCs/>
                <w:color w:val="000000" w:themeColor="text1"/>
                <w:lang w:val="zh-CN"/>
                <w14:textFill>
                  <w14:solidFill>
                    <w14:schemeClr w14:val="tx1"/>
                  </w14:solidFill>
                </w14:textFill>
              </w:rPr>
              <w:t>水土保持措施</w:t>
            </w:r>
          </w:p>
        </w:tc>
        <w:tc>
          <w:tcPr>
            <w:tcW w:w="898" w:type="pct"/>
            <w:vAlign w:val="center"/>
          </w:tcPr>
          <w:p w14:paraId="22DECBDB">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工程师</w:t>
            </w:r>
          </w:p>
        </w:tc>
        <w:tc>
          <w:tcPr>
            <w:tcW w:w="1205" w:type="pct"/>
            <w:vAlign w:val="center"/>
          </w:tcPr>
          <w:p w14:paraId="583F4502">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drawing>
                <wp:anchor distT="0" distB="0" distL="0" distR="0" simplePos="0" relativeHeight="251694080" behindDoc="1" locked="0" layoutInCell="1" allowOverlap="1">
                  <wp:simplePos x="0" y="0"/>
                  <wp:positionH relativeFrom="column">
                    <wp:posOffset>217170</wp:posOffset>
                  </wp:positionH>
                  <wp:positionV relativeFrom="paragraph">
                    <wp:posOffset>243840</wp:posOffset>
                  </wp:positionV>
                  <wp:extent cx="802640" cy="330835"/>
                  <wp:effectExtent l="0" t="0" r="16510" b="12065"/>
                  <wp:wrapNone/>
                  <wp:docPr id="1717140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140015" name="图片 1"/>
                          <pic:cNvPicPr>
                            <a:picLocks noChangeAspect="1"/>
                          </pic:cNvPicPr>
                        </pic:nvPicPr>
                        <pic:blipFill>
                          <a:blip r:embed="rId40"/>
                          <a:stretch>
                            <a:fillRect/>
                          </a:stretch>
                        </pic:blipFill>
                        <pic:spPr>
                          <a:xfrm>
                            <a:off x="0" y="0"/>
                            <a:ext cx="802640" cy="330835"/>
                          </a:xfrm>
                          <a:prstGeom prst="rect">
                            <a:avLst/>
                          </a:prstGeom>
                        </pic:spPr>
                      </pic:pic>
                    </a:graphicData>
                  </a:graphic>
                </wp:anchor>
              </w:drawing>
            </w:r>
            <w:r>
              <w:drawing>
                <wp:anchor distT="0" distB="0" distL="0" distR="0" simplePos="0" relativeHeight="251693056" behindDoc="0" locked="0" layoutInCell="1" allowOverlap="1">
                  <wp:simplePos x="0" y="0"/>
                  <wp:positionH relativeFrom="column">
                    <wp:posOffset>151130</wp:posOffset>
                  </wp:positionH>
                  <wp:positionV relativeFrom="paragraph">
                    <wp:posOffset>32385</wp:posOffset>
                  </wp:positionV>
                  <wp:extent cx="866140" cy="271780"/>
                  <wp:effectExtent l="0" t="0" r="0" b="13970"/>
                  <wp:wrapNone/>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866140" cy="271780"/>
                          </a:xfrm>
                          <a:prstGeom prst="rect">
                            <a:avLst/>
                          </a:prstGeom>
                          <a:noFill/>
                          <a:ln>
                            <a:noFill/>
                          </a:ln>
                        </pic:spPr>
                      </pic:pic>
                    </a:graphicData>
                  </a:graphic>
                </wp:anchor>
              </w:drawing>
            </w:r>
          </w:p>
        </w:tc>
      </w:tr>
      <w:tr w14:paraId="7602BF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93" w:type="pct"/>
            <w:tcBorders>
              <w:top w:val="single" w:color="auto" w:sz="4" w:space="0"/>
              <w:bottom w:val="single" w:color="auto" w:sz="4" w:space="0"/>
            </w:tcBorders>
            <w:vAlign w:val="center"/>
          </w:tcPr>
          <w:p w14:paraId="5E05FD84">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宣阳</w:t>
            </w:r>
          </w:p>
        </w:tc>
        <w:tc>
          <w:tcPr>
            <w:tcW w:w="2303" w:type="pct"/>
            <w:vAlign w:val="center"/>
          </w:tcPr>
          <w:p w14:paraId="26DBAA6A">
            <w:pPr>
              <w:adjustRightInd/>
              <w:snapToGrid/>
              <w:spacing w:line="240" w:lineRule="auto"/>
              <w:ind w:firstLine="0" w:firstLineChars="0"/>
              <w:jc w:val="left"/>
              <w:rPr>
                <w:rFonts w:hint="eastAsia" w:cs="宋体" w:asciiTheme="minorEastAsia" w:hAnsiTheme="minorEastAsia" w:eastAsiaTheme="minorEastAsia"/>
                <w:b/>
                <w:bCs/>
                <w:color w:val="000000" w:themeColor="text1"/>
                <w:lang w:val="zh-CN"/>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第</w:t>
            </w:r>
            <w:r>
              <w:rPr>
                <w:rFonts w:cs="宋体" w:asciiTheme="minorEastAsia" w:hAnsiTheme="minorEastAsia" w:eastAsiaTheme="minorEastAsia"/>
                <w:b/>
                <w:bCs/>
                <w:color w:val="000000" w:themeColor="text1"/>
                <w14:textFill>
                  <w14:solidFill>
                    <w14:schemeClr w14:val="tx1"/>
                  </w14:solidFill>
                </w14:textFill>
              </w:rPr>
              <w:t>6</w:t>
            </w:r>
            <w:r>
              <w:rPr>
                <w:rFonts w:hint="eastAsia" w:cs="宋体" w:asciiTheme="minorEastAsia" w:hAnsiTheme="minorEastAsia" w:eastAsiaTheme="minorEastAsia"/>
                <w:b/>
                <w:bCs/>
                <w:color w:val="000000" w:themeColor="text1"/>
                <w14:textFill>
                  <w14:solidFill>
                    <w14:schemeClr w14:val="tx1"/>
                  </w14:solidFill>
                </w14:textFill>
              </w:rPr>
              <w:t>章：</w:t>
            </w:r>
            <w:r>
              <w:rPr>
                <w:rFonts w:hint="eastAsia" w:cs="宋体" w:asciiTheme="minorEastAsia" w:hAnsiTheme="minorEastAsia" w:eastAsiaTheme="minorEastAsia"/>
                <w:b/>
                <w:bCs/>
                <w:color w:val="000000" w:themeColor="text1"/>
                <w:lang w:val="zh-CN"/>
                <w14:textFill>
                  <w14:solidFill>
                    <w14:schemeClr w14:val="tx1"/>
                  </w14:solidFill>
                </w14:textFill>
              </w:rPr>
              <w:t>水土保持监测</w:t>
            </w:r>
          </w:p>
        </w:tc>
        <w:tc>
          <w:tcPr>
            <w:tcW w:w="898" w:type="pct"/>
            <w:vAlign w:val="center"/>
          </w:tcPr>
          <w:p w14:paraId="542568D7">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工程师</w:t>
            </w:r>
          </w:p>
        </w:tc>
        <w:tc>
          <w:tcPr>
            <w:tcW w:w="1205" w:type="pct"/>
            <w:tcBorders>
              <w:top w:val="single" w:color="auto" w:sz="4" w:space="0"/>
              <w:bottom w:val="single" w:color="auto" w:sz="4" w:space="0"/>
            </w:tcBorders>
            <w:vAlign w:val="center"/>
          </w:tcPr>
          <w:p w14:paraId="3A33F31F">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p>
        </w:tc>
      </w:tr>
      <w:tr w14:paraId="1D3A74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93" w:type="pct"/>
            <w:tcBorders>
              <w:top w:val="single" w:color="auto" w:sz="4" w:space="0"/>
              <w:bottom w:val="single" w:color="auto" w:sz="4" w:space="0"/>
            </w:tcBorders>
            <w:vAlign w:val="center"/>
          </w:tcPr>
          <w:p w14:paraId="626B5125">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王会琴</w:t>
            </w:r>
          </w:p>
        </w:tc>
        <w:tc>
          <w:tcPr>
            <w:tcW w:w="2303" w:type="pct"/>
            <w:vAlign w:val="center"/>
          </w:tcPr>
          <w:p w14:paraId="4A14D188">
            <w:pPr>
              <w:adjustRightInd/>
              <w:snapToGrid/>
              <w:spacing w:line="240" w:lineRule="auto"/>
              <w:ind w:firstLine="0" w:firstLineChars="0"/>
              <w:jc w:val="left"/>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第</w:t>
            </w:r>
            <w:r>
              <w:rPr>
                <w:rFonts w:cs="宋体" w:asciiTheme="minorEastAsia" w:hAnsiTheme="minorEastAsia" w:eastAsiaTheme="minorEastAsia"/>
                <w:b/>
                <w:bCs/>
                <w:color w:val="000000" w:themeColor="text1"/>
                <w14:textFill>
                  <w14:solidFill>
                    <w14:schemeClr w14:val="tx1"/>
                  </w14:solidFill>
                </w14:textFill>
              </w:rPr>
              <w:t>7</w:t>
            </w:r>
            <w:r>
              <w:rPr>
                <w:rFonts w:hint="eastAsia" w:cs="宋体" w:asciiTheme="minorEastAsia" w:hAnsiTheme="minorEastAsia" w:eastAsiaTheme="minorEastAsia"/>
                <w:b/>
                <w:bCs/>
                <w:color w:val="000000" w:themeColor="text1"/>
                <w14:textFill>
                  <w14:solidFill>
                    <w14:schemeClr w14:val="tx1"/>
                  </w14:solidFill>
                </w14:textFill>
              </w:rPr>
              <w:t>章：</w:t>
            </w:r>
            <w:r>
              <w:rPr>
                <w:rFonts w:hint="eastAsia" w:cs="宋体" w:asciiTheme="minorEastAsia" w:hAnsiTheme="minorEastAsia" w:eastAsiaTheme="minorEastAsia"/>
                <w:b/>
                <w:bCs/>
                <w:color w:val="000000" w:themeColor="text1"/>
                <w:lang w:val="zh-CN"/>
                <w14:textFill>
                  <w14:solidFill>
                    <w14:schemeClr w14:val="tx1"/>
                  </w14:solidFill>
                </w14:textFill>
              </w:rPr>
              <w:t>水土保持投资估算及效益分析</w:t>
            </w:r>
          </w:p>
        </w:tc>
        <w:tc>
          <w:tcPr>
            <w:tcW w:w="898" w:type="pct"/>
            <w:vAlign w:val="center"/>
          </w:tcPr>
          <w:p w14:paraId="1BB72720">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高级工程师</w:t>
            </w:r>
          </w:p>
        </w:tc>
        <w:tc>
          <w:tcPr>
            <w:tcW w:w="1205" w:type="pct"/>
            <w:tcBorders>
              <w:top w:val="single" w:color="auto" w:sz="4" w:space="0"/>
              <w:bottom w:val="single" w:color="auto" w:sz="4" w:space="0"/>
            </w:tcBorders>
            <w:vAlign w:val="center"/>
          </w:tcPr>
          <w:p w14:paraId="5C64AC7F">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drawing>
                <wp:anchor distT="0" distB="0" distL="0" distR="0" simplePos="0" relativeHeight="251694080" behindDoc="0" locked="0" layoutInCell="1" allowOverlap="1">
                  <wp:simplePos x="0" y="0"/>
                  <wp:positionH relativeFrom="column">
                    <wp:posOffset>254635</wp:posOffset>
                  </wp:positionH>
                  <wp:positionV relativeFrom="paragraph">
                    <wp:posOffset>29845</wp:posOffset>
                  </wp:positionV>
                  <wp:extent cx="718185" cy="288290"/>
                  <wp:effectExtent l="0" t="0" r="0" b="16510"/>
                  <wp:wrapNone/>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718185" cy="288290"/>
                          </a:xfrm>
                          <a:prstGeom prst="rect">
                            <a:avLst/>
                          </a:prstGeom>
                          <a:noFill/>
                          <a:ln>
                            <a:noFill/>
                          </a:ln>
                        </pic:spPr>
                      </pic:pic>
                    </a:graphicData>
                  </a:graphic>
                </wp:anchor>
              </w:drawing>
            </w:r>
          </w:p>
        </w:tc>
      </w:tr>
      <w:tr w14:paraId="75F6C9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593" w:type="pct"/>
            <w:tcBorders>
              <w:top w:val="single" w:color="auto" w:sz="4" w:space="0"/>
            </w:tcBorders>
            <w:vAlign w:val="center"/>
          </w:tcPr>
          <w:p w14:paraId="66A689C9">
            <w:pPr>
              <w:adjustRightInd/>
              <w:snapToGrid/>
              <w:spacing w:line="240" w:lineRule="auto"/>
              <w:ind w:firstLine="0" w:firstLineChars="0"/>
              <w:jc w:val="center"/>
              <w:rPr>
                <w:rFonts w:hint="eastAsia" w:cs="宋体" w:asciiTheme="minorEastAsia" w:hAnsiTheme="minorEastAsia" w:eastAsiaTheme="minorEastAsia"/>
                <w:b/>
                <w:bCs/>
                <w:color w:val="000000" w:themeColor="text1"/>
                <w:lang w:eastAsia="zh-CN"/>
                <w14:textFill>
                  <w14:solidFill>
                    <w14:schemeClr w14:val="tx1"/>
                  </w14:solidFill>
                </w14:textFill>
              </w:rPr>
            </w:pPr>
            <w:r>
              <w:rPr>
                <w:rFonts w:hint="eastAsia" w:cs="宋体" w:asciiTheme="minorEastAsia" w:hAnsiTheme="minorEastAsia" w:eastAsiaTheme="minorEastAsia"/>
                <w:b/>
                <w:bCs/>
                <w:color w:val="000000" w:themeColor="text1"/>
                <w:lang w:eastAsia="zh-CN"/>
                <w14:textFill>
                  <w14:solidFill>
                    <w14:schemeClr w14:val="tx1"/>
                  </w14:solidFill>
                </w14:textFill>
              </w:rPr>
              <w:t>王鹏飞</w:t>
            </w:r>
          </w:p>
        </w:tc>
        <w:tc>
          <w:tcPr>
            <w:tcW w:w="2303" w:type="pct"/>
            <w:vAlign w:val="center"/>
          </w:tcPr>
          <w:p w14:paraId="1E00E499">
            <w:pPr>
              <w:adjustRightInd/>
              <w:snapToGrid/>
              <w:spacing w:line="240" w:lineRule="auto"/>
              <w:ind w:firstLine="0" w:firstLineChars="0"/>
              <w:jc w:val="left"/>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第</w:t>
            </w:r>
            <w:r>
              <w:rPr>
                <w:rFonts w:cs="宋体" w:asciiTheme="minorEastAsia" w:hAnsiTheme="minorEastAsia" w:eastAsiaTheme="minorEastAsia"/>
                <w:b/>
                <w:bCs/>
                <w:color w:val="000000" w:themeColor="text1"/>
                <w14:textFill>
                  <w14:solidFill>
                    <w14:schemeClr w14:val="tx1"/>
                  </w14:solidFill>
                </w14:textFill>
              </w:rPr>
              <w:t>8</w:t>
            </w:r>
            <w:r>
              <w:rPr>
                <w:rFonts w:hint="eastAsia" w:cs="宋体" w:asciiTheme="minorEastAsia" w:hAnsiTheme="minorEastAsia" w:eastAsiaTheme="minorEastAsia"/>
                <w:b/>
                <w:bCs/>
                <w:color w:val="000000" w:themeColor="text1"/>
                <w14:textFill>
                  <w14:solidFill>
                    <w14:schemeClr w14:val="tx1"/>
                  </w14:solidFill>
                </w14:textFill>
              </w:rPr>
              <w:t>章：水土保持管理</w:t>
            </w:r>
          </w:p>
        </w:tc>
        <w:tc>
          <w:tcPr>
            <w:tcW w:w="898" w:type="pct"/>
            <w:vAlign w:val="center"/>
          </w:tcPr>
          <w:p w14:paraId="234E8FBC">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rPr>
                <w:rFonts w:hint="eastAsia" w:cs="宋体" w:asciiTheme="minorEastAsia" w:hAnsiTheme="minorEastAsia" w:eastAsiaTheme="minorEastAsia"/>
                <w:b/>
                <w:bCs/>
                <w:color w:val="000000" w:themeColor="text1"/>
                <w14:textFill>
                  <w14:solidFill>
                    <w14:schemeClr w14:val="tx1"/>
                  </w14:solidFill>
                </w14:textFill>
              </w:rPr>
              <w:t>工程师</w:t>
            </w:r>
          </w:p>
        </w:tc>
        <w:tc>
          <w:tcPr>
            <w:tcW w:w="1205" w:type="pct"/>
            <w:tcBorders>
              <w:top w:val="single" w:color="auto" w:sz="4" w:space="0"/>
            </w:tcBorders>
            <w:vAlign w:val="center"/>
          </w:tcPr>
          <w:p w14:paraId="17ECE415">
            <w:pPr>
              <w:adjustRightInd/>
              <w:snapToGrid/>
              <w:spacing w:line="240" w:lineRule="auto"/>
              <w:ind w:firstLine="0" w:firstLineChars="0"/>
              <w:jc w:val="center"/>
              <w:rPr>
                <w:rFonts w:hint="eastAsia" w:cs="宋体" w:asciiTheme="minorEastAsia" w:hAnsiTheme="minorEastAsia" w:eastAsiaTheme="minorEastAsia"/>
                <w:b/>
                <w:bCs/>
                <w:color w:val="000000" w:themeColor="text1"/>
                <w14:textFill>
                  <w14:solidFill>
                    <w14:schemeClr w14:val="tx1"/>
                  </w14:solidFill>
                </w14:textFill>
              </w:rPr>
            </w:pPr>
            <w:r>
              <w:drawing>
                <wp:anchor distT="0" distB="0" distL="0" distR="0" simplePos="0" relativeHeight="251695104" behindDoc="0" locked="0" layoutInCell="1" allowOverlap="1">
                  <wp:simplePos x="0" y="0"/>
                  <wp:positionH relativeFrom="column">
                    <wp:posOffset>225425</wp:posOffset>
                  </wp:positionH>
                  <wp:positionV relativeFrom="paragraph">
                    <wp:posOffset>7620</wp:posOffset>
                  </wp:positionV>
                  <wp:extent cx="763270" cy="314325"/>
                  <wp:effectExtent l="0" t="0" r="0" b="9525"/>
                  <wp:wrapNone/>
                  <wp:docPr id="5986605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60592" name="图片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763270" cy="314325"/>
                          </a:xfrm>
                          <a:prstGeom prst="rect">
                            <a:avLst/>
                          </a:prstGeom>
                          <a:noFill/>
                          <a:ln>
                            <a:noFill/>
                          </a:ln>
                        </pic:spPr>
                      </pic:pic>
                    </a:graphicData>
                  </a:graphic>
                </wp:anchor>
              </w:drawing>
            </w:r>
          </w:p>
        </w:tc>
      </w:tr>
    </w:tbl>
    <w:p w14:paraId="3D8139D5">
      <w:pPr>
        <w:adjustRightInd/>
        <w:snapToGrid/>
        <w:spacing w:line="900" w:lineRule="exact"/>
        <w:ind w:left="1279" w:leftChars="533" w:firstLine="0" w:firstLineChars="0"/>
        <w:rPr>
          <w:rFonts w:ascii="Calibri" w:hAnsi="Calibri" w:eastAsia="宋体" w:cs="Calibri"/>
          <w:b/>
          <w:bCs/>
          <w:color w:val="000000" w:themeColor="text1"/>
          <w:sz w:val="36"/>
          <w:szCs w:val="36"/>
          <w14:textFill>
            <w14:solidFill>
              <w14:schemeClr w14:val="tx1"/>
            </w14:solidFill>
          </w14:textFill>
        </w:rPr>
      </w:pPr>
    </w:p>
    <w:bookmarkEnd w:id="3"/>
    <w:p w14:paraId="4D86684E">
      <w:pPr>
        <w:ind w:firstLine="723"/>
        <w:rPr>
          <w:rFonts w:ascii="Calibri" w:hAnsi="Calibri" w:eastAsia="宋体" w:cs="Calibri"/>
          <w:b/>
          <w:bCs/>
          <w:color w:val="000000" w:themeColor="text1"/>
          <w:sz w:val="36"/>
          <w:szCs w:val="36"/>
          <w14:textFill>
            <w14:solidFill>
              <w14:schemeClr w14:val="tx1"/>
            </w14:solidFill>
          </w14:textFill>
        </w:rPr>
      </w:pPr>
    </w:p>
    <w:p w14:paraId="0DF66CD7">
      <w:pPr>
        <w:ind w:firstLine="0" w:firstLineChars="0"/>
        <w:jc w:val="center"/>
        <w:rPr>
          <w:rFonts w:eastAsia="宋体" w:cs="Times New Roman"/>
          <w:b/>
          <w:bCs/>
          <w:color w:val="000000" w:themeColor="text1"/>
          <w:sz w:val="28"/>
          <w:szCs w:val="28"/>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40" w:right="1080" w:bottom="1440" w:left="1080" w:header="851" w:footer="992" w:gutter="0"/>
          <w:cols w:space="425" w:num="1"/>
          <w:docGrid w:type="lines" w:linePitch="312" w:charSpace="0"/>
        </w:sectPr>
      </w:pPr>
      <w:bookmarkStart w:id="4" w:name="_Toc24395"/>
    </w:p>
    <w:p w14:paraId="2A28BAB4">
      <w:pPr>
        <w:spacing w:before="78" w:line="220" w:lineRule="auto"/>
        <w:ind w:left="0" w:leftChars="0" w:firstLine="0" w:firstLineChars="0"/>
        <w:jc w:val="center"/>
        <w:rPr>
          <w:rFonts w:ascii="宋体" w:hAnsi="宋体" w:eastAsia="宋体" w:cs="宋体"/>
          <w:sz w:val="28"/>
          <w:szCs w:val="28"/>
        </w:rPr>
      </w:pPr>
      <w:r>
        <w:rPr>
          <w:rFonts w:hint="eastAsia" w:ascii="宋体" w:hAnsi="宋体" w:eastAsia="宋体" w:cs="宋体"/>
          <w:b/>
          <w:bCs/>
          <w:spacing w:val="-3"/>
          <w:sz w:val="28"/>
          <w:szCs w:val="28"/>
        </w:rPr>
        <w:t>高新区兆辉新能源工业园及基础设施配套项目（二期）</w:t>
      </w:r>
    </w:p>
    <w:p w14:paraId="0D01A988">
      <w:pPr>
        <w:ind w:firstLine="0" w:firstLineChars="0"/>
        <w:jc w:val="center"/>
        <w:rPr>
          <w:rFonts w:ascii="宋体" w:hAnsi="宋体" w:eastAsia="宋体" w:cs="宋体"/>
          <w:b/>
          <w:bCs/>
          <w:spacing w:val="-3"/>
          <w:sz w:val="28"/>
          <w:szCs w:val="28"/>
        </w:rPr>
      </w:pPr>
      <w:r>
        <w:rPr>
          <w:rFonts w:ascii="宋体" w:hAnsi="宋体" w:eastAsia="宋体" w:cs="宋体"/>
          <w:b/>
          <w:bCs/>
          <w:spacing w:val="-3"/>
          <w:sz w:val="28"/>
          <w:szCs w:val="28"/>
        </w:rPr>
        <w:t>水土保持方案报告表</w:t>
      </w:r>
    </w:p>
    <w:tbl>
      <w:tblPr>
        <w:tblStyle w:val="76"/>
        <w:tblW w:w="9747"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113" w:type="dxa"/>
          <w:right w:w="0" w:type="dxa"/>
        </w:tblCellMar>
      </w:tblPr>
      <w:tblGrid>
        <w:gridCol w:w="1201"/>
        <w:gridCol w:w="813"/>
        <w:gridCol w:w="1127"/>
        <w:gridCol w:w="6"/>
        <w:gridCol w:w="1810"/>
        <w:gridCol w:w="395"/>
        <w:gridCol w:w="63"/>
        <w:gridCol w:w="1004"/>
        <w:gridCol w:w="390"/>
        <w:gridCol w:w="868"/>
        <w:gridCol w:w="89"/>
        <w:gridCol w:w="1981"/>
      </w:tblGrid>
      <w:tr w14:paraId="3F649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0" w:hRule="atLeast"/>
        </w:trPr>
        <w:tc>
          <w:tcPr>
            <w:tcW w:w="1201" w:type="dxa"/>
            <w:vMerge w:val="restart"/>
            <w:vAlign w:val="center"/>
          </w:tcPr>
          <w:p w14:paraId="0F6CA7AE">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3B7A076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4DC7FA8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5A341C8F">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5F016B37">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47834FB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1B381DA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26A18BA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2D937331">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5EB0C695">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2CE719C9">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654D5A59">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7225C429">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项目 概况</w:t>
            </w:r>
          </w:p>
        </w:tc>
        <w:tc>
          <w:tcPr>
            <w:tcW w:w="1946" w:type="dxa"/>
            <w:gridSpan w:val="3"/>
            <w:vAlign w:val="center"/>
          </w:tcPr>
          <w:p w14:paraId="04A72ADE">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位置</w:t>
            </w:r>
          </w:p>
        </w:tc>
        <w:tc>
          <w:tcPr>
            <w:tcW w:w="6600" w:type="dxa"/>
            <w:gridSpan w:val="8"/>
            <w:vAlign w:val="center"/>
          </w:tcPr>
          <w:p w14:paraId="272225A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绵阳市高新区永兴镇三海路6号</w:t>
            </w:r>
          </w:p>
        </w:tc>
      </w:tr>
      <w:tr w14:paraId="342C8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822" w:hRule="atLeast"/>
        </w:trPr>
        <w:tc>
          <w:tcPr>
            <w:tcW w:w="1201" w:type="dxa"/>
            <w:vMerge w:val="continue"/>
            <w:vAlign w:val="center"/>
          </w:tcPr>
          <w:p w14:paraId="49A1F8D4">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Align w:val="center"/>
          </w:tcPr>
          <w:p w14:paraId="6E3A127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建设内容</w:t>
            </w:r>
          </w:p>
        </w:tc>
        <w:tc>
          <w:tcPr>
            <w:tcW w:w="6600" w:type="dxa"/>
            <w:gridSpan w:val="8"/>
            <w:vAlign w:val="center"/>
          </w:tcPr>
          <w:p w14:paraId="77C8ECE4">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本项目总建筑面积为42257.55平方米 ，本项目占地面积为36123.59平方米，其中一期已建成项目主要为生产厂房10824.54 平方米及服务配套工程9237.45平方米 ，二期建设项目主要新建22195.56平方米的生产厂房及室内外附属配套工程。</w:t>
            </w:r>
          </w:p>
        </w:tc>
      </w:tr>
      <w:tr w14:paraId="20D74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1" w:hRule="atLeast"/>
        </w:trPr>
        <w:tc>
          <w:tcPr>
            <w:tcW w:w="1201" w:type="dxa"/>
            <w:vMerge w:val="continue"/>
            <w:vAlign w:val="center"/>
          </w:tcPr>
          <w:p w14:paraId="4F5E8E58">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Align w:val="center"/>
          </w:tcPr>
          <w:p w14:paraId="015608BD">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建设性质</w:t>
            </w:r>
          </w:p>
        </w:tc>
        <w:tc>
          <w:tcPr>
            <w:tcW w:w="2205" w:type="dxa"/>
            <w:gridSpan w:val="2"/>
            <w:vAlign w:val="center"/>
          </w:tcPr>
          <w:p w14:paraId="30059038">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新建，建设类</w:t>
            </w:r>
          </w:p>
        </w:tc>
        <w:tc>
          <w:tcPr>
            <w:tcW w:w="2414" w:type="dxa"/>
            <w:gridSpan w:val="5"/>
            <w:vAlign w:val="center"/>
          </w:tcPr>
          <w:p w14:paraId="17CA1EF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总投资（万元）</w:t>
            </w:r>
          </w:p>
        </w:tc>
        <w:tc>
          <w:tcPr>
            <w:tcW w:w="1981" w:type="dxa"/>
            <w:vAlign w:val="center"/>
          </w:tcPr>
          <w:p w14:paraId="5EC716A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20000.00</w:t>
            </w:r>
          </w:p>
        </w:tc>
      </w:tr>
      <w:tr w14:paraId="67F1A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3" w:hRule="atLeast"/>
        </w:trPr>
        <w:tc>
          <w:tcPr>
            <w:tcW w:w="1201" w:type="dxa"/>
            <w:vMerge w:val="continue"/>
            <w:vAlign w:val="center"/>
          </w:tcPr>
          <w:p w14:paraId="3B3BA5E5">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Merge w:val="restart"/>
            <w:vAlign w:val="center"/>
          </w:tcPr>
          <w:p w14:paraId="7A3214D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土建投资（万元）</w:t>
            </w:r>
          </w:p>
        </w:tc>
        <w:tc>
          <w:tcPr>
            <w:tcW w:w="2205" w:type="dxa"/>
            <w:gridSpan w:val="2"/>
            <w:vMerge w:val="restart"/>
            <w:vAlign w:val="center"/>
          </w:tcPr>
          <w:p w14:paraId="509E01E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14164.34</w:t>
            </w:r>
          </w:p>
        </w:tc>
        <w:tc>
          <w:tcPr>
            <w:tcW w:w="2414" w:type="dxa"/>
            <w:gridSpan w:val="5"/>
            <w:vMerge w:val="restart"/>
            <w:vAlign w:val="center"/>
          </w:tcPr>
          <w:p w14:paraId="247F9F3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 xml:space="preserve">占地面积 </w:t>
            </w:r>
          </w:p>
        </w:tc>
        <w:tc>
          <w:tcPr>
            <w:tcW w:w="1981" w:type="dxa"/>
            <w:vAlign w:val="center"/>
          </w:tcPr>
          <w:p w14:paraId="62DF95EE">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永久占地：0.95hm²</w:t>
            </w:r>
          </w:p>
        </w:tc>
      </w:tr>
      <w:tr w14:paraId="6C349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1201" w:type="dxa"/>
            <w:vMerge w:val="continue"/>
            <w:vAlign w:val="center"/>
          </w:tcPr>
          <w:p w14:paraId="26AB8D1C">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Merge w:val="continue"/>
            <w:vAlign w:val="center"/>
          </w:tcPr>
          <w:p w14:paraId="0CD19EED">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2205" w:type="dxa"/>
            <w:gridSpan w:val="2"/>
            <w:vMerge w:val="continue"/>
            <w:vAlign w:val="center"/>
          </w:tcPr>
          <w:p w14:paraId="38B5ABC9">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2414" w:type="dxa"/>
            <w:gridSpan w:val="5"/>
            <w:vMerge w:val="continue"/>
            <w:vAlign w:val="center"/>
          </w:tcPr>
          <w:p w14:paraId="1900508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81" w:type="dxa"/>
            <w:vAlign w:val="center"/>
          </w:tcPr>
          <w:p w14:paraId="4F0C1DF0">
            <w:pPr>
              <w:pStyle w:val="77"/>
              <w:spacing w:before="180" w:line="220" w:lineRule="auto"/>
              <w:ind w:left="0" w:leftChars="0" w:firstLine="0" w:firstLineChars="0"/>
              <w:jc w:val="center"/>
              <w:rPr>
                <w:rFonts w:hint="eastAsia" w:ascii="Times New Roman" w:hAnsi="Times New Roman" w:eastAsia="方正仿宋_GB2312" w:cs="Times New Roman"/>
                <w:spacing w:val="-1"/>
                <w:sz w:val="21"/>
                <w:szCs w:val="21"/>
                <w:lang w:eastAsia="zh-CN"/>
              </w:rPr>
            </w:pPr>
            <w:r>
              <w:rPr>
                <w:rFonts w:hint="default" w:ascii="Times New Roman" w:hAnsi="Times New Roman" w:eastAsia="方正仿宋_GB2312" w:cs="Times New Roman"/>
                <w:spacing w:val="-1"/>
                <w:sz w:val="21"/>
                <w:szCs w:val="21"/>
              </w:rPr>
              <w:t>临时占地：</w:t>
            </w:r>
            <w:r>
              <w:rPr>
                <w:rFonts w:hint="eastAsia" w:ascii="Times New Roman" w:hAnsi="Times New Roman" w:eastAsia="方正仿宋_GB2312" w:cs="Times New Roman"/>
                <w:spacing w:val="-1"/>
                <w:sz w:val="21"/>
                <w:szCs w:val="21"/>
                <w:lang w:val="en-US" w:eastAsia="zh-CN"/>
              </w:rPr>
              <w:t>/</w:t>
            </w:r>
          </w:p>
        </w:tc>
      </w:tr>
      <w:tr w14:paraId="05111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1201" w:type="dxa"/>
            <w:vMerge w:val="continue"/>
            <w:vAlign w:val="center"/>
          </w:tcPr>
          <w:p w14:paraId="5B6C076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Align w:val="center"/>
          </w:tcPr>
          <w:p w14:paraId="0110320C">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动工时间</w:t>
            </w:r>
          </w:p>
        </w:tc>
        <w:tc>
          <w:tcPr>
            <w:tcW w:w="2205" w:type="dxa"/>
            <w:gridSpan w:val="2"/>
            <w:vAlign w:val="center"/>
          </w:tcPr>
          <w:p w14:paraId="4344FC3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2023年6月</w:t>
            </w:r>
          </w:p>
        </w:tc>
        <w:tc>
          <w:tcPr>
            <w:tcW w:w="2414" w:type="dxa"/>
            <w:gridSpan w:val="5"/>
            <w:vAlign w:val="center"/>
          </w:tcPr>
          <w:p w14:paraId="43FD1991">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完工时间</w:t>
            </w:r>
          </w:p>
        </w:tc>
        <w:tc>
          <w:tcPr>
            <w:tcW w:w="1981" w:type="dxa"/>
            <w:vAlign w:val="center"/>
          </w:tcPr>
          <w:p w14:paraId="100D3B6E">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2024年</w:t>
            </w:r>
            <w:r>
              <w:rPr>
                <w:rFonts w:hint="eastAsia" w:ascii="Times New Roman" w:hAnsi="Times New Roman" w:eastAsia="方正仿宋_GB2312" w:cs="Times New Roman"/>
                <w:spacing w:val="-1"/>
                <w:sz w:val="21"/>
                <w:szCs w:val="21"/>
                <w:lang w:val="en-US" w:eastAsia="zh-CN"/>
              </w:rPr>
              <w:t>12</w:t>
            </w:r>
            <w:r>
              <w:rPr>
                <w:rFonts w:hint="default" w:ascii="Times New Roman" w:hAnsi="Times New Roman" w:eastAsia="方正仿宋_GB2312" w:cs="Times New Roman"/>
                <w:spacing w:val="-1"/>
                <w:sz w:val="21"/>
                <w:szCs w:val="21"/>
              </w:rPr>
              <w:t>月</w:t>
            </w:r>
          </w:p>
        </w:tc>
      </w:tr>
      <w:tr w14:paraId="34A6C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3" w:hRule="atLeast"/>
        </w:trPr>
        <w:tc>
          <w:tcPr>
            <w:tcW w:w="1201" w:type="dxa"/>
            <w:vMerge w:val="continue"/>
            <w:vAlign w:val="center"/>
          </w:tcPr>
          <w:p w14:paraId="7FCA914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Merge w:val="restart"/>
            <w:vAlign w:val="center"/>
          </w:tcPr>
          <w:p w14:paraId="45CFC2D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79E1BF3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土石方（m</w:t>
            </w:r>
            <w:r>
              <w:rPr>
                <w:rFonts w:hint="default" w:ascii="Times New Roman" w:hAnsi="Times New Roman" w:eastAsia="方正仿宋_GB2312" w:cs="Times New Roman"/>
                <w:spacing w:val="-1"/>
                <w:sz w:val="21"/>
                <w:szCs w:val="21"/>
                <w:vertAlign w:val="superscript"/>
              </w:rPr>
              <w:t>3</w:t>
            </w:r>
            <w:r>
              <w:rPr>
                <w:rFonts w:hint="default" w:ascii="Times New Roman" w:hAnsi="Times New Roman" w:eastAsia="方正仿宋_GB2312" w:cs="Times New Roman"/>
                <w:spacing w:val="-1"/>
                <w:sz w:val="21"/>
                <w:szCs w:val="21"/>
              </w:rPr>
              <w:t>）</w:t>
            </w:r>
          </w:p>
        </w:tc>
        <w:tc>
          <w:tcPr>
            <w:tcW w:w="2205" w:type="dxa"/>
            <w:gridSpan w:val="2"/>
            <w:vAlign w:val="center"/>
          </w:tcPr>
          <w:p w14:paraId="4E94D8FD">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挖方</w:t>
            </w:r>
          </w:p>
        </w:tc>
        <w:tc>
          <w:tcPr>
            <w:tcW w:w="1067" w:type="dxa"/>
            <w:gridSpan w:val="2"/>
            <w:vAlign w:val="center"/>
          </w:tcPr>
          <w:p w14:paraId="5C9A134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填方</w:t>
            </w:r>
          </w:p>
        </w:tc>
        <w:tc>
          <w:tcPr>
            <w:tcW w:w="1347" w:type="dxa"/>
            <w:gridSpan w:val="3"/>
            <w:vAlign w:val="center"/>
          </w:tcPr>
          <w:p w14:paraId="3B6D82E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借方</w:t>
            </w:r>
          </w:p>
        </w:tc>
        <w:tc>
          <w:tcPr>
            <w:tcW w:w="1981" w:type="dxa"/>
            <w:vAlign w:val="center"/>
          </w:tcPr>
          <w:p w14:paraId="18CB7117">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余（弃）方</w:t>
            </w:r>
          </w:p>
        </w:tc>
      </w:tr>
      <w:tr w14:paraId="46260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1201" w:type="dxa"/>
            <w:vMerge w:val="continue"/>
            <w:vAlign w:val="center"/>
          </w:tcPr>
          <w:p w14:paraId="02FDB63F">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Merge w:val="continue"/>
            <w:vAlign w:val="center"/>
          </w:tcPr>
          <w:p w14:paraId="4AD7E7E4">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2205" w:type="dxa"/>
            <w:gridSpan w:val="2"/>
            <w:vAlign w:val="center"/>
          </w:tcPr>
          <w:p w14:paraId="6CC98D63">
            <w:pPr>
              <w:widowControl/>
              <w:adjustRightInd/>
              <w:spacing w:line="240" w:lineRule="atLeast"/>
              <w:ind w:firstLine="0" w:firstLineChars="0"/>
              <w:jc w:val="center"/>
              <w:rPr>
                <w:rFonts w:hint="default" w:ascii="Times New Roman" w:hAnsi="Times New Roman" w:eastAsia="方正仿宋_GB2312" w:cs="Times New Roman"/>
                <w:spacing w:val="-1"/>
                <w:kern w:val="2"/>
                <w:sz w:val="21"/>
                <w:szCs w:val="21"/>
                <w:lang w:val="en-US" w:eastAsia="en-US" w:bidi="ar-SA"/>
              </w:rPr>
            </w:pPr>
            <w:r>
              <w:rPr>
                <w:rFonts w:hint="eastAsia" w:ascii="Times New Roman" w:hAnsi="Times New Roman" w:eastAsia="方正仿宋_GB2312" w:cs="Times New Roman"/>
                <w:spacing w:val="-1"/>
                <w:kern w:val="2"/>
                <w:sz w:val="21"/>
                <w:szCs w:val="21"/>
                <w:lang w:val="en-US" w:eastAsia="en-US" w:bidi="ar-SA"/>
              </w:rPr>
              <w:t>3.41</w:t>
            </w:r>
          </w:p>
        </w:tc>
        <w:tc>
          <w:tcPr>
            <w:tcW w:w="1067" w:type="dxa"/>
            <w:gridSpan w:val="2"/>
            <w:vAlign w:val="center"/>
          </w:tcPr>
          <w:p w14:paraId="64B92ED1">
            <w:pPr>
              <w:widowControl/>
              <w:adjustRightInd/>
              <w:spacing w:line="240" w:lineRule="atLeast"/>
              <w:ind w:firstLine="0" w:firstLineChars="0"/>
              <w:jc w:val="center"/>
              <w:rPr>
                <w:rFonts w:hint="default" w:ascii="Times New Roman" w:hAnsi="Times New Roman" w:eastAsia="方正仿宋_GB2312" w:cs="Times New Roman"/>
                <w:spacing w:val="-1"/>
                <w:kern w:val="2"/>
                <w:sz w:val="21"/>
                <w:szCs w:val="21"/>
                <w:lang w:val="en-US" w:eastAsia="en-US" w:bidi="ar-SA"/>
              </w:rPr>
            </w:pPr>
            <w:r>
              <w:rPr>
                <w:rFonts w:hint="eastAsia" w:ascii="Times New Roman" w:hAnsi="Times New Roman" w:eastAsia="方正仿宋_GB2312" w:cs="Times New Roman"/>
                <w:spacing w:val="-1"/>
                <w:kern w:val="2"/>
                <w:sz w:val="21"/>
                <w:szCs w:val="21"/>
                <w:lang w:val="en-US" w:eastAsia="en-US" w:bidi="ar-SA"/>
              </w:rPr>
              <w:t>0.37</w:t>
            </w:r>
          </w:p>
        </w:tc>
        <w:tc>
          <w:tcPr>
            <w:tcW w:w="1347" w:type="dxa"/>
            <w:gridSpan w:val="3"/>
            <w:vAlign w:val="center"/>
          </w:tcPr>
          <w:p w14:paraId="60B20639">
            <w:pPr>
              <w:widowControl/>
              <w:adjustRightInd/>
              <w:spacing w:line="240" w:lineRule="atLeast"/>
              <w:ind w:firstLine="0" w:firstLineChars="0"/>
              <w:jc w:val="center"/>
              <w:rPr>
                <w:rFonts w:hint="default" w:ascii="Times New Roman" w:hAnsi="Times New Roman" w:eastAsia="方正仿宋_GB2312" w:cs="Times New Roman"/>
                <w:spacing w:val="-1"/>
                <w:kern w:val="2"/>
                <w:sz w:val="21"/>
                <w:szCs w:val="21"/>
                <w:lang w:val="en-US" w:eastAsia="en-US" w:bidi="ar-SA"/>
              </w:rPr>
            </w:pPr>
            <w:r>
              <w:rPr>
                <w:rFonts w:hint="default" w:ascii="Times New Roman" w:hAnsi="Times New Roman" w:eastAsia="方正仿宋_GB2312" w:cs="Times New Roman"/>
                <w:spacing w:val="-1"/>
                <w:kern w:val="2"/>
                <w:sz w:val="21"/>
                <w:szCs w:val="21"/>
                <w:lang w:val="en-US" w:eastAsia="en-US" w:bidi="ar-SA"/>
              </w:rPr>
              <w:t>/</w:t>
            </w:r>
          </w:p>
        </w:tc>
        <w:tc>
          <w:tcPr>
            <w:tcW w:w="1981" w:type="dxa"/>
            <w:vAlign w:val="center"/>
          </w:tcPr>
          <w:p w14:paraId="5F0B9034">
            <w:pPr>
              <w:widowControl/>
              <w:adjustRightInd/>
              <w:spacing w:line="240" w:lineRule="atLeast"/>
              <w:ind w:firstLine="0" w:firstLineChars="0"/>
              <w:jc w:val="center"/>
              <w:rPr>
                <w:rFonts w:hint="default" w:ascii="Times New Roman" w:hAnsi="Times New Roman" w:eastAsia="方正仿宋_GB2312" w:cs="Times New Roman"/>
                <w:spacing w:val="-1"/>
                <w:kern w:val="2"/>
                <w:sz w:val="21"/>
                <w:szCs w:val="21"/>
                <w:lang w:val="en-US" w:eastAsia="en-US" w:bidi="ar-SA"/>
              </w:rPr>
            </w:pPr>
            <w:r>
              <w:rPr>
                <w:rFonts w:hint="eastAsia" w:ascii="Times New Roman" w:hAnsi="Times New Roman" w:eastAsia="方正仿宋_GB2312" w:cs="Times New Roman"/>
                <w:spacing w:val="-1"/>
                <w:kern w:val="2"/>
                <w:sz w:val="21"/>
                <w:szCs w:val="21"/>
                <w:lang w:val="en-US" w:eastAsia="en-US" w:bidi="ar-SA"/>
              </w:rPr>
              <w:t>3.04</w:t>
            </w:r>
          </w:p>
        </w:tc>
      </w:tr>
      <w:tr w14:paraId="49593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3" w:hRule="atLeast"/>
        </w:trPr>
        <w:tc>
          <w:tcPr>
            <w:tcW w:w="1201" w:type="dxa"/>
            <w:vMerge w:val="continue"/>
            <w:vAlign w:val="center"/>
          </w:tcPr>
          <w:p w14:paraId="55A628B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Align w:val="center"/>
          </w:tcPr>
          <w:p w14:paraId="4336F894">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取土（石、砂） 场</w:t>
            </w:r>
          </w:p>
        </w:tc>
        <w:tc>
          <w:tcPr>
            <w:tcW w:w="6600" w:type="dxa"/>
            <w:gridSpan w:val="8"/>
            <w:vAlign w:val="center"/>
          </w:tcPr>
          <w:p w14:paraId="13C2B818">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无</w:t>
            </w:r>
          </w:p>
        </w:tc>
      </w:tr>
      <w:tr w14:paraId="0E03F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1201" w:type="dxa"/>
            <w:vMerge w:val="continue"/>
            <w:vAlign w:val="center"/>
          </w:tcPr>
          <w:p w14:paraId="1CA7CD8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Align w:val="center"/>
          </w:tcPr>
          <w:p w14:paraId="1F51801F">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弃土（石、砂） 场</w:t>
            </w:r>
          </w:p>
        </w:tc>
        <w:tc>
          <w:tcPr>
            <w:tcW w:w="6600" w:type="dxa"/>
            <w:gridSpan w:val="8"/>
            <w:vAlign w:val="center"/>
          </w:tcPr>
          <w:p w14:paraId="3045B9B9">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无</w:t>
            </w:r>
          </w:p>
        </w:tc>
      </w:tr>
      <w:tr w14:paraId="53769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2" w:hRule="atLeast"/>
        </w:trPr>
        <w:tc>
          <w:tcPr>
            <w:tcW w:w="1201" w:type="dxa"/>
            <w:vMerge w:val="restart"/>
            <w:vAlign w:val="center"/>
          </w:tcPr>
          <w:p w14:paraId="7CEB4A9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64C9B16E">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项目区概况</w:t>
            </w:r>
          </w:p>
        </w:tc>
        <w:tc>
          <w:tcPr>
            <w:tcW w:w="1946" w:type="dxa"/>
            <w:gridSpan w:val="3"/>
            <w:vAlign w:val="center"/>
          </w:tcPr>
          <w:p w14:paraId="7EDE887F">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涉及重点防治区情况</w:t>
            </w:r>
          </w:p>
        </w:tc>
        <w:tc>
          <w:tcPr>
            <w:tcW w:w="2205" w:type="dxa"/>
            <w:gridSpan w:val="2"/>
            <w:vAlign w:val="center"/>
          </w:tcPr>
          <w:p w14:paraId="678D93CD">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绵阳市水土流失重点治理区</w:t>
            </w:r>
          </w:p>
        </w:tc>
        <w:tc>
          <w:tcPr>
            <w:tcW w:w="2414" w:type="dxa"/>
            <w:gridSpan w:val="5"/>
            <w:vAlign w:val="center"/>
          </w:tcPr>
          <w:p w14:paraId="02C91C5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地貌类型</w:t>
            </w:r>
          </w:p>
        </w:tc>
        <w:tc>
          <w:tcPr>
            <w:tcW w:w="1981" w:type="dxa"/>
            <w:vAlign w:val="center"/>
          </w:tcPr>
          <w:p w14:paraId="7D1D70C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丘陵</w:t>
            </w:r>
          </w:p>
        </w:tc>
      </w:tr>
      <w:tr w14:paraId="7E136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1" w:hRule="atLeast"/>
        </w:trPr>
        <w:tc>
          <w:tcPr>
            <w:tcW w:w="1201" w:type="dxa"/>
            <w:vMerge w:val="continue"/>
            <w:vAlign w:val="center"/>
          </w:tcPr>
          <w:p w14:paraId="17E94734">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Align w:val="center"/>
          </w:tcPr>
          <w:p w14:paraId="6E20B3DC">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原地貌土壤侵蚀模数 [t/（km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.a）]</w:t>
            </w:r>
          </w:p>
        </w:tc>
        <w:tc>
          <w:tcPr>
            <w:tcW w:w="2205" w:type="dxa"/>
            <w:gridSpan w:val="2"/>
            <w:vAlign w:val="center"/>
          </w:tcPr>
          <w:p w14:paraId="2D0A0C7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1500</w:t>
            </w:r>
          </w:p>
        </w:tc>
        <w:tc>
          <w:tcPr>
            <w:tcW w:w="2414" w:type="dxa"/>
            <w:gridSpan w:val="5"/>
            <w:vAlign w:val="center"/>
          </w:tcPr>
          <w:p w14:paraId="6A28D08D">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容许土壤流失量数[t/（km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.a）]</w:t>
            </w:r>
          </w:p>
        </w:tc>
        <w:tc>
          <w:tcPr>
            <w:tcW w:w="1981" w:type="dxa"/>
            <w:vAlign w:val="center"/>
          </w:tcPr>
          <w:p w14:paraId="7064E428">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500</w:t>
            </w:r>
          </w:p>
        </w:tc>
      </w:tr>
      <w:tr w14:paraId="22A50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3" w:hRule="atLeast"/>
        </w:trPr>
        <w:tc>
          <w:tcPr>
            <w:tcW w:w="3147" w:type="dxa"/>
            <w:gridSpan w:val="4"/>
            <w:vAlign w:val="center"/>
          </w:tcPr>
          <w:p w14:paraId="6C17861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项目选址（线） 水土保持评价</w:t>
            </w:r>
          </w:p>
        </w:tc>
        <w:tc>
          <w:tcPr>
            <w:tcW w:w="6600" w:type="dxa"/>
            <w:gridSpan w:val="8"/>
            <w:vAlign w:val="center"/>
          </w:tcPr>
          <w:p w14:paraId="301AADEC">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本工程建设未涉及国家水土保持监测网络中的水土保持监测站点和重点试验区，未涉及重要江河湖泊的饮用水源区，未涉及水功能一级区，工程的建设不存在制约性因素。</w:t>
            </w:r>
          </w:p>
        </w:tc>
      </w:tr>
      <w:tr w14:paraId="4533B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3147" w:type="dxa"/>
            <w:gridSpan w:val="4"/>
            <w:vAlign w:val="center"/>
          </w:tcPr>
          <w:p w14:paraId="5F99AD3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预测水土流失总量（t）</w:t>
            </w:r>
          </w:p>
        </w:tc>
        <w:tc>
          <w:tcPr>
            <w:tcW w:w="6600" w:type="dxa"/>
            <w:gridSpan w:val="8"/>
            <w:vAlign w:val="center"/>
          </w:tcPr>
          <w:p w14:paraId="10F4B676">
            <w:pPr>
              <w:pStyle w:val="77"/>
              <w:spacing w:before="180" w:line="220" w:lineRule="auto"/>
              <w:ind w:left="0" w:leftChars="0" w:firstLine="0" w:firstLineChars="0"/>
              <w:jc w:val="center"/>
              <w:rPr>
                <w:rFonts w:hint="eastAsia" w:ascii="Times New Roman" w:hAnsi="Times New Roman" w:eastAsia="方正仿宋_GB2312" w:cs="Times New Roman"/>
                <w:spacing w:val="-1"/>
                <w:sz w:val="21"/>
                <w:szCs w:val="21"/>
                <w:lang w:eastAsia="zh-CN"/>
              </w:rPr>
            </w:pPr>
            <w:r>
              <w:rPr>
                <w:rFonts w:hint="eastAsia" w:ascii="Times New Roman" w:hAnsi="Times New Roman" w:eastAsia="方正仿宋_GB2312" w:cs="Times New Roman"/>
                <w:spacing w:val="-1"/>
                <w:sz w:val="21"/>
                <w:szCs w:val="21"/>
                <w:lang w:eastAsia="zh-CN"/>
              </w:rPr>
              <w:t>31.19</w:t>
            </w:r>
          </w:p>
        </w:tc>
      </w:tr>
      <w:tr w14:paraId="0A322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3" w:hRule="atLeast"/>
        </w:trPr>
        <w:tc>
          <w:tcPr>
            <w:tcW w:w="3147" w:type="dxa"/>
            <w:gridSpan w:val="4"/>
            <w:vAlign w:val="center"/>
          </w:tcPr>
          <w:p w14:paraId="3FB3B19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防治责任范围（hm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w:t>
            </w:r>
          </w:p>
        </w:tc>
        <w:tc>
          <w:tcPr>
            <w:tcW w:w="6600" w:type="dxa"/>
            <w:gridSpan w:val="8"/>
            <w:vAlign w:val="center"/>
          </w:tcPr>
          <w:p w14:paraId="6BE9D895">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0.95</w:t>
            </w:r>
          </w:p>
        </w:tc>
      </w:tr>
      <w:tr w14:paraId="2CEB8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1201" w:type="dxa"/>
            <w:vMerge w:val="restart"/>
            <w:vAlign w:val="center"/>
          </w:tcPr>
          <w:p w14:paraId="1F9ACF0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防治标准等级及目标</w:t>
            </w:r>
          </w:p>
        </w:tc>
        <w:tc>
          <w:tcPr>
            <w:tcW w:w="1946" w:type="dxa"/>
            <w:gridSpan w:val="3"/>
            <w:vAlign w:val="center"/>
          </w:tcPr>
          <w:p w14:paraId="24024EF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防治标准等级</w:t>
            </w:r>
          </w:p>
        </w:tc>
        <w:tc>
          <w:tcPr>
            <w:tcW w:w="6600" w:type="dxa"/>
            <w:gridSpan w:val="8"/>
            <w:vAlign w:val="center"/>
          </w:tcPr>
          <w:p w14:paraId="7A2177E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西南紫色土区一级</w:t>
            </w:r>
          </w:p>
        </w:tc>
      </w:tr>
      <w:tr w14:paraId="28F90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1201" w:type="dxa"/>
            <w:vMerge w:val="continue"/>
            <w:vAlign w:val="center"/>
          </w:tcPr>
          <w:p w14:paraId="3E98FF15">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Align w:val="center"/>
          </w:tcPr>
          <w:p w14:paraId="0876E46C">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水土流失治理度</w:t>
            </w:r>
          </w:p>
          <w:p w14:paraId="7466931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w:t>
            </w:r>
          </w:p>
        </w:tc>
        <w:tc>
          <w:tcPr>
            <w:tcW w:w="2205" w:type="dxa"/>
            <w:gridSpan w:val="2"/>
            <w:vAlign w:val="center"/>
          </w:tcPr>
          <w:p w14:paraId="3099A3B7">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eastAsia" w:ascii="Times New Roman" w:hAnsi="Times New Roman" w:eastAsia="方正仿宋_GB2312" w:cs="Times New Roman"/>
                <w:spacing w:val="-1"/>
                <w:sz w:val="21"/>
                <w:szCs w:val="21"/>
              </w:rPr>
              <w:t>97</w:t>
            </w:r>
          </w:p>
        </w:tc>
        <w:tc>
          <w:tcPr>
            <w:tcW w:w="2414" w:type="dxa"/>
            <w:gridSpan w:val="5"/>
            <w:vAlign w:val="center"/>
          </w:tcPr>
          <w:p w14:paraId="277D3EE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土壤流失控制比</w:t>
            </w:r>
          </w:p>
        </w:tc>
        <w:tc>
          <w:tcPr>
            <w:tcW w:w="1981" w:type="dxa"/>
            <w:vAlign w:val="center"/>
          </w:tcPr>
          <w:p w14:paraId="284217D4">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eastAsia" w:ascii="Times New Roman" w:hAnsi="Times New Roman" w:eastAsia="方正仿宋_GB2312" w:cs="Times New Roman"/>
                <w:spacing w:val="-1"/>
                <w:sz w:val="21"/>
                <w:szCs w:val="21"/>
              </w:rPr>
              <w:t>1.0</w:t>
            </w:r>
          </w:p>
        </w:tc>
      </w:tr>
      <w:tr w14:paraId="161D9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3" w:hRule="atLeast"/>
        </w:trPr>
        <w:tc>
          <w:tcPr>
            <w:tcW w:w="1201" w:type="dxa"/>
            <w:vMerge w:val="continue"/>
            <w:vAlign w:val="center"/>
          </w:tcPr>
          <w:p w14:paraId="64E75E5E">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Align w:val="center"/>
          </w:tcPr>
          <w:p w14:paraId="105BE1C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渣土防护率（%）</w:t>
            </w:r>
          </w:p>
        </w:tc>
        <w:tc>
          <w:tcPr>
            <w:tcW w:w="2205" w:type="dxa"/>
            <w:gridSpan w:val="2"/>
            <w:vAlign w:val="center"/>
          </w:tcPr>
          <w:p w14:paraId="13E98E9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eastAsia" w:ascii="Times New Roman" w:hAnsi="Times New Roman" w:eastAsia="方正仿宋_GB2312" w:cs="Times New Roman"/>
                <w:spacing w:val="-1"/>
                <w:sz w:val="21"/>
                <w:szCs w:val="21"/>
              </w:rPr>
              <w:t>94</w:t>
            </w:r>
          </w:p>
        </w:tc>
        <w:tc>
          <w:tcPr>
            <w:tcW w:w="2414" w:type="dxa"/>
            <w:gridSpan w:val="5"/>
            <w:vAlign w:val="center"/>
          </w:tcPr>
          <w:p w14:paraId="620CA49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表土保护率</w:t>
            </w:r>
          </w:p>
          <w:p w14:paraId="29C346A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w:t>
            </w:r>
          </w:p>
        </w:tc>
        <w:tc>
          <w:tcPr>
            <w:tcW w:w="1981" w:type="dxa"/>
            <w:vAlign w:val="center"/>
          </w:tcPr>
          <w:p w14:paraId="5E4B07CE">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lang w:val="en-US" w:eastAsia="zh-CN"/>
              </w:rPr>
            </w:pPr>
            <w:r>
              <w:rPr>
                <w:rFonts w:hint="eastAsia" w:ascii="Times New Roman" w:hAnsi="Times New Roman" w:eastAsia="方正仿宋_GB2312" w:cs="Times New Roman"/>
                <w:spacing w:val="-1"/>
                <w:sz w:val="21"/>
                <w:szCs w:val="21"/>
                <w:lang w:val="en-US" w:eastAsia="zh-CN"/>
              </w:rPr>
              <w:t>92</w:t>
            </w:r>
          </w:p>
        </w:tc>
      </w:tr>
      <w:tr w14:paraId="26407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49" w:hRule="atLeast"/>
        </w:trPr>
        <w:tc>
          <w:tcPr>
            <w:tcW w:w="1201" w:type="dxa"/>
            <w:vMerge w:val="continue"/>
            <w:vAlign w:val="center"/>
          </w:tcPr>
          <w:p w14:paraId="035AE57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6" w:type="dxa"/>
            <w:gridSpan w:val="3"/>
            <w:vAlign w:val="center"/>
          </w:tcPr>
          <w:p w14:paraId="51E7463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林草植被恢复率</w:t>
            </w:r>
          </w:p>
          <w:p w14:paraId="4584952C">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w:t>
            </w:r>
          </w:p>
        </w:tc>
        <w:tc>
          <w:tcPr>
            <w:tcW w:w="2205" w:type="dxa"/>
            <w:gridSpan w:val="2"/>
            <w:vAlign w:val="center"/>
          </w:tcPr>
          <w:p w14:paraId="69DD142D">
            <w:pPr>
              <w:pStyle w:val="77"/>
              <w:spacing w:before="180" w:line="220" w:lineRule="auto"/>
              <w:ind w:left="0" w:leftChars="0" w:firstLine="0" w:firstLineChars="0"/>
              <w:jc w:val="center"/>
              <w:rPr>
                <w:rFonts w:hint="eastAsia" w:ascii="Times New Roman" w:hAnsi="Times New Roman" w:eastAsia="方正仿宋_GB2312" w:cs="Times New Roman"/>
                <w:spacing w:val="-1"/>
                <w:sz w:val="21"/>
                <w:szCs w:val="21"/>
                <w:lang w:eastAsia="zh-CN"/>
              </w:rPr>
            </w:pPr>
            <w:r>
              <w:rPr>
                <w:rFonts w:hint="eastAsia" w:ascii="Times New Roman" w:hAnsi="Times New Roman" w:eastAsia="方正仿宋_GB2312" w:cs="Times New Roman"/>
                <w:spacing w:val="-1"/>
                <w:sz w:val="21"/>
                <w:szCs w:val="21"/>
              </w:rPr>
              <w:t>9</w:t>
            </w:r>
            <w:r>
              <w:rPr>
                <w:rFonts w:hint="eastAsia" w:ascii="Times New Roman" w:hAnsi="Times New Roman" w:eastAsia="方正仿宋_GB2312" w:cs="Times New Roman"/>
                <w:spacing w:val="-1"/>
                <w:sz w:val="21"/>
                <w:szCs w:val="21"/>
                <w:lang w:val="en-US" w:eastAsia="zh-CN"/>
              </w:rPr>
              <w:t>7</w:t>
            </w:r>
          </w:p>
        </w:tc>
        <w:tc>
          <w:tcPr>
            <w:tcW w:w="2414" w:type="dxa"/>
            <w:gridSpan w:val="5"/>
            <w:vAlign w:val="center"/>
          </w:tcPr>
          <w:p w14:paraId="2593D999">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林草覆盖率</w:t>
            </w:r>
          </w:p>
          <w:p w14:paraId="7A8B214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w:t>
            </w:r>
          </w:p>
        </w:tc>
        <w:tc>
          <w:tcPr>
            <w:tcW w:w="1981" w:type="dxa"/>
            <w:vAlign w:val="center"/>
          </w:tcPr>
          <w:p w14:paraId="5E66302D">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eastAsia" w:ascii="Times New Roman" w:hAnsi="Times New Roman" w:eastAsia="方正仿宋_GB2312" w:cs="Times New Roman"/>
                <w:spacing w:val="-1"/>
                <w:sz w:val="21"/>
                <w:szCs w:val="21"/>
              </w:rPr>
              <w:t>12</w:t>
            </w:r>
          </w:p>
        </w:tc>
      </w:tr>
      <w:tr w14:paraId="35990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3145" w:hRule="atLeast"/>
        </w:trPr>
        <w:tc>
          <w:tcPr>
            <w:tcW w:w="1201" w:type="dxa"/>
            <w:vMerge w:val="restart"/>
            <w:vAlign w:val="center"/>
          </w:tcPr>
          <w:p w14:paraId="384D1A7C">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2DA94DA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水土保持措施</w:t>
            </w:r>
          </w:p>
        </w:tc>
        <w:tc>
          <w:tcPr>
            <w:tcW w:w="8546" w:type="dxa"/>
            <w:gridSpan w:val="11"/>
            <w:vAlign w:val="center"/>
          </w:tcPr>
          <w:p w14:paraId="4DBEB71A">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一、地下工程区</w:t>
            </w:r>
          </w:p>
          <w:p w14:paraId="1CB6AF6D">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（1）临时措施</w:t>
            </w:r>
          </w:p>
          <w:p w14:paraId="118FF534">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1）截水沟、沉沙池（主体已实施）</w:t>
            </w:r>
          </w:p>
          <w:p w14:paraId="742C3DEE">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highlight w:val="none"/>
              </w:rPr>
            </w:pPr>
            <w:r>
              <w:rPr>
                <w:rFonts w:hint="default" w:ascii="Times New Roman" w:hAnsi="Times New Roman" w:eastAsia="方正仿宋_GB2312" w:cs="Times New Roman"/>
                <w:spacing w:val="-1"/>
                <w:sz w:val="21"/>
                <w:szCs w:val="21"/>
                <w:highlight w:val="none"/>
              </w:rPr>
              <w:t>在坑顶设置截水沟及临时沉沙池，在基坑开挖线外1m处开挖建设，坑顶设置截水沟276.3m，截水沟采用砌砖，矩形断面，MU7.5普通砖砌，断面尺寸为净宽0.40m×净深0.40m，按5年一遇 10min 暴雨强度进行设计，沟底比降结合地形布置，平均沟底比降0.4%—0.7%，施工结束后拆除。</w:t>
            </w:r>
          </w:p>
          <w:p w14:paraId="49C3ED00">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highlight w:val="none"/>
              </w:rPr>
            </w:pPr>
            <w:r>
              <w:rPr>
                <w:rFonts w:hint="default" w:ascii="Times New Roman" w:hAnsi="Times New Roman" w:eastAsia="方正仿宋_GB2312" w:cs="Times New Roman"/>
                <w:spacing w:val="-1"/>
                <w:sz w:val="21"/>
                <w:szCs w:val="21"/>
                <w:highlight w:val="none"/>
              </w:rPr>
              <w:t>在截水沟转角位置，设置临时沉沙池采用砖砌，沉沙池底长1.50m，底宽1.00m，深1.05m，，临时沉沙池合计2个。</w:t>
            </w:r>
          </w:p>
          <w:p w14:paraId="5A136F6C">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eastAsia" w:ascii="Times New Roman" w:hAnsi="Times New Roman" w:eastAsia="方正仿宋_GB2312" w:cs="Times New Roman"/>
                <w:spacing w:val="-1"/>
                <w:sz w:val="21"/>
                <w:szCs w:val="21"/>
                <w:lang w:eastAsia="zh-CN"/>
              </w:rPr>
              <w:t>二</w:t>
            </w:r>
            <w:r>
              <w:rPr>
                <w:rFonts w:hint="default" w:ascii="Times New Roman" w:hAnsi="Times New Roman" w:eastAsia="方正仿宋_GB2312" w:cs="Times New Roman"/>
                <w:spacing w:val="-1"/>
                <w:sz w:val="21"/>
                <w:szCs w:val="21"/>
              </w:rPr>
              <w:t>、建、构筑物工程区</w:t>
            </w:r>
          </w:p>
          <w:p w14:paraId="4D301249">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（1）临时措施</w:t>
            </w:r>
          </w:p>
          <w:p w14:paraId="1D51ED47">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1）排水沟、沉沙池（主体已实施）</w:t>
            </w:r>
          </w:p>
          <w:p w14:paraId="4E6C17E8">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highlight w:val="none"/>
              </w:rPr>
            </w:pPr>
            <w:r>
              <w:rPr>
                <w:rFonts w:hint="default" w:ascii="Times New Roman" w:hAnsi="Times New Roman" w:eastAsia="方正仿宋_GB2312" w:cs="Times New Roman"/>
                <w:spacing w:val="-1"/>
                <w:sz w:val="21"/>
                <w:szCs w:val="21"/>
                <w:highlight w:val="none"/>
              </w:rPr>
              <w:t>临时排水沟共计358m（MU7.5普通砖砌，矩形断面，0.40m×0.40m），按5年一遇 10min 暴雨强度进行设计，沟底比降结合地形布置，平均沟底比降0.4%—0.7%，施工结束后拆除。</w:t>
            </w:r>
          </w:p>
          <w:p w14:paraId="336909D1">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highlight w:val="none"/>
              </w:rPr>
            </w:pPr>
            <w:r>
              <w:rPr>
                <w:rFonts w:hint="default" w:ascii="Times New Roman" w:hAnsi="Times New Roman" w:eastAsia="方正仿宋_GB2312" w:cs="Times New Roman"/>
                <w:spacing w:val="-1"/>
                <w:sz w:val="21"/>
                <w:szCs w:val="21"/>
                <w:highlight w:val="none"/>
              </w:rPr>
              <w:t>在临时排水沟转角位置及出口设置临时沉沙池，设置临时沉沙池 4个（MU7.5普通砖砌，沉沙池底长1.50m，底宽1.00m，深1.05m），衬砌形式M10水泥砂浆抹面，厚度0.24m，施工结束后拆除。</w:t>
            </w:r>
          </w:p>
          <w:p w14:paraId="256E3990">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highlight w:val="none"/>
              </w:rPr>
              <w:t>2）密目网苫盖（</w:t>
            </w:r>
            <w:r>
              <w:rPr>
                <w:rFonts w:hint="default" w:ascii="Times New Roman" w:hAnsi="Times New Roman" w:eastAsia="方正仿宋_GB2312" w:cs="Times New Roman"/>
                <w:spacing w:val="-1"/>
                <w:sz w:val="21"/>
                <w:szCs w:val="21"/>
              </w:rPr>
              <w:t>主体已实施）</w:t>
            </w:r>
          </w:p>
          <w:p w14:paraId="6847F87A">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建筑周边裸露土地采用密目网苫盖，合计密目网苫盖面积1752m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w:t>
            </w:r>
          </w:p>
          <w:p w14:paraId="45CCE104">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eastAsia" w:ascii="Times New Roman" w:hAnsi="Times New Roman" w:eastAsia="方正仿宋_GB2312" w:cs="Times New Roman"/>
                <w:spacing w:val="-1"/>
                <w:sz w:val="21"/>
                <w:szCs w:val="21"/>
                <w:lang w:eastAsia="zh-CN"/>
              </w:rPr>
              <w:t>三</w:t>
            </w:r>
            <w:r>
              <w:rPr>
                <w:rFonts w:hint="default" w:ascii="Times New Roman" w:hAnsi="Times New Roman" w:eastAsia="方正仿宋_GB2312" w:cs="Times New Roman"/>
                <w:spacing w:val="-1"/>
                <w:sz w:val="21"/>
                <w:szCs w:val="21"/>
              </w:rPr>
              <w:t>、场内道路及硬化工程区</w:t>
            </w:r>
          </w:p>
          <w:p w14:paraId="2A0D00D0">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（1）工程措施</w:t>
            </w:r>
          </w:p>
          <w:p w14:paraId="7640F8ED">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1）场地排水工程（主体未实施）</w:t>
            </w:r>
          </w:p>
          <w:p w14:paraId="01CB4FA5">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水管布设于道路中心，雨水管网管径为DN150~ DN300，平均坡度为0.3%-0.6%，管道管顶埋深小于0.70m者，均需加设直径大于等于400mm的钢套管保护排水管，雨水口采用平蓖式单蓖雨水口。</w:t>
            </w:r>
          </w:p>
          <w:p w14:paraId="70FD7125">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DN150雨水管长25.04m，DN300雨水管长494.51m，雨水口17个。</w:t>
            </w:r>
          </w:p>
          <w:p w14:paraId="3C733F4B">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 xml:space="preserve"> 2）雨水蓄水池（主体未实施）</w:t>
            </w:r>
          </w:p>
          <w:p w14:paraId="4E7238CC">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在场地东南侧绿化带下设置雨水蓄水池，蓄水池容量300m</w:t>
            </w:r>
            <w:r>
              <w:rPr>
                <w:rFonts w:hint="default" w:ascii="Times New Roman" w:hAnsi="Times New Roman" w:eastAsia="方正仿宋_GB2312" w:cs="Times New Roman"/>
                <w:spacing w:val="-1"/>
                <w:sz w:val="21"/>
                <w:szCs w:val="21"/>
                <w:vertAlign w:val="superscript"/>
              </w:rPr>
              <w:t>3</w:t>
            </w:r>
            <w:r>
              <w:rPr>
                <w:rFonts w:hint="default" w:ascii="Times New Roman" w:hAnsi="Times New Roman" w:eastAsia="方正仿宋_GB2312" w:cs="Times New Roman"/>
                <w:spacing w:val="-1"/>
                <w:sz w:val="21"/>
                <w:szCs w:val="21"/>
              </w:rPr>
              <w:t>，尺寸12m×7m×4m，蓄水池采用钢筋混凝土+室外地埋式塑料模块。</w:t>
            </w:r>
          </w:p>
          <w:p w14:paraId="1F382B3C">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（2）临时措施</w:t>
            </w:r>
          </w:p>
          <w:p w14:paraId="6104CF12">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1）洗车设施（主体已实施）</w:t>
            </w:r>
          </w:p>
          <w:p w14:paraId="3F3051C0">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车辆清洗池1套，车辆清洗池平面长12m，宽6m。纵剖面呈梯形结构，下宽4m，上宽6m，深0.5m，C20砼浇筑，厚30cm。</w:t>
            </w:r>
          </w:p>
          <w:p w14:paraId="7131A797">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2）密目网苫盖（主体未实施）</w:t>
            </w:r>
          </w:p>
          <w:p w14:paraId="5D5A3722">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场内道路、停车场裸露土地采用密目网苫盖，合计密目网苫盖面积868m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w:t>
            </w:r>
          </w:p>
          <w:p w14:paraId="14E42DC4">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eastAsia" w:ascii="Times New Roman" w:hAnsi="Times New Roman" w:eastAsia="方正仿宋_GB2312" w:cs="Times New Roman"/>
                <w:spacing w:val="-1"/>
                <w:sz w:val="21"/>
                <w:szCs w:val="21"/>
                <w:lang w:eastAsia="zh-CN"/>
              </w:rPr>
              <w:t>四</w:t>
            </w:r>
            <w:r>
              <w:rPr>
                <w:rFonts w:hint="default" w:ascii="Times New Roman" w:hAnsi="Times New Roman" w:eastAsia="方正仿宋_GB2312" w:cs="Times New Roman"/>
                <w:spacing w:val="-1"/>
                <w:sz w:val="21"/>
                <w:szCs w:val="21"/>
              </w:rPr>
              <w:t>、绿化工程区</w:t>
            </w:r>
          </w:p>
          <w:p w14:paraId="02EA6FF3">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（1）工程措施</w:t>
            </w:r>
          </w:p>
          <w:p w14:paraId="0837A53E">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1）土地整治（方案新增）</w:t>
            </w:r>
          </w:p>
          <w:p w14:paraId="78F05FB9">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绿化工程区占地面积0.12hm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土方在回覆过程中其土壤原有结构可能受到一定程度影响而不利于植物措施的实施，且场地在施工过程中的平整、碾压以及地形造景等施工活动也使得其地表不利于植被生长，因此本方案设计在回铺土方后对其采取松土、清除杂物等土地整治措施。绿化工程区土地整治面积为0.12h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w:t>
            </w:r>
          </w:p>
          <w:p w14:paraId="319F9DED">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（2）植物措施</w:t>
            </w:r>
          </w:p>
          <w:p w14:paraId="2FC6C9DF">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1）景观绿化（主体未实施）</w:t>
            </w:r>
          </w:p>
          <w:p w14:paraId="6D07036D">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建设区绿化面积0.12hm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，该项措施由主体工程负责实施，以后期的绿化专项设计为准。绿化工程区景观绿化面积为0.12hm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w:t>
            </w:r>
          </w:p>
          <w:p w14:paraId="7D876998">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2）植草沟（主体未实施）</w:t>
            </w:r>
          </w:p>
          <w:p w14:paraId="54ED6ABF">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为避免路面积水，在7#建筑靠近6#建筑一侧的绿化带设置植草沟，有利于雨水的快速下渗和导流，共建设植草沟173.04m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w:t>
            </w:r>
          </w:p>
          <w:p w14:paraId="4D214AE5">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3）抚育管理（方案新增）</w:t>
            </w:r>
          </w:p>
          <w:p w14:paraId="65047CA1">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植物措施实施后，应定期对植被进行维护，病虫害治疗等抚育管理，乔灌草绿化抚育管理0.12hm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·a，抚育管理2年。</w:t>
            </w:r>
          </w:p>
          <w:p w14:paraId="2CCF1D59">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（3）临时措施</w:t>
            </w:r>
          </w:p>
          <w:p w14:paraId="026560AD">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1）密目网苫盖（方案新增）</w:t>
            </w:r>
          </w:p>
          <w:p w14:paraId="0B82F50B">
            <w:pPr>
              <w:pStyle w:val="77"/>
              <w:spacing w:before="180" w:line="220" w:lineRule="auto"/>
              <w:ind w:left="0" w:leftChars="0" w:firstLine="0" w:firstLineChars="0"/>
              <w:jc w:val="both"/>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对不能及时绿化的裸露地面采取苫盖，经统计共采取密目网苫盖714m</w:t>
            </w:r>
            <w:r>
              <w:rPr>
                <w:rFonts w:hint="default" w:ascii="Times New Roman" w:hAnsi="Times New Roman" w:eastAsia="方正仿宋_GB2312" w:cs="Times New Roman"/>
                <w:spacing w:val="-1"/>
                <w:sz w:val="21"/>
                <w:szCs w:val="21"/>
                <w:vertAlign w:val="superscript"/>
              </w:rPr>
              <w:t>2</w:t>
            </w:r>
            <w:r>
              <w:rPr>
                <w:rFonts w:hint="default" w:ascii="Times New Roman" w:hAnsi="Times New Roman" w:eastAsia="方正仿宋_GB2312" w:cs="Times New Roman"/>
                <w:spacing w:val="-1"/>
                <w:sz w:val="21"/>
                <w:szCs w:val="21"/>
              </w:rPr>
              <w:t>。</w:t>
            </w:r>
          </w:p>
        </w:tc>
      </w:tr>
      <w:tr w14:paraId="40455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0" w:hRule="atLeast"/>
        </w:trPr>
        <w:tc>
          <w:tcPr>
            <w:tcW w:w="1201" w:type="dxa"/>
            <w:vMerge w:val="restart"/>
            <w:vAlign w:val="top"/>
          </w:tcPr>
          <w:p w14:paraId="54023C47">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3217360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1A7214B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06B82137">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0FC6B1C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p w14:paraId="1DEFF0D5">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水土保持投资估算  （万元）</w:t>
            </w:r>
          </w:p>
        </w:tc>
        <w:tc>
          <w:tcPr>
            <w:tcW w:w="1940" w:type="dxa"/>
            <w:gridSpan w:val="2"/>
            <w:vAlign w:val="top"/>
          </w:tcPr>
          <w:p w14:paraId="38A1BA1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工程措施</w:t>
            </w:r>
          </w:p>
        </w:tc>
        <w:tc>
          <w:tcPr>
            <w:tcW w:w="2274" w:type="dxa"/>
            <w:gridSpan w:val="4"/>
            <w:vAlign w:val="top"/>
          </w:tcPr>
          <w:p w14:paraId="21C35479">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21.89</w:t>
            </w:r>
          </w:p>
        </w:tc>
        <w:tc>
          <w:tcPr>
            <w:tcW w:w="2262" w:type="dxa"/>
            <w:gridSpan w:val="3"/>
            <w:vAlign w:val="top"/>
          </w:tcPr>
          <w:p w14:paraId="722DD36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植物措施</w:t>
            </w:r>
          </w:p>
        </w:tc>
        <w:tc>
          <w:tcPr>
            <w:tcW w:w="2070" w:type="dxa"/>
            <w:gridSpan w:val="2"/>
            <w:vAlign w:val="top"/>
          </w:tcPr>
          <w:p w14:paraId="76E49EF1">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49.49</w:t>
            </w:r>
          </w:p>
        </w:tc>
      </w:tr>
      <w:tr w14:paraId="16CFE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3" w:hRule="atLeast"/>
        </w:trPr>
        <w:tc>
          <w:tcPr>
            <w:tcW w:w="1201" w:type="dxa"/>
            <w:vMerge w:val="continue"/>
            <w:vAlign w:val="top"/>
          </w:tcPr>
          <w:p w14:paraId="13ED0F1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0" w:type="dxa"/>
            <w:gridSpan w:val="2"/>
            <w:vAlign w:val="top"/>
          </w:tcPr>
          <w:p w14:paraId="3B437EB5">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临时措施</w:t>
            </w:r>
          </w:p>
        </w:tc>
        <w:tc>
          <w:tcPr>
            <w:tcW w:w="2274" w:type="dxa"/>
            <w:gridSpan w:val="4"/>
            <w:vAlign w:val="top"/>
          </w:tcPr>
          <w:p w14:paraId="6431A85D">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11.36</w:t>
            </w:r>
          </w:p>
        </w:tc>
        <w:tc>
          <w:tcPr>
            <w:tcW w:w="2262" w:type="dxa"/>
            <w:gridSpan w:val="3"/>
            <w:vAlign w:val="top"/>
          </w:tcPr>
          <w:p w14:paraId="5CAF6E6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水土保持补偿费</w:t>
            </w:r>
          </w:p>
        </w:tc>
        <w:tc>
          <w:tcPr>
            <w:tcW w:w="2070" w:type="dxa"/>
            <w:gridSpan w:val="2"/>
            <w:vAlign w:val="top"/>
          </w:tcPr>
          <w:p w14:paraId="74676F8C">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1.24</w:t>
            </w:r>
          </w:p>
        </w:tc>
      </w:tr>
      <w:tr w14:paraId="4424B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1201" w:type="dxa"/>
            <w:vMerge w:val="continue"/>
            <w:vAlign w:val="top"/>
          </w:tcPr>
          <w:p w14:paraId="3C693841">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0" w:type="dxa"/>
            <w:gridSpan w:val="2"/>
            <w:vMerge w:val="restart"/>
            <w:vAlign w:val="center"/>
          </w:tcPr>
          <w:p w14:paraId="67D90248">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独立费用</w:t>
            </w:r>
          </w:p>
        </w:tc>
        <w:tc>
          <w:tcPr>
            <w:tcW w:w="2274" w:type="dxa"/>
            <w:gridSpan w:val="4"/>
            <w:vAlign w:val="top"/>
          </w:tcPr>
          <w:p w14:paraId="2915E95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建设管理费</w:t>
            </w:r>
          </w:p>
        </w:tc>
        <w:tc>
          <w:tcPr>
            <w:tcW w:w="4332" w:type="dxa"/>
            <w:gridSpan w:val="5"/>
            <w:vAlign w:val="top"/>
          </w:tcPr>
          <w:p w14:paraId="21F896D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0.37</w:t>
            </w:r>
          </w:p>
        </w:tc>
      </w:tr>
      <w:tr w14:paraId="489E9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3" w:hRule="atLeast"/>
        </w:trPr>
        <w:tc>
          <w:tcPr>
            <w:tcW w:w="1201" w:type="dxa"/>
            <w:vMerge w:val="continue"/>
            <w:vAlign w:val="top"/>
          </w:tcPr>
          <w:p w14:paraId="70A9ABD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0" w:type="dxa"/>
            <w:gridSpan w:val="2"/>
            <w:vMerge w:val="continue"/>
            <w:vAlign w:val="top"/>
          </w:tcPr>
          <w:p w14:paraId="556ECB3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2274" w:type="dxa"/>
            <w:gridSpan w:val="4"/>
            <w:vAlign w:val="top"/>
          </w:tcPr>
          <w:p w14:paraId="3C35DDA7">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科研勘测设计费</w:t>
            </w:r>
          </w:p>
        </w:tc>
        <w:tc>
          <w:tcPr>
            <w:tcW w:w="4332" w:type="dxa"/>
            <w:gridSpan w:val="5"/>
            <w:vAlign w:val="top"/>
          </w:tcPr>
          <w:p w14:paraId="4ED3823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lang w:val="en-US" w:eastAsia="zh-CN"/>
              </w:rPr>
            </w:pPr>
            <w:r>
              <w:rPr>
                <w:rFonts w:hint="default" w:ascii="Times New Roman" w:hAnsi="Times New Roman" w:eastAsia="方正仿宋_GB2312" w:cs="Times New Roman"/>
                <w:spacing w:val="-1"/>
                <w:sz w:val="21"/>
                <w:szCs w:val="21"/>
              </w:rPr>
              <w:t>5</w:t>
            </w:r>
            <w:r>
              <w:rPr>
                <w:rFonts w:hint="eastAsia" w:ascii="Times New Roman" w:hAnsi="Times New Roman" w:eastAsia="方正仿宋_GB2312" w:cs="Times New Roman"/>
                <w:spacing w:val="-1"/>
                <w:sz w:val="21"/>
                <w:szCs w:val="21"/>
                <w:lang w:val="en-US" w:eastAsia="zh-CN"/>
              </w:rPr>
              <w:t>.00</w:t>
            </w:r>
          </w:p>
        </w:tc>
      </w:tr>
      <w:tr w14:paraId="66F22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1201" w:type="dxa"/>
            <w:vMerge w:val="continue"/>
            <w:vAlign w:val="top"/>
          </w:tcPr>
          <w:p w14:paraId="107A8019">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0" w:type="dxa"/>
            <w:gridSpan w:val="2"/>
            <w:vMerge w:val="continue"/>
            <w:vAlign w:val="top"/>
          </w:tcPr>
          <w:p w14:paraId="302B1EE4">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2274" w:type="dxa"/>
            <w:gridSpan w:val="4"/>
            <w:vAlign w:val="top"/>
          </w:tcPr>
          <w:p w14:paraId="128E339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水土保持监理费</w:t>
            </w:r>
          </w:p>
        </w:tc>
        <w:tc>
          <w:tcPr>
            <w:tcW w:w="4332" w:type="dxa"/>
            <w:gridSpan w:val="5"/>
            <w:vAlign w:val="top"/>
          </w:tcPr>
          <w:p w14:paraId="0EC5AD3C">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0.00</w:t>
            </w:r>
          </w:p>
        </w:tc>
      </w:tr>
      <w:tr w14:paraId="508F5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1201" w:type="dxa"/>
            <w:vMerge w:val="continue"/>
            <w:vAlign w:val="top"/>
          </w:tcPr>
          <w:p w14:paraId="680F57FD">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0" w:type="dxa"/>
            <w:gridSpan w:val="2"/>
            <w:vMerge w:val="continue"/>
            <w:vAlign w:val="top"/>
          </w:tcPr>
          <w:p w14:paraId="37ACCB3E">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2274" w:type="dxa"/>
            <w:gridSpan w:val="4"/>
            <w:vAlign w:val="top"/>
          </w:tcPr>
          <w:p w14:paraId="61037F2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设计、验收费</w:t>
            </w:r>
          </w:p>
        </w:tc>
        <w:tc>
          <w:tcPr>
            <w:tcW w:w="4332" w:type="dxa"/>
            <w:gridSpan w:val="5"/>
            <w:vAlign w:val="top"/>
          </w:tcPr>
          <w:p w14:paraId="75FF3D3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eastAsia" w:ascii="Times New Roman" w:hAnsi="Times New Roman" w:eastAsia="方正仿宋_GB2312" w:cs="Times New Roman"/>
                <w:spacing w:val="-1"/>
                <w:sz w:val="21"/>
                <w:szCs w:val="21"/>
                <w:lang w:val="en-US" w:eastAsia="zh-CN"/>
              </w:rPr>
              <w:t>4</w:t>
            </w:r>
            <w:r>
              <w:rPr>
                <w:rFonts w:hint="default" w:ascii="Times New Roman" w:hAnsi="Times New Roman" w:eastAsia="方正仿宋_GB2312" w:cs="Times New Roman"/>
                <w:spacing w:val="-1"/>
                <w:sz w:val="21"/>
                <w:szCs w:val="21"/>
              </w:rPr>
              <w:t>.00</w:t>
            </w:r>
          </w:p>
        </w:tc>
      </w:tr>
      <w:tr w14:paraId="3DA89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3" w:hRule="atLeast"/>
        </w:trPr>
        <w:tc>
          <w:tcPr>
            <w:tcW w:w="1201" w:type="dxa"/>
            <w:vMerge w:val="continue"/>
            <w:vAlign w:val="top"/>
          </w:tcPr>
          <w:p w14:paraId="072F3EEF">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p>
        </w:tc>
        <w:tc>
          <w:tcPr>
            <w:tcW w:w="1940" w:type="dxa"/>
            <w:gridSpan w:val="2"/>
            <w:vAlign w:val="top"/>
          </w:tcPr>
          <w:p w14:paraId="4EFF708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总费用</w:t>
            </w:r>
          </w:p>
        </w:tc>
        <w:tc>
          <w:tcPr>
            <w:tcW w:w="6606" w:type="dxa"/>
            <w:gridSpan w:val="9"/>
            <w:vAlign w:val="top"/>
          </w:tcPr>
          <w:p w14:paraId="07A4B130">
            <w:pPr>
              <w:pStyle w:val="77"/>
              <w:spacing w:before="180" w:line="220" w:lineRule="auto"/>
              <w:ind w:left="0" w:leftChars="0" w:firstLine="0" w:firstLineChars="0"/>
              <w:jc w:val="center"/>
              <w:rPr>
                <w:rFonts w:hint="eastAsia" w:ascii="Times New Roman" w:hAnsi="Times New Roman" w:eastAsia="方正仿宋_GB2312" w:cs="Times New Roman"/>
                <w:spacing w:val="-1"/>
                <w:sz w:val="21"/>
                <w:szCs w:val="21"/>
                <w:lang w:eastAsia="zh-CN"/>
              </w:rPr>
            </w:pPr>
            <w:r>
              <w:rPr>
                <w:rFonts w:hint="eastAsia" w:ascii="Times New Roman" w:hAnsi="Times New Roman" w:eastAsia="方正仿宋_GB2312" w:cs="Times New Roman"/>
                <w:spacing w:val="-1"/>
                <w:sz w:val="21"/>
                <w:szCs w:val="21"/>
                <w:lang w:eastAsia="zh-CN"/>
              </w:rPr>
              <w:t>96.62</w:t>
            </w:r>
          </w:p>
        </w:tc>
      </w:tr>
      <w:tr w14:paraId="159DA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1" w:hRule="atLeast"/>
        </w:trPr>
        <w:tc>
          <w:tcPr>
            <w:tcW w:w="2014" w:type="dxa"/>
            <w:gridSpan w:val="2"/>
            <w:vAlign w:val="top"/>
          </w:tcPr>
          <w:p w14:paraId="172D9998">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编制单位</w:t>
            </w:r>
          </w:p>
        </w:tc>
        <w:tc>
          <w:tcPr>
            <w:tcW w:w="2943" w:type="dxa"/>
            <w:gridSpan w:val="3"/>
            <w:vAlign w:val="top"/>
          </w:tcPr>
          <w:p w14:paraId="7195B9A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四川乾蓉工程项目管理有限公司</w:t>
            </w:r>
          </w:p>
        </w:tc>
        <w:tc>
          <w:tcPr>
            <w:tcW w:w="1852" w:type="dxa"/>
            <w:gridSpan w:val="4"/>
            <w:vAlign w:val="top"/>
          </w:tcPr>
          <w:p w14:paraId="2CE16FC1">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建设单位</w:t>
            </w:r>
          </w:p>
        </w:tc>
        <w:tc>
          <w:tcPr>
            <w:tcW w:w="2938" w:type="dxa"/>
            <w:gridSpan w:val="3"/>
            <w:vAlign w:val="top"/>
          </w:tcPr>
          <w:p w14:paraId="771D361C">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绵阳兆辉投资有限公司</w:t>
            </w:r>
          </w:p>
        </w:tc>
      </w:tr>
      <w:tr w14:paraId="53800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578" w:hRule="atLeast"/>
        </w:trPr>
        <w:tc>
          <w:tcPr>
            <w:tcW w:w="2014" w:type="dxa"/>
            <w:gridSpan w:val="2"/>
            <w:vAlign w:val="top"/>
          </w:tcPr>
          <w:p w14:paraId="5E2803AF">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法人代表</w:t>
            </w:r>
          </w:p>
        </w:tc>
        <w:tc>
          <w:tcPr>
            <w:tcW w:w="2943" w:type="dxa"/>
            <w:gridSpan w:val="3"/>
            <w:vAlign w:val="top"/>
          </w:tcPr>
          <w:p w14:paraId="37E934F8">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周若如</w:t>
            </w:r>
          </w:p>
        </w:tc>
        <w:tc>
          <w:tcPr>
            <w:tcW w:w="1852" w:type="dxa"/>
            <w:gridSpan w:val="4"/>
            <w:vAlign w:val="top"/>
          </w:tcPr>
          <w:p w14:paraId="63FE655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法人代表</w:t>
            </w:r>
          </w:p>
        </w:tc>
        <w:tc>
          <w:tcPr>
            <w:tcW w:w="2938" w:type="dxa"/>
            <w:gridSpan w:val="3"/>
            <w:vAlign w:val="top"/>
          </w:tcPr>
          <w:p w14:paraId="4C035541">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李小艳</w:t>
            </w:r>
          </w:p>
        </w:tc>
      </w:tr>
      <w:tr w14:paraId="6B841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1" w:hRule="atLeast"/>
        </w:trPr>
        <w:tc>
          <w:tcPr>
            <w:tcW w:w="2014" w:type="dxa"/>
            <w:gridSpan w:val="2"/>
            <w:vAlign w:val="top"/>
          </w:tcPr>
          <w:p w14:paraId="185111CE">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地址</w:t>
            </w:r>
          </w:p>
        </w:tc>
        <w:tc>
          <w:tcPr>
            <w:tcW w:w="2943" w:type="dxa"/>
            <w:gridSpan w:val="3"/>
            <w:vAlign w:val="top"/>
          </w:tcPr>
          <w:p w14:paraId="730A503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成都市金牛区花照壁西顺街</w:t>
            </w:r>
          </w:p>
        </w:tc>
        <w:tc>
          <w:tcPr>
            <w:tcW w:w="1852" w:type="dxa"/>
            <w:gridSpan w:val="4"/>
            <w:vAlign w:val="top"/>
          </w:tcPr>
          <w:p w14:paraId="0444B8A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地址</w:t>
            </w:r>
          </w:p>
        </w:tc>
        <w:tc>
          <w:tcPr>
            <w:tcW w:w="2938" w:type="dxa"/>
            <w:gridSpan w:val="3"/>
            <w:vAlign w:val="top"/>
          </w:tcPr>
          <w:p w14:paraId="77D5C22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绵阳市高新区永兴镇三海路6号</w:t>
            </w:r>
          </w:p>
        </w:tc>
      </w:tr>
      <w:tr w14:paraId="62091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2014" w:type="dxa"/>
            <w:gridSpan w:val="2"/>
            <w:vAlign w:val="top"/>
          </w:tcPr>
          <w:p w14:paraId="3F27ECD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邮编</w:t>
            </w:r>
          </w:p>
        </w:tc>
        <w:tc>
          <w:tcPr>
            <w:tcW w:w="2943" w:type="dxa"/>
            <w:gridSpan w:val="3"/>
            <w:vAlign w:val="top"/>
          </w:tcPr>
          <w:p w14:paraId="7597B1DB">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610036</w:t>
            </w:r>
          </w:p>
        </w:tc>
        <w:tc>
          <w:tcPr>
            <w:tcW w:w="1852" w:type="dxa"/>
            <w:gridSpan w:val="4"/>
            <w:vAlign w:val="top"/>
          </w:tcPr>
          <w:p w14:paraId="7C48263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邮编</w:t>
            </w:r>
          </w:p>
        </w:tc>
        <w:tc>
          <w:tcPr>
            <w:tcW w:w="2938" w:type="dxa"/>
            <w:gridSpan w:val="3"/>
            <w:vAlign w:val="top"/>
          </w:tcPr>
          <w:p w14:paraId="141A0F27">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621050</w:t>
            </w:r>
          </w:p>
        </w:tc>
      </w:tr>
      <w:tr w14:paraId="3F953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90" w:hRule="atLeast"/>
        </w:trPr>
        <w:tc>
          <w:tcPr>
            <w:tcW w:w="2014" w:type="dxa"/>
            <w:gridSpan w:val="2"/>
            <w:vAlign w:val="top"/>
          </w:tcPr>
          <w:p w14:paraId="3607085F">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联系人及电话</w:t>
            </w:r>
          </w:p>
        </w:tc>
        <w:tc>
          <w:tcPr>
            <w:tcW w:w="2943" w:type="dxa"/>
            <w:gridSpan w:val="3"/>
            <w:vAlign w:val="top"/>
          </w:tcPr>
          <w:p w14:paraId="0301BD24">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程小松/17702897664</w:t>
            </w:r>
          </w:p>
        </w:tc>
        <w:tc>
          <w:tcPr>
            <w:tcW w:w="1852" w:type="dxa"/>
            <w:gridSpan w:val="4"/>
            <w:vAlign w:val="top"/>
          </w:tcPr>
          <w:p w14:paraId="46372826">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联系人及电话</w:t>
            </w:r>
          </w:p>
        </w:tc>
        <w:tc>
          <w:tcPr>
            <w:tcW w:w="2938" w:type="dxa"/>
            <w:gridSpan w:val="3"/>
            <w:vAlign w:val="top"/>
          </w:tcPr>
          <w:p w14:paraId="24A3FDF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胥工/ 15196228870</w:t>
            </w:r>
          </w:p>
        </w:tc>
      </w:tr>
      <w:tr w14:paraId="7CA2A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90" w:hRule="atLeast"/>
        </w:trPr>
        <w:tc>
          <w:tcPr>
            <w:tcW w:w="2014" w:type="dxa"/>
            <w:gridSpan w:val="2"/>
            <w:vAlign w:val="top"/>
          </w:tcPr>
          <w:p w14:paraId="1BD8E505">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电子邮箱</w:t>
            </w:r>
          </w:p>
        </w:tc>
        <w:tc>
          <w:tcPr>
            <w:tcW w:w="2943" w:type="dxa"/>
            <w:gridSpan w:val="3"/>
            <w:vAlign w:val="top"/>
          </w:tcPr>
          <w:p w14:paraId="3479E5FA">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987471501@qq.com</w:t>
            </w:r>
          </w:p>
        </w:tc>
        <w:tc>
          <w:tcPr>
            <w:tcW w:w="1852" w:type="dxa"/>
            <w:gridSpan w:val="4"/>
            <w:vAlign w:val="top"/>
          </w:tcPr>
          <w:p w14:paraId="0FB4E052">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电子邮箱</w:t>
            </w:r>
          </w:p>
        </w:tc>
        <w:tc>
          <w:tcPr>
            <w:tcW w:w="2938" w:type="dxa"/>
            <w:gridSpan w:val="3"/>
            <w:vAlign w:val="top"/>
          </w:tcPr>
          <w:p w14:paraId="48391420">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lang w:val="en-US" w:eastAsia="zh-CN"/>
              </w:rPr>
            </w:pPr>
            <w:r>
              <w:rPr>
                <w:rFonts w:hint="eastAsia" w:ascii="Times New Roman" w:hAnsi="Times New Roman" w:eastAsia="方正仿宋_GB2312" w:cs="Times New Roman"/>
                <w:spacing w:val="-1"/>
                <w:sz w:val="21"/>
                <w:szCs w:val="21"/>
                <w:lang w:val="en-US" w:eastAsia="zh-CN"/>
              </w:rPr>
              <w:t>391415516@qq.com</w:t>
            </w:r>
          </w:p>
        </w:tc>
      </w:tr>
      <w:tr w14:paraId="2AD24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113" w:type="dxa"/>
            <w:right w:w="0" w:type="dxa"/>
          </w:tblCellMar>
        </w:tblPrEx>
        <w:trPr>
          <w:trHeight w:val="90" w:hRule="atLeast"/>
        </w:trPr>
        <w:tc>
          <w:tcPr>
            <w:tcW w:w="2014" w:type="dxa"/>
            <w:gridSpan w:val="2"/>
            <w:vAlign w:val="top"/>
          </w:tcPr>
          <w:p w14:paraId="63FCF7A1">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传真</w:t>
            </w:r>
          </w:p>
        </w:tc>
        <w:tc>
          <w:tcPr>
            <w:tcW w:w="2943" w:type="dxa"/>
            <w:gridSpan w:val="3"/>
            <w:vAlign w:val="top"/>
          </w:tcPr>
          <w:p w14:paraId="0AD47795">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w:t>
            </w:r>
          </w:p>
        </w:tc>
        <w:tc>
          <w:tcPr>
            <w:tcW w:w="1852" w:type="dxa"/>
            <w:gridSpan w:val="4"/>
            <w:vAlign w:val="top"/>
          </w:tcPr>
          <w:p w14:paraId="658DB9E3">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传真</w:t>
            </w:r>
          </w:p>
        </w:tc>
        <w:tc>
          <w:tcPr>
            <w:tcW w:w="2938" w:type="dxa"/>
            <w:gridSpan w:val="3"/>
            <w:vAlign w:val="top"/>
          </w:tcPr>
          <w:p w14:paraId="38D0DAA8">
            <w:pPr>
              <w:pStyle w:val="77"/>
              <w:spacing w:before="180" w:line="220" w:lineRule="auto"/>
              <w:ind w:left="0" w:leftChars="0" w:firstLine="0" w:firstLineChars="0"/>
              <w:jc w:val="center"/>
              <w:rPr>
                <w:rFonts w:hint="default" w:ascii="Times New Roman" w:hAnsi="Times New Roman" w:eastAsia="方正仿宋_GB2312" w:cs="Times New Roman"/>
                <w:spacing w:val="-1"/>
                <w:sz w:val="21"/>
                <w:szCs w:val="21"/>
              </w:rPr>
            </w:pPr>
            <w:r>
              <w:rPr>
                <w:rFonts w:hint="default" w:ascii="Times New Roman" w:hAnsi="Times New Roman" w:eastAsia="方正仿宋_GB2312" w:cs="Times New Roman"/>
                <w:spacing w:val="-1"/>
                <w:sz w:val="21"/>
                <w:szCs w:val="21"/>
              </w:rPr>
              <w:t>/</w:t>
            </w:r>
          </w:p>
        </w:tc>
      </w:tr>
    </w:tbl>
    <w:p w14:paraId="5919B20E">
      <w:pPr>
        <w:ind w:firstLine="0" w:firstLineChars="0"/>
        <w:jc w:val="center"/>
        <w:rPr>
          <w:rFonts w:ascii="宋体" w:hAnsi="宋体" w:eastAsia="宋体" w:cs="宋体"/>
          <w:b/>
          <w:bCs/>
          <w:spacing w:val="-3"/>
          <w:sz w:val="28"/>
          <w:szCs w:val="28"/>
        </w:rPr>
        <w:sectPr>
          <w:pgSz w:w="11906" w:h="16838"/>
          <w:pgMar w:top="1440" w:right="1080" w:bottom="1440" w:left="1080" w:header="851" w:footer="992" w:gutter="0"/>
          <w:cols w:space="425" w:num="1"/>
          <w:docGrid w:type="lines" w:linePitch="312" w:charSpace="0"/>
        </w:sectPr>
      </w:pPr>
    </w:p>
    <w:p w14:paraId="4B3EDDB2">
      <w:pPr>
        <w:ind w:firstLine="643"/>
        <w:jc w:val="center"/>
        <w:rPr>
          <w:rFonts w:hint="eastAsia" w:ascii="黑体" w:hAnsi="黑体" w:eastAsia="黑体" w:cs="黑体"/>
          <w:b/>
          <w:bCs/>
          <w:color w:val="000000" w:themeColor="text1"/>
          <w:sz w:val="32"/>
          <w:szCs w:val="32"/>
          <w14:textFill>
            <w14:solidFill>
              <w14:schemeClr w14:val="tx1"/>
            </w14:solidFill>
          </w14:textFill>
        </w:rPr>
      </w:pPr>
      <w:bookmarkStart w:id="5" w:name="_Hlk136419035"/>
      <w:r>
        <w:rPr>
          <w:rFonts w:hint="eastAsia" w:ascii="黑体" w:hAnsi="黑体" w:eastAsia="黑体" w:cs="黑体"/>
          <w:b/>
          <w:bCs/>
          <w:color w:val="000000" w:themeColor="text1"/>
          <w:sz w:val="32"/>
          <w:szCs w:val="32"/>
          <w14:textFill>
            <w14:solidFill>
              <w14:schemeClr w14:val="tx1"/>
            </w14:solidFill>
          </w14:textFill>
        </w:rPr>
        <w:t>项目区现状（拍摄于2</w:t>
      </w:r>
      <w:r>
        <w:rPr>
          <w:rFonts w:ascii="黑体" w:hAnsi="黑体" w:eastAsia="黑体" w:cs="黑体"/>
          <w:b/>
          <w:bCs/>
          <w:color w:val="000000" w:themeColor="text1"/>
          <w:sz w:val="32"/>
          <w:szCs w:val="32"/>
          <w14:textFill>
            <w14:solidFill>
              <w14:schemeClr w14:val="tx1"/>
            </w14:solidFill>
          </w14:textFill>
        </w:rPr>
        <w:t>02</w:t>
      </w:r>
      <w:r>
        <w:rPr>
          <w:rFonts w:hint="eastAsia" w:ascii="黑体" w:hAnsi="黑体" w:eastAsia="黑体" w:cs="黑体"/>
          <w:b/>
          <w:bCs/>
          <w:color w:val="000000" w:themeColor="text1"/>
          <w:sz w:val="32"/>
          <w:szCs w:val="32"/>
          <w14:textFill>
            <w14:solidFill>
              <w14:schemeClr w14:val="tx1"/>
            </w14:solidFill>
          </w14:textFill>
        </w:rPr>
        <w:t>4年5月）</w:t>
      </w:r>
    </w:p>
    <w:tbl>
      <w:tblPr>
        <w:tblStyle w:val="2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61"/>
        <w:gridCol w:w="4261"/>
      </w:tblGrid>
      <w:tr w14:paraId="087BB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38" w:hRule="atLeast"/>
        </w:trPr>
        <w:tc>
          <w:tcPr>
            <w:tcW w:w="4261" w:type="dxa"/>
            <w:vAlign w:val="center"/>
          </w:tcPr>
          <w:p w14:paraId="45CBE143">
            <w:pPr>
              <w:spacing w:line="240" w:lineRule="auto"/>
              <w:ind w:firstLine="0" w:firstLineChars="0"/>
              <w:rPr>
                <w:rFonts w:hint="eastAsia" w:ascii="黑体" w:hAnsi="黑体" w:eastAsia="黑体" w:cs="黑体"/>
                <w:b/>
                <w:bCs/>
                <w:color w:val="000000" w:themeColor="text1"/>
                <w:sz w:val="32"/>
                <w:szCs w:val="32"/>
                <w14:textFill>
                  <w14:solidFill>
                    <w14:schemeClr w14:val="tx1"/>
                  </w14:solidFill>
                </w14:textFill>
              </w:rPr>
            </w:pPr>
            <w:r>
              <w:rPr>
                <w:rFonts w:ascii="黑体" w:hAnsi="黑体" w:eastAsia="黑体" w:cs="黑体"/>
                <w:b/>
                <w:bCs/>
                <w:color w:val="000000" w:themeColor="text1"/>
                <w:sz w:val="32"/>
                <w:szCs w:val="32"/>
                <w14:textFill>
                  <w14:solidFill>
                    <w14:schemeClr w14:val="tx1"/>
                  </w14:solidFill>
                </w14:textFill>
              </w:rPr>
              <w:drawing>
                <wp:inline distT="0" distB="0" distL="0" distR="0">
                  <wp:extent cx="2740025" cy="1891665"/>
                  <wp:effectExtent l="0" t="0" r="3175" b="13335"/>
                  <wp:docPr id="1092718999" name="图片 11" descr="D:/★CXS工作文档/出差照片/绵阳1/微信图片_202405271639211.png微信图片_20240527163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18999" name="图片 11" descr="D:/★CXS工作文档/出差照片/绵阳1/微信图片_202405271639211.png微信图片_202405271639211"/>
                          <pic:cNvPicPr>
                            <a:picLocks noChangeAspect="1" noChangeArrowheads="1"/>
                          </pic:cNvPicPr>
                        </pic:nvPicPr>
                        <pic:blipFill>
                          <a:blip r:embed="rId42"/>
                          <a:srcRect l="24217" r="12108"/>
                          <a:stretch>
                            <a:fillRect/>
                          </a:stretch>
                        </pic:blipFill>
                        <pic:spPr>
                          <a:xfrm>
                            <a:off x="0" y="0"/>
                            <a:ext cx="2740025" cy="1891665"/>
                          </a:xfrm>
                          <a:prstGeom prst="rect">
                            <a:avLst/>
                          </a:prstGeom>
                          <a:noFill/>
                          <a:ln>
                            <a:noFill/>
                          </a:ln>
                        </pic:spPr>
                      </pic:pic>
                    </a:graphicData>
                  </a:graphic>
                </wp:inline>
              </w:drawing>
            </w:r>
          </w:p>
        </w:tc>
        <w:tc>
          <w:tcPr>
            <w:tcW w:w="4261" w:type="dxa"/>
          </w:tcPr>
          <w:p w14:paraId="398D9AE3">
            <w:pPr>
              <w:spacing w:line="240" w:lineRule="auto"/>
              <w:ind w:firstLine="0" w:firstLineChars="0"/>
              <w:rPr>
                <w:rFonts w:hint="eastAsia" w:ascii="黑体" w:hAnsi="黑体" w:eastAsia="黑体" w:cs="黑体"/>
                <w:b/>
                <w:bCs/>
                <w:color w:val="000000" w:themeColor="text1"/>
                <w:sz w:val="32"/>
                <w:szCs w:val="32"/>
                <w14:textFill>
                  <w14:solidFill>
                    <w14:schemeClr w14:val="tx1"/>
                  </w14:solidFill>
                </w14:textFill>
              </w:rPr>
            </w:pPr>
            <w:r>
              <w:rPr>
                <w:color w:val="000000" w:themeColor="text1"/>
                <w14:textFill>
                  <w14:solidFill>
                    <w14:schemeClr w14:val="tx1"/>
                  </w14:solidFill>
                </w14:textFill>
              </w:rPr>
              <w:drawing>
                <wp:inline distT="0" distB="0" distL="0" distR="0">
                  <wp:extent cx="2747645" cy="1905000"/>
                  <wp:effectExtent l="0" t="0" r="14605" b="0"/>
                  <wp:docPr id="1045358951" name="图片 7" descr="D:/★CXS工作文档/出差照片/绵阳1/微信图片_202405271639233.png微信图片_20240527163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58951" name="图片 7" descr="D:/★CXS工作文档/出差照片/绵阳1/微信图片_202405271639233.png微信图片_202405271639233"/>
                          <pic:cNvPicPr>
                            <a:picLocks noChangeAspect="1" noChangeArrowheads="1"/>
                          </pic:cNvPicPr>
                        </pic:nvPicPr>
                        <pic:blipFill>
                          <a:blip r:embed="rId43"/>
                          <a:srcRect l="12512" r="12512"/>
                          <a:stretch>
                            <a:fillRect/>
                          </a:stretch>
                        </pic:blipFill>
                        <pic:spPr>
                          <a:xfrm>
                            <a:off x="0" y="0"/>
                            <a:ext cx="2747645" cy="1905000"/>
                          </a:xfrm>
                          <a:prstGeom prst="rect">
                            <a:avLst/>
                          </a:prstGeom>
                          <a:noFill/>
                          <a:ln>
                            <a:noFill/>
                          </a:ln>
                        </pic:spPr>
                      </pic:pic>
                    </a:graphicData>
                  </a:graphic>
                </wp:inline>
              </w:drawing>
            </w:r>
          </w:p>
        </w:tc>
      </w:tr>
      <w:tr w14:paraId="78C7B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trPr>
        <w:tc>
          <w:tcPr>
            <w:tcW w:w="4261" w:type="dxa"/>
            <w:vAlign w:val="center"/>
          </w:tcPr>
          <w:p w14:paraId="0E3E512E">
            <w:pPr>
              <w:spacing w:line="240" w:lineRule="auto"/>
              <w:ind w:firstLine="0" w:firstLineChars="0"/>
              <w:jc w:val="center"/>
              <w:rPr>
                <w:rFonts w:hint="eastAsia" w:ascii="黑体" w:hAnsi="黑体" w:eastAsia="黑体" w:cs="黑体"/>
                <w:b/>
                <w:bCs/>
                <w:color w:val="000000" w:themeColor="text1"/>
                <w:sz w:val="32"/>
                <w:szCs w:val="32"/>
                <w14:textFill>
                  <w14:solidFill>
                    <w14:schemeClr w14:val="tx1"/>
                  </w14:solidFill>
                </w14:textFill>
              </w:rPr>
            </w:pPr>
            <w:r>
              <w:rPr>
                <w:rFonts w:hint="eastAsia"/>
                <w:b/>
                <w:bCs/>
                <w:color w:val="000000" w:themeColor="text1"/>
                <w14:textFill>
                  <w14:solidFill>
                    <w14:schemeClr w14:val="tx1"/>
                  </w14:solidFill>
                </w14:textFill>
              </w:rPr>
              <w:t>项目区现状俯视影像</w:t>
            </w:r>
          </w:p>
        </w:tc>
        <w:tc>
          <w:tcPr>
            <w:tcW w:w="4261" w:type="dxa"/>
            <w:vAlign w:val="center"/>
          </w:tcPr>
          <w:p w14:paraId="07BD0078">
            <w:pPr>
              <w:spacing w:line="240" w:lineRule="auto"/>
              <w:ind w:firstLine="0" w:firstLineChars="0"/>
              <w:jc w:val="center"/>
              <w:rPr>
                <w:color w:val="000000" w:themeColor="text1"/>
                <w14:textFill>
                  <w14:solidFill>
                    <w14:schemeClr w14:val="tx1"/>
                  </w14:solidFill>
                </w14:textFill>
              </w:rPr>
            </w:pPr>
            <w:r>
              <w:rPr>
                <w:rFonts w:hint="eastAsia"/>
                <w:b/>
                <w:bCs/>
                <w:color w:val="000000" w:themeColor="text1"/>
                <w14:textFill>
                  <w14:solidFill>
                    <w14:schemeClr w14:val="tx1"/>
                  </w14:solidFill>
                </w14:textFill>
              </w:rPr>
              <w:t>项目区现状俯视影像</w:t>
            </w:r>
          </w:p>
        </w:tc>
      </w:tr>
      <w:tr w14:paraId="1B2C9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61" w:type="dxa"/>
          </w:tcPr>
          <w:p w14:paraId="218E0074">
            <w:pPr>
              <w:spacing w:line="240" w:lineRule="auto"/>
              <w:ind w:firstLine="0" w:firstLineChars="0"/>
              <w:rPr>
                <w:rFonts w:hint="eastAsia" w:ascii="黑体" w:hAnsi="黑体" w:eastAsia="黑体" w:cs="黑体"/>
                <w:b/>
                <w:bCs/>
                <w:color w:val="000000" w:themeColor="text1"/>
                <w:sz w:val="32"/>
                <w:szCs w:val="32"/>
                <w14:textFill>
                  <w14:solidFill>
                    <w14:schemeClr w14:val="tx1"/>
                  </w14:solidFill>
                </w14:textFill>
              </w:rPr>
            </w:pPr>
            <w:r>
              <w:rPr>
                <w:color w:val="000000" w:themeColor="text1"/>
                <w14:textFill>
                  <w14:solidFill>
                    <w14:schemeClr w14:val="tx1"/>
                  </w14:solidFill>
                </w14:textFill>
              </w:rPr>
              <w:drawing>
                <wp:inline distT="0" distB="0" distL="0" distR="0">
                  <wp:extent cx="3174365" cy="2011680"/>
                  <wp:effectExtent l="0" t="0" r="6985" b="7620"/>
                  <wp:docPr id="804884889" name="图片 2" descr="D:/★CXS工作文档/出差照片/绵阳1/微信图片_20240527163842.jpg微信图片_2024052716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84889" name="图片 2" descr="D:/★CXS工作文档/出差照片/绵阳1/微信图片_20240527163842.jpg微信图片_20240527163842"/>
                          <pic:cNvPicPr>
                            <a:picLocks noChangeAspect="1" noChangeArrowheads="1"/>
                          </pic:cNvPicPr>
                        </pic:nvPicPr>
                        <pic:blipFill>
                          <a:blip r:embed="rId44"/>
                          <a:srcRect l="12809" r="16" b="26341"/>
                          <a:stretch>
                            <a:fillRect/>
                          </a:stretch>
                        </pic:blipFill>
                        <pic:spPr>
                          <a:xfrm>
                            <a:off x="0" y="0"/>
                            <a:ext cx="3174365" cy="2011680"/>
                          </a:xfrm>
                          <a:prstGeom prst="rect">
                            <a:avLst/>
                          </a:prstGeom>
                          <a:noFill/>
                          <a:ln>
                            <a:noFill/>
                          </a:ln>
                        </pic:spPr>
                      </pic:pic>
                    </a:graphicData>
                  </a:graphic>
                </wp:inline>
              </w:drawing>
            </w:r>
          </w:p>
        </w:tc>
        <w:tc>
          <w:tcPr>
            <w:tcW w:w="4261" w:type="dxa"/>
          </w:tcPr>
          <w:p w14:paraId="5FB418E9">
            <w:pPr>
              <w:spacing w:line="240" w:lineRule="auto"/>
              <w:ind w:firstLine="0" w:firstLineChars="0"/>
              <w:rPr>
                <w:rFonts w:hint="eastAsia" w:ascii="黑体" w:hAnsi="黑体" w:eastAsia="黑体" w:cs="黑体"/>
                <w:b/>
                <w:bCs/>
                <w:color w:val="000000" w:themeColor="text1"/>
                <w:sz w:val="32"/>
                <w:szCs w:val="32"/>
                <w14:textFill>
                  <w14:solidFill>
                    <w14:schemeClr w14:val="tx1"/>
                  </w14:solidFill>
                </w14:textFill>
              </w:rPr>
            </w:pPr>
            <w:r>
              <w:rPr>
                <w:color w:val="000000" w:themeColor="text1"/>
                <w14:textFill>
                  <w14:solidFill>
                    <w14:schemeClr w14:val="tx1"/>
                  </w14:solidFill>
                </w14:textFill>
              </w:rPr>
              <w:drawing>
                <wp:inline distT="0" distB="0" distL="0" distR="0">
                  <wp:extent cx="3121660" cy="2025650"/>
                  <wp:effectExtent l="0" t="0" r="2540" b="12700"/>
                  <wp:docPr id="1" name="图片 2" descr="D:/★CXS工作文档/出差照片/绵阳1/微信图片_20240527163842.jpg微信图片_2024052716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D:/★CXS工作文档/出差照片/绵阳1/微信图片_20240527163842.jpg微信图片_20240527163842"/>
                          <pic:cNvPicPr>
                            <a:picLocks noChangeAspect="1" noChangeArrowheads="1"/>
                          </pic:cNvPicPr>
                        </pic:nvPicPr>
                        <pic:blipFill>
                          <a:blip r:embed="rId44"/>
                          <a:srcRect l="18397" t="68579" r="439"/>
                          <a:stretch>
                            <a:fillRect/>
                          </a:stretch>
                        </pic:blipFill>
                        <pic:spPr>
                          <a:xfrm>
                            <a:off x="0" y="0"/>
                            <a:ext cx="3121660" cy="2025650"/>
                          </a:xfrm>
                          <a:prstGeom prst="rect">
                            <a:avLst/>
                          </a:prstGeom>
                          <a:noFill/>
                          <a:ln>
                            <a:noFill/>
                          </a:ln>
                        </pic:spPr>
                      </pic:pic>
                    </a:graphicData>
                  </a:graphic>
                </wp:inline>
              </w:drawing>
            </w:r>
          </w:p>
        </w:tc>
      </w:tr>
      <w:tr w14:paraId="2D718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61" w:type="dxa"/>
            <w:vAlign w:val="center"/>
          </w:tcPr>
          <w:p w14:paraId="192B5F1F">
            <w:pPr>
              <w:spacing w:line="240" w:lineRule="auto"/>
              <w:ind w:firstLine="0" w:firstLineChars="0"/>
              <w:jc w:val="center"/>
              <w:rPr>
                <w:color w:val="000000" w:themeColor="text1"/>
                <w14:textFill>
                  <w14:solidFill>
                    <w14:schemeClr w14:val="tx1"/>
                  </w14:solidFill>
                </w14:textFill>
              </w:rPr>
            </w:pPr>
            <w:r>
              <w:rPr>
                <w:rFonts w:hint="eastAsia"/>
                <w:b/>
                <w:bCs/>
                <w:color w:val="000000" w:themeColor="text1"/>
                <w14:textFill>
                  <w14:solidFill>
                    <w14:schemeClr w14:val="tx1"/>
                  </w14:solidFill>
                </w14:textFill>
              </w:rPr>
              <w:t>已建洗车设施现状影像</w:t>
            </w:r>
          </w:p>
        </w:tc>
        <w:tc>
          <w:tcPr>
            <w:tcW w:w="4261" w:type="dxa"/>
          </w:tcPr>
          <w:p w14:paraId="2FECE09C">
            <w:pPr>
              <w:spacing w:line="240" w:lineRule="auto"/>
              <w:ind w:firstLine="0" w:firstLineChars="0"/>
              <w:jc w:val="center"/>
              <w:rPr>
                <w:color w:val="000000" w:themeColor="text1"/>
                <w14:textFill>
                  <w14:solidFill>
                    <w14:schemeClr w14:val="tx1"/>
                  </w14:solidFill>
                </w14:textFill>
              </w:rPr>
            </w:pPr>
            <w:r>
              <w:rPr>
                <w:rFonts w:hint="eastAsia"/>
                <w:b/>
                <w:bCs/>
                <w:color w:val="000000" w:themeColor="text1"/>
                <w14:textFill>
                  <w14:solidFill>
                    <w14:schemeClr w14:val="tx1"/>
                  </w14:solidFill>
                </w14:textFill>
              </w:rPr>
              <w:t>已建临时排水沟现状影像</w:t>
            </w:r>
          </w:p>
        </w:tc>
      </w:tr>
      <w:tr w14:paraId="4A136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61" w:type="dxa"/>
          </w:tcPr>
          <w:p w14:paraId="77EB8029">
            <w:pPr>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99385" cy="2025015"/>
                  <wp:effectExtent l="0" t="0" r="5715" b="13335"/>
                  <wp:docPr id="1005865224" name="图片 4" descr="D:/★CXS工作文档/出差照片/绵阳1/微信图片_202405271639221.png微信图片_20240527163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65224" name="图片 4" descr="D:/★CXS工作文档/出差照片/绵阳1/微信图片_202405271639221.png微信图片_202405271639221"/>
                          <pic:cNvPicPr>
                            <a:picLocks noChangeAspect="1" noChangeArrowheads="1"/>
                          </pic:cNvPicPr>
                        </pic:nvPicPr>
                        <pic:blipFill>
                          <a:blip r:embed="rId45"/>
                          <a:srcRect l="12512" r="12512"/>
                          <a:stretch>
                            <a:fillRect/>
                          </a:stretch>
                        </pic:blipFill>
                        <pic:spPr>
                          <a:xfrm>
                            <a:off x="0" y="0"/>
                            <a:ext cx="2699385" cy="2025015"/>
                          </a:xfrm>
                          <a:prstGeom prst="rect">
                            <a:avLst/>
                          </a:prstGeom>
                          <a:noFill/>
                          <a:ln>
                            <a:noFill/>
                          </a:ln>
                        </pic:spPr>
                      </pic:pic>
                    </a:graphicData>
                  </a:graphic>
                </wp:inline>
              </w:drawing>
            </w:r>
          </w:p>
        </w:tc>
        <w:tc>
          <w:tcPr>
            <w:tcW w:w="4261" w:type="dxa"/>
          </w:tcPr>
          <w:p w14:paraId="20A08B79">
            <w:pPr>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752725" cy="2035810"/>
                  <wp:effectExtent l="0" t="0" r="9525" b="2540"/>
                  <wp:docPr id="389977154" name="图片 5" descr="D:/★CXS工作文档/出差照片/绵阳1/微信图片_20240527163922.png微信图片_2024052716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77154" name="图片 5" descr="D:/★CXS工作文档/出差照片/绵阳1/微信图片_20240527163922.png微信图片_20240527163922"/>
                          <pic:cNvPicPr>
                            <a:picLocks noChangeAspect="1" noChangeArrowheads="1"/>
                          </pic:cNvPicPr>
                        </pic:nvPicPr>
                        <pic:blipFill>
                          <a:blip r:embed="rId46"/>
                          <a:srcRect l="24510" r="14715"/>
                          <a:stretch>
                            <a:fillRect/>
                          </a:stretch>
                        </pic:blipFill>
                        <pic:spPr>
                          <a:xfrm>
                            <a:off x="0" y="0"/>
                            <a:ext cx="2752725" cy="2035810"/>
                          </a:xfrm>
                          <a:prstGeom prst="rect">
                            <a:avLst/>
                          </a:prstGeom>
                          <a:noFill/>
                          <a:ln>
                            <a:noFill/>
                          </a:ln>
                        </pic:spPr>
                      </pic:pic>
                    </a:graphicData>
                  </a:graphic>
                </wp:inline>
              </w:drawing>
            </w:r>
          </w:p>
        </w:tc>
      </w:tr>
      <w:tr w14:paraId="15F4B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261" w:type="dxa"/>
          </w:tcPr>
          <w:p w14:paraId="66720BC4">
            <w:pPr>
              <w:spacing w:line="240" w:lineRule="auto"/>
              <w:ind w:firstLine="0" w:firstLineChars="0"/>
              <w:jc w:val="center"/>
              <w:rPr>
                <w:color w:val="000000" w:themeColor="text1"/>
                <w14:textFill>
                  <w14:solidFill>
                    <w14:schemeClr w14:val="tx1"/>
                  </w14:solidFill>
                </w14:textFill>
              </w:rPr>
            </w:pPr>
            <w:r>
              <w:rPr>
                <w:rFonts w:hint="eastAsia"/>
                <w:b/>
                <w:bCs/>
                <w:color w:val="000000" w:themeColor="text1"/>
                <w14:textFill>
                  <w14:solidFill>
                    <w14:schemeClr w14:val="tx1"/>
                  </w14:solidFill>
                </w14:textFill>
              </w:rPr>
              <w:t>已建场内道路现状影像</w:t>
            </w:r>
          </w:p>
        </w:tc>
        <w:tc>
          <w:tcPr>
            <w:tcW w:w="4261" w:type="dxa"/>
          </w:tcPr>
          <w:p w14:paraId="403A41A2">
            <w:pPr>
              <w:spacing w:line="240" w:lineRule="auto"/>
              <w:ind w:firstLine="0" w:firstLineChars="0"/>
              <w:jc w:val="center"/>
              <w:rPr>
                <w:color w:val="000000" w:themeColor="text1"/>
                <w14:textFill>
                  <w14:solidFill>
                    <w14:schemeClr w14:val="tx1"/>
                  </w14:solidFill>
                </w14:textFill>
              </w:rPr>
            </w:pPr>
            <w:r>
              <w:rPr>
                <w:rFonts w:hint="eastAsia"/>
                <w:b/>
                <w:bCs/>
                <w:color w:val="000000" w:themeColor="text1"/>
                <w14:textFill>
                  <w14:solidFill>
                    <w14:schemeClr w14:val="tx1"/>
                  </w14:solidFill>
                </w14:textFill>
              </w:rPr>
              <w:t>已建场内道路现状影像</w:t>
            </w:r>
          </w:p>
        </w:tc>
      </w:tr>
    </w:tbl>
    <w:p w14:paraId="30322095">
      <w:pPr>
        <w:rPr>
          <w:rFonts w:hint="eastAsia" w:eastAsia="黑体" w:cs="Times New Roman"/>
          <w:color w:val="000000" w:themeColor="text1"/>
          <w14:textFill>
            <w14:solidFill>
              <w14:schemeClr w14:val="tx1"/>
            </w14:solidFill>
          </w14:textFill>
        </w:rPr>
      </w:pPr>
      <w:r>
        <w:rPr>
          <w:rFonts w:hint="eastAsia" w:eastAsia="黑体" w:cs="Times New Roman"/>
          <w:color w:val="000000" w:themeColor="text1"/>
          <w14:textFill>
            <w14:solidFill>
              <w14:schemeClr w14:val="tx1"/>
            </w14:solidFill>
          </w14:textFill>
        </w:rPr>
        <w:br w:type="page"/>
      </w:r>
    </w:p>
    <w:p w14:paraId="37131863">
      <w:pPr>
        <w:ind w:firstLine="0" w:firstLineChars="0"/>
        <w:jc w:val="center"/>
        <w:rPr>
          <w:rFonts w:eastAsia="黑体" w:cs="Times New Roman"/>
          <w:color w:val="000000" w:themeColor="text1"/>
          <w:sz w:val="28"/>
          <w:szCs w:val="28"/>
          <w14:textFill>
            <w14:solidFill>
              <w14:schemeClr w14:val="tx1"/>
            </w14:solidFill>
          </w14:textFill>
        </w:rPr>
      </w:pPr>
      <w:r>
        <w:rPr>
          <w:rFonts w:hint="eastAsia" w:eastAsia="黑体" w:cs="Times New Roman"/>
          <w:color w:val="000000" w:themeColor="text1"/>
          <w:sz w:val="28"/>
          <w:szCs w:val="28"/>
          <w14:textFill>
            <w14:solidFill>
              <w14:schemeClr w14:val="tx1"/>
            </w14:solidFill>
          </w14:textFill>
        </w:rPr>
        <w:t>高新区兆辉新能源工业园及基础设施配套项目（二期）</w:t>
      </w:r>
    </w:p>
    <w:p w14:paraId="729B58F7">
      <w:pPr>
        <w:ind w:firstLine="0" w:firstLineChars="0"/>
        <w:jc w:val="center"/>
        <w:rPr>
          <w:rFonts w:eastAsia="黑体" w:cs="Times New Roman"/>
          <w:color w:val="000000" w:themeColor="text1"/>
          <w:sz w:val="28"/>
          <w:szCs w:val="28"/>
          <w14:textFill>
            <w14:solidFill>
              <w14:schemeClr w14:val="tx1"/>
            </w14:solidFill>
          </w14:textFill>
        </w:rPr>
      </w:pPr>
      <w:r>
        <w:rPr>
          <w:rFonts w:hint="eastAsia" w:eastAsia="黑体" w:cs="Times New Roman"/>
          <w:color w:val="000000" w:themeColor="text1"/>
          <w:sz w:val="28"/>
          <w:szCs w:val="28"/>
          <w14:textFill>
            <w14:solidFill>
              <w14:schemeClr w14:val="tx1"/>
            </w14:solidFill>
          </w14:textFill>
        </w:rPr>
        <w:t>专家技术审查意见修改对照表</w:t>
      </w:r>
    </w:p>
    <w:tbl>
      <w:tblPr>
        <w:tblStyle w:val="27"/>
        <w:tblW w:w="534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57"/>
        <w:gridCol w:w="4708"/>
        <w:gridCol w:w="2111"/>
        <w:gridCol w:w="1530"/>
      </w:tblGrid>
      <w:tr w14:paraId="746297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4CB0F51D">
            <w:pPr>
              <w:spacing w:line="0" w:lineRule="atLeast"/>
              <w:ind w:firstLine="0" w:firstLineChars="0"/>
              <w:jc w:val="center"/>
              <w:rPr>
                <w:rFonts w:eastAsia="仿宋" w:cs="Times New Roman"/>
                <w:b/>
                <w:color w:val="000000" w:themeColor="text1"/>
                <w:sz w:val="21"/>
                <w:szCs w:val="21"/>
                <w14:textFill>
                  <w14:solidFill>
                    <w14:schemeClr w14:val="tx1"/>
                  </w14:solidFill>
                </w14:textFill>
              </w:rPr>
            </w:pPr>
            <w:r>
              <w:rPr>
                <w:rFonts w:eastAsia="仿宋" w:cs="Times New Roman"/>
                <w:b/>
                <w:color w:val="000000" w:themeColor="text1"/>
                <w:sz w:val="21"/>
                <w:szCs w:val="21"/>
                <w14:textFill>
                  <w14:solidFill>
                    <w14:schemeClr w14:val="tx1"/>
                  </w14:solidFill>
                </w14:textFill>
              </w:rPr>
              <w:t>序号</w:t>
            </w:r>
          </w:p>
        </w:tc>
        <w:tc>
          <w:tcPr>
            <w:tcW w:w="2643" w:type="pct"/>
            <w:tcBorders>
              <w:tl2br w:val="nil"/>
              <w:tr2bl w:val="nil"/>
            </w:tcBorders>
            <w:vAlign w:val="center"/>
          </w:tcPr>
          <w:p w14:paraId="3BB83D44">
            <w:pPr>
              <w:spacing w:line="0" w:lineRule="atLeast"/>
              <w:ind w:firstLine="0" w:firstLineChars="0"/>
              <w:jc w:val="center"/>
              <w:rPr>
                <w:rFonts w:eastAsia="仿宋" w:cs="Times New Roman"/>
                <w:b/>
                <w:color w:val="000000" w:themeColor="text1"/>
                <w:sz w:val="21"/>
                <w:szCs w:val="21"/>
                <w14:textFill>
                  <w14:solidFill>
                    <w14:schemeClr w14:val="tx1"/>
                  </w14:solidFill>
                </w14:textFill>
              </w:rPr>
            </w:pPr>
            <w:r>
              <w:rPr>
                <w:rFonts w:eastAsia="仿宋" w:cs="Times New Roman"/>
                <w:b/>
                <w:color w:val="000000" w:themeColor="text1"/>
                <w:sz w:val="21"/>
                <w:szCs w:val="21"/>
                <w14:textFill>
                  <w14:solidFill>
                    <w14:schemeClr w14:val="tx1"/>
                  </w14:solidFill>
                </w14:textFill>
              </w:rPr>
              <w:t>专家</w:t>
            </w:r>
            <w:r>
              <w:rPr>
                <w:rFonts w:hint="eastAsia" w:eastAsia="仿宋" w:cs="Times New Roman"/>
                <w:b/>
                <w:color w:val="000000" w:themeColor="text1"/>
                <w:sz w:val="21"/>
                <w:szCs w:val="21"/>
                <w14:textFill>
                  <w14:solidFill>
                    <w14:schemeClr w14:val="tx1"/>
                  </w14:solidFill>
                </w14:textFill>
              </w:rPr>
              <w:t>审查</w:t>
            </w:r>
            <w:r>
              <w:rPr>
                <w:rFonts w:eastAsia="仿宋" w:cs="Times New Roman"/>
                <w:b/>
                <w:color w:val="000000" w:themeColor="text1"/>
                <w:sz w:val="21"/>
                <w:szCs w:val="21"/>
                <w14:textFill>
                  <w14:solidFill>
                    <w14:schemeClr w14:val="tx1"/>
                  </w14:solidFill>
                </w14:textFill>
              </w:rPr>
              <w:t>意见</w:t>
            </w:r>
          </w:p>
        </w:tc>
        <w:tc>
          <w:tcPr>
            <w:tcW w:w="1185" w:type="pct"/>
            <w:tcBorders>
              <w:tl2br w:val="nil"/>
              <w:tr2bl w:val="nil"/>
            </w:tcBorders>
            <w:vAlign w:val="center"/>
          </w:tcPr>
          <w:p w14:paraId="26132A7A">
            <w:pPr>
              <w:spacing w:line="0" w:lineRule="atLeast"/>
              <w:ind w:firstLine="0" w:firstLineChars="0"/>
              <w:jc w:val="center"/>
              <w:rPr>
                <w:rFonts w:eastAsia="仿宋" w:cs="Times New Roman"/>
                <w:b/>
                <w:color w:val="000000" w:themeColor="text1"/>
                <w:sz w:val="21"/>
                <w:szCs w:val="21"/>
                <w14:textFill>
                  <w14:solidFill>
                    <w14:schemeClr w14:val="tx1"/>
                  </w14:solidFill>
                </w14:textFill>
              </w:rPr>
            </w:pPr>
            <w:r>
              <w:rPr>
                <w:rFonts w:eastAsia="仿宋" w:cs="Times New Roman"/>
                <w:b/>
                <w:color w:val="000000" w:themeColor="text1"/>
                <w:sz w:val="21"/>
                <w:szCs w:val="21"/>
                <w14:textFill>
                  <w14:solidFill>
                    <w14:schemeClr w14:val="tx1"/>
                  </w14:solidFill>
                </w14:textFill>
              </w:rPr>
              <w:t>修改情况</w:t>
            </w:r>
          </w:p>
        </w:tc>
        <w:tc>
          <w:tcPr>
            <w:tcW w:w="856" w:type="pct"/>
            <w:tcBorders>
              <w:tl2br w:val="nil"/>
              <w:tr2bl w:val="nil"/>
            </w:tcBorders>
            <w:vAlign w:val="center"/>
          </w:tcPr>
          <w:p w14:paraId="48515CD1">
            <w:pPr>
              <w:spacing w:line="0" w:lineRule="atLeast"/>
              <w:ind w:firstLine="0" w:firstLineChars="0"/>
              <w:jc w:val="center"/>
              <w:rPr>
                <w:rFonts w:eastAsia="仿宋" w:cs="Times New Roman"/>
                <w:b/>
                <w:color w:val="000000" w:themeColor="text1"/>
                <w:sz w:val="21"/>
                <w:szCs w:val="21"/>
                <w14:textFill>
                  <w14:solidFill>
                    <w14:schemeClr w14:val="tx1"/>
                  </w14:solidFill>
                </w14:textFill>
              </w:rPr>
            </w:pPr>
            <w:r>
              <w:rPr>
                <w:rFonts w:eastAsia="仿宋" w:cs="Times New Roman"/>
                <w:b/>
                <w:color w:val="000000" w:themeColor="text1"/>
                <w:sz w:val="21"/>
                <w:szCs w:val="21"/>
                <w14:textFill>
                  <w14:solidFill>
                    <w14:schemeClr w14:val="tx1"/>
                  </w14:solidFill>
                </w14:textFill>
              </w:rPr>
              <w:t>对应位置</w:t>
            </w:r>
          </w:p>
        </w:tc>
      </w:tr>
      <w:tr w14:paraId="0C9884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000" w:type="pct"/>
            <w:gridSpan w:val="4"/>
            <w:tcBorders>
              <w:tl2br w:val="nil"/>
              <w:tr2bl w:val="nil"/>
            </w:tcBorders>
            <w:vAlign w:val="center"/>
          </w:tcPr>
          <w:p w14:paraId="0550ECC9">
            <w:pPr>
              <w:spacing w:line="0" w:lineRule="atLeast"/>
              <w:ind w:firstLine="1054" w:firstLineChars="500"/>
              <w:rPr>
                <w:rFonts w:eastAsia="仿宋" w:cs="Times New Roman"/>
                <w:b/>
                <w:color w:val="000000" w:themeColor="text1"/>
                <w:sz w:val="21"/>
                <w:szCs w:val="21"/>
                <w14:textFill>
                  <w14:solidFill>
                    <w14:schemeClr w14:val="tx1"/>
                  </w14:solidFill>
                </w14:textFill>
              </w:rPr>
            </w:pPr>
            <w:r>
              <w:rPr>
                <w:rFonts w:hint="eastAsia" w:eastAsia="仿宋" w:cs="Times New Roman"/>
                <w:b/>
                <w:color w:val="000000" w:themeColor="text1"/>
                <w:sz w:val="21"/>
                <w:szCs w:val="21"/>
                <w14:textFill>
                  <w14:solidFill>
                    <w14:schemeClr w14:val="tx1"/>
                  </w14:solidFill>
                </w14:textFill>
              </w:rPr>
              <w:t xml:space="preserve">专家姓名：王海星 </w:t>
            </w:r>
            <w:r>
              <w:rPr>
                <w:rFonts w:eastAsia="仿宋" w:cs="Times New Roman"/>
                <w:b/>
                <w:color w:val="000000" w:themeColor="text1"/>
                <w:sz w:val="21"/>
                <w:szCs w:val="21"/>
                <w14:textFill>
                  <w14:solidFill>
                    <w14:schemeClr w14:val="tx1"/>
                  </w14:solidFill>
                </w14:textFill>
              </w:rPr>
              <w:t xml:space="preserve">  </w:t>
            </w:r>
            <w:r>
              <w:rPr>
                <w:rFonts w:hint="eastAsia" w:eastAsia="仿宋" w:cs="Times New Roman"/>
                <w:b/>
                <w:color w:val="000000" w:themeColor="text1"/>
                <w:sz w:val="21"/>
                <w:szCs w:val="21"/>
                <w14:textFill>
                  <w14:solidFill>
                    <w14:schemeClr w14:val="tx1"/>
                  </w14:solidFill>
                </w14:textFill>
              </w:rPr>
              <w:t xml:space="preserve"> </w:t>
            </w:r>
            <w:r>
              <w:rPr>
                <w:rFonts w:eastAsia="仿宋" w:cs="Times New Roman"/>
                <w:b/>
                <w:color w:val="000000" w:themeColor="text1"/>
                <w:sz w:val="21"/>
                <w:szCs w:val="21"/>
                <w14:textFill>
                  <w14:solidFill>
                    <w14:schemeClr w14:val="tx1"/>
                  </w14:solidFill>
                </w14:textFill>
              </w:rPr>
              <w:t xml:space="preserve">  </w:t>
            </w:r>
            <w:r>
              <w:rPr>
                <w:rFonts w:hint="eastAsia" w:eastAsia="仿宋" w:cs="Times New Roman"/>
                <w:b/>
                <w:color w:val="000000" w:themeColor="text1"/>
                <w:sz w:val="21"/>
                <w:szCs w:val="21"/>
                <w14:textFill>
                  <w14:solidFill>
                    <w14:schemeClr w14:val="tx1"/>
                  </w14:solidFill>
                </w14:textFill>
              </w:rPr>
              <w:t>工作单位：中国电建集团成都勘测设计研究院有限公司</w:t>
            </w:r>
          </w:p>
        </w:tc>
      </w:tr>
      <w:tr w14:paraId="53D4A5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522400E1">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eastAsia="仿宋" w:cs="Times New Roman"/>
                <w:color w:val="000000" w:themeColor="text1"/>
                <w:sz w:val="21"/>
                <w:szCs w:val="21"/>
                <w14:textFill>
                  <w14:solidFill>
                    <w14:schemeClr w14:val="tx1"/>
                  </w14:solidFill>
                </w14:textFill>
              </w:rPr>
              <w:t>1</w:t>
            </w:r>
          </w:p>
        </w:tc>
        <w:tc>
          <w:tcPr>
            <w:tcW w:w="2643" w:type="pct"/>
            <w:tcBorders>
              <w:tl2br w:val="nil"/>
              <w:tr2bl w:val="nil"/>
            </w:tcBorders>
            <w:vAlign w:val="center"/>
          </w:tcPr>
          <w:p w14:paraId="4A429805">
            <w:pPr>
              <w:spacing w:line="0" w:lineRule="atLeast"/>
              <w:ind w:firstLine="0" w:firstLineChars="0"/>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项目区现状</w:t>
            </w:r>
            <w:r>
              <w:rPr>
                <w:rFonts w:hint="eastAsia" w:eastAsia="仿宋" w:cs="Times New Roman"/>
                <w:color w:val="000000" w:themeColor="text1"/>
                <w:sz w:val="21"/>
                <w:szCs w:val="21"/>
                <w:lang w:eastAsia="zh-CN"/>
                <w14:textFill>
                  <w14:solidFill>
                    <w14:schemeClr w14:val="tx1"/>
                  </w14:solidFill>
                </w14:textFill>
              </w:rPr>
              <w:t>图</w:t>
            </w:r>
            <w:r>
              <w:rPr>
                <w:rFonts w:hint="eastAsia" w:eastAsia="仿宋" w:cs="Times New Roman"/>
                <w:color w:val="000000" w:themeColor="text1"/>
                <w:sz w:val="21"/>
                <w:szCs w:val="21"/>
                <w14:textFill>
                  <w14:solidFill>
                    <w14:schemeClr w14:val="tx1"/>
                  </w14:solidFill>
                </w14:textFill>
              </w:rPr>
              <w:t>，建议项目现场照片中补充项目建设范围示意框线。</w:t>
            </w:r>
          </w:p>
        </w:tc>
        <w:tc>
          <w:tcPr>
            <w:tcW w:w="1185" w:type="pct"/>
            <w:tcBorders>
              <w:tl2br w:val="nil"/>
              <w:tr2bl w:val="nil"/>
            </w:tcBorders>
            <w:vAlign w:val="center"/>
          </w:tcPr>
          <w:p w14:paraId="77CEE150">
            <w:pPr>
              <w:spacing w:line="0" w:lineRule="atLeast"/>
              <w:ind w:firstLine="0" w:firstLineChars="0"/>
              <w:jc w:val="center"/>
              <w:rPr>
                <w:rFonts w:hint="eastAsia" w:eastAsia="仿宋" w:cs="Times New Roman"/>
                <w:color w:val="000000" w:themeColor="text1"/>
                <w:sz w:val="21"/>
                <w:szCs w:val="21"/>
                <w:lang w:eastAsia="zh-CN"/>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w:t>
            </w:r>
            <w:r>
              <w:rPr>
                <w:rFonts w:hint="eastAsia" w:eastAsia="仿宋" w:cs="Times New Roman"/>
                <w:color w:val="000000" w:themeColor="text1"/>
                <w:sz w:val="21"/>
                <w:szCs w:val="21"/>
                <w:lang w:eastAsia="zh-CN"/>
                <w14:textFill>
                  <w14:solidFill>
                    <w14:schemeClr w14:val="tx1"/>
                  </w14:solidFill>
                </w14:textFill>
              </w:rPr>
              <w:t>补充</w:t>
            </w:r>
          </w:p>
        </w:tc>
        <w:tc>
          <w:tcPr>
            <w:tcW w:w="856" w:type="pct"/>
            <w:tcBorders>
              <w:tl2br w:val="nil"/>
              <w:tr2bl w:val="nil"/>
            </w:tcBorders>
            <w:vAlign w:val="center"/>
          </w:tcPr>
          <w:p w14:paraId="56A6B0AC">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详见签字页后项目区影像资料</w:t>
            </w:r>
          </w:p>
        </w:tc>
      </w:tr>
      <w:tr w14:paraId="4CCCA8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1FCAEE22">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eastAsia="仿宋" w:cs="Times New Roman"/>
                <w:color w:val="000000" w:themeColor="text1"/>
                <w:sz w:val="21"/>
                <w:szCs w:val="21"/>
                <w14:textFill>
                  <w14:solidFill>
                    <w14:schemeClr w14:val="tx1"/>
                  </w14:solidFill>
                </w14:textFill>
              </w:rPr>
              <w:t>2</w:t>
            </w:r>
          </w:p>
        </w:tc>
        <w:tc>
          <w:tcPr>
            <w:tcW w:w="2643" w:type="pct"/>
            <w:tcBorders>
              <w:tl2br w:val="nil"/>
              <w:tr2bl w:val="nil"/>
            </w:tcBorders>
            <w:vAlign w:val="center"/>
          </w:tcPr>
          <w:p w14:paraId="471E4EDD">
            <w:pPr>
              <w:spacing w:line="0" w:lineRule="atLeast"/>
              <w:ind w:firstLine="0" w:firstLineChars="0"/>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项目已于2023年6月开工，项目未批先建，建议复核整改通知书或水务局其他方式的通知。</w:t>
            </w:r>
          </w:p>
        </w:tc>
        <w:tc>
          <w:tcPr>
            <w:tcW w:w="1185" w:type="pct"/>
            <w:tcBorders>
              <w:tl2br w:val="nil"/>
              <w:tr2bl w:val="nil"/>
            </w:tcBorders>
            <w:vAlign w:val="center"/>
          </w:tcPr>
          <w:p w14:paraId="70C45D2F">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已补充相关说明</w:t>
            </w:r>
          </w:p>
        </w:tc>
        <w:tc>
          <w:tcPr>
            <w:tcW w:w="856" w:type="pct"/>
            <w:tcBorders>
              <w:tl2br w:val="nil"/>
              <w:tr2bl w:val="nil"/>
            </w:tcBorders>
            <w:vAlign w:val="center"/>
          </w:tcPr>
          <w:p w14:paraId="3837B94E">
            <w:pPr>
              <w:spacing w:line="0" w:lineRule="atLeast"/>
              <w:ind w:firstLine="0" w:firstLineChars="0"/>
              <w:jc w:val="center"/>
              <w:rPr>
                <w:rFonts w:hint="eastAsia" w:eastAsia="仿宋" w:cs="Times New Roman"/>
                <w:color w:val="000000" w:themeColor="text1"/>
                <w:sz w:val="21"/>
                <w:szCs w:val="21"/>
                <w:lang w:eastAsia="zh-CN"/>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报告</w:t>
            </w:r>
            <w:r>
              <w:rPr>
                <w:rFonts w:hint="eastAsia" w:eastAsia="仿宋" w:cs="Times New Roman"/>
                <w:color w:val="000000" w:themeColor="text1"/>
                <w:sz w:val="21"/>
                <w:szCs w:val="21"/>
                <w:lang w:eastAsia="zh-CN"/>
                <w14:textFill>
                  <w14:solidFill>
                    <w14:schemeClr w14:val="tx1"/>
                  </w14:solidFill>
                </w14:textFill>
              </w:rPr>
              <w:t>附件</w:t>
            </w:r>
          </w:p>
        </w:tc>
      </w:tr>
      <w:tr w14:paraId="15DB7E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62599ADA">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eastAsia="仿宋" w:cs="Times New Roman"/>
                <w:color w:val="000000" w:themeColor="text1"/>
                <w:sz w:val="21"/>
                <w:szCs w:val="21"/>
                <w14:textFill>
                  <w14:solidFill>
                    <w14:schemeClr w14:val="tx1"/>
                  </w14:solidFill>
                </w14:textFill>
              </w:rPr>
              <w:t>3</w:t>
            </w:r>
          </w:p>
        </w:tc>
        <w:tc>
          <w:tcPr>
            <w:tcW w:w="2643" w:type="pct"/>
            <w:tcBorders>
              <w:tl2br w:val="nil"/>
              <w:tr2bl w:val="nil"/>
            </w:tcBorders>
            <w:vAlign w:val="center"/>
          </w:tcPr>
          <w:p w14:paraId="229679E2">
            <w:pPr>
              <w:spacing w:line="0" w:lineRule="atLeast"/>
              <w:ind w:firstLine="0" w:firstLineChars="0"/>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根据本项目周边地类情况，现阶段虽规划为工业用地，复核本项目原始地貌是否可以剥离表土，建议复核。</w:t>
            </w:r>
          </w:p>
        </w:tc>
        <w:tc>
          <w:tcPr>
            <w:tcW w:w="1185" w:type="pct"/>
            <w:tcBorders>
              <w:tl2br w:val="nil"/>
              <w:tr2bl w:val="nil"/>
            </w:tcBorders>
            <w:vAlign w:val="center"/>
          </w:tcPr>
          <w:p w14:paraId="01CEA108">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已复核</w:t>
            </w:r>
          </w:p>
        </w:tc>
        <w:tc>
          <w:tcPr>
            <w:tcW w:w="856" w:type="pct"/>
            <w:tcBorders>
              <w:tl2br w:val="nil"/>
              <w:tr2bl w:val="nil"/>
            </w:tcBorders>
            <w:vAlign w:val="center"/>
          </w:tcPr>
          <w:p w14:paraId="6F045FC8">
            <w:pPr>
              <w:spacing w:line="0" w:lineRule="atLeast"/>
              <w:ind w:firstLine="0" w:firstLineChars="0"/>
              <w:jc w:val="center"/>
              <w:rPr>
                <w:rFonts w:hint="default" w:eastAsia="仿宋" w:cs="Times New Roman"/>
                <w:color w:val="000000" w:themeColor="text1"/>
                <w:sz w:val="21"/>
                <w:szCs w:val="21"/>
                <w:lang w:val="en-US" w:eastAsia="zh-CN"/>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报告</w:t>
            </w:r>
            <w:r>
              <w:rPr>
                <w:rFonts w:hint="eastAsia" w:eastAsia="仿宋" w:cs="Times New Roman"/>
                <w:color w:val="000000" w:themeColor="text1"/>
                <w:sz w:val="21"/>
                <w:szCs w:val="21"/>
                <w:lang w:val="en-US" w:eastAsia="zh-CN"/>
                <w14:textFill>
                  <w14:solidFill>
                    <w14:schemeClr w14:val="tx1"/>
                  </w14:solidFill>
                </w14:textFill>
              </w:rPr>
              <w:t>2.4.1</w:t>
            </w:r>
          </w:p>
        </w:tc>
      </w:tr>
      <w:tr w14:paraId="338973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20902B26">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eastAsia="仿宋" w:cs="Times New Roman"/>
                <w:color w:val="000000" w:themeColor="text1"/>
                <w:sz w:val="21"/>
                <w:szCs w:val="21"/>
                <w14:textFill>
                  <w14:solidFill>
                    <w14:schemeClr w14:val="tx1"/>
                  </w14:solidFill>
                </w14:textFill>
              </w:rPr>
              <w:t>4</w:t>
            </w:r>
          </w:p>
        </w:tc>
        <w:tc>
          <w:tcPr>
            <w:tcW w:w="2643" w:type="pct"/>
            <w:tcBorders>
              <w:tl2br w:val="nil"/>
              <w:tr2bl w:val="nil"/>
            </w:tcBorders>
            <w:vAlign w:val="center"/>
          </w:tcPr>
          <w:p w14:paraId="55D40AF3">
            <w:pPr>
              <w:spacing w:line="0" w:lineRule="atLeast"/>
              <w:ind w:firstLine="0" w:firstLineChars="0"/>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土壤介绍部分建议补充项目区可剥离表土的面积和可剥离量等内容，并复核表土的剥离的工程量和利用的合理性分析，并进一步复核表土保护率，补充森林覆盖率。</w:t>
            </w:r>
          </w:p>
        </w:tc>
        <w:tc>
          <w:tcPr>
            <w:tcW w:w="1185" w:type="pct"/>
            <w:tcBorders>
              <w:tl2br w:val="nil"/>
              <w:tr2bl w:val="nil"/>
            </w:tcBorders>
            <w:vAlign w:val="center"/>
          </w:tcPr>
          <w:p w14:paraId="42B4E451">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已修改完善</w:t>
            </w:r>
          </w:p>
        </w:tc>
        <w:tc>
          <w:tcPr>
            <w:tcW w:w="856" w:type="pct"/>
            <w:tcBorders>
              <w:tl2br w:val="nil"/>
              <w:tr2bl w:val="nil"/>
            </w:tcBorders>
            <w:vAlign w:val="center"/>
          </w:tcPr>
          <w:p w14:paraId="30A7E1AD">
            <w:pPr>
              <w:spacing w:line="0" w:lineRule="atLeast"/>
              <w:ind w:firstLine="0" w:firstLineChars="0"/>
              <w:jc w:val="center"/>
              <w:rPr>
                <w:rFonts w:hint="default" w:eastAsia="仿宋" w:cs="Times New Roman"/>
                <w:color w:val="000000" w:themeColor="text1"/>
                <w:sz w:val="21"/>
                <w:szCs w:val="21"/>
                <w:lang w:val="en-US" w:eastAsia="zh-CN"/>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报告</w:t>
            </w:r>
            <w:r>
              <w:rPr>
                <w:rFonts w:hint="eastAsia" w:eastAsia="仿宋" w:cs="Times New Roman"/>
                <w:color w:val="000000" w:themeColor="text1"/>
                <w:sz w:val="21"/>
                <w:szCs w:val="21"/>
                <w:lang w:val="en-US" w:eastAsia="zh-CN"/>
                <w14:textFill>
                  <w14:solidFill>
                    <w14:schemeClr w14:val="tx1"/>
                  </w14:solidFill>
                </w14:textFill>
              </w:rPr>
              <w:t>2.7.5、</w:t>
            </w:r>
            <w:r>
              <w:rPr>
                <w:rFonts w:hint="eastAsia" w:eastAsia="仿宋" w:cs="Times New Roman"/>
                <w:color w:val="000000" w:themeColor="text1"/>
                <w:sz w:val="21"/>
                <w:szCs w:val="21"/>
                <w14:textFill>
                  <w14:solidFill>
                    <w14:schemeClr w14:val="tx1"/>
                  </w14:solidFill>
                </w14:textFill>
              </w:rPr>
              <w:t>报告</w:t>
            </w:r>
            <w:r>
              <w:rPr>
                <w:rFonts w:hint="eastAsia" w:eastAsia="仿宋" w:cs="Times New Roman"/>
                <w:color w:val="000000" w:themeColor="text1"/>
                <w:sz w:val="21"/>
                <w:szCs w:val="21"/>
                <w:lang w:val="en-US" w:eastAsia="zh-CN"/>
                <w14:textFill>
                  <w14:solidFill>
                    <w14:schemeClr w14:val="tx1"/>
                  </w14:solidFill>
                </w14:textFill>
              </w:rPr>
              <w:t>2.7.6</w:t>
            </w:r>
          </w:p>
        </w:tc>
      </w:tr>
      <w:tr w14:paraId="795219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3B0FA552">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eastAsia="仿宋" w:cs="Times New Roman"/>
                <w:color w:val="000000" w:themeColor="text1"/>
                <w:sz w:val="21"/>
                <w:szCs w:val="21"/>
                <w14:textFill>
                  <w14:solidFill>
                    <w14:schemeClr w14:val="tx1"/>
                  </w14:solidFill>
                </w14:textFill>
              </w:rPr>
              <w:t>5</w:t>
            </w:r>
          </w:p>
        </w:tc>
        <w:tc>
          <w:tcPr>
            <w:tcW w:w="2643" w:type="pct"/>
            <w:tcBorders>
              <w:tl2br w:val="nil"/>
              <w:tr2bl w:val="nil"/>
            </w:tcBorders>
            <w:vAlign w:val="center"/>
          </w:tcPr>
          <w:p w14:paraId="62460E55">
            <w:pPr>
              <w:spacing w:line="0" w:lineRule="atLeast"/>
              <w:ind w:firstLine="0" w:firstLineChars="0"/>
              <w:jc w:val="left"/>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1.8建议补充水保措施布设的时间。</w:t>
            </w:r>
          </w:p>
        </w:tc>
        <w:tc>
          <w:tcPr>
            <w:tcW w:w="1185" w:type="pct"/>
            <w:tcBorders>
              <w:tl2br w:val="nil"/>
              <w:tr2bl w:val="nil"/>
            </w:tcBorders>
            <w:vAlign w:val="center"/>
          </w:tcPr>
          <w:p w14:paraId="34A0C106">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w:t>
            </w:r>
            <w:r>
              <w:rPr>
                <w:rFonts w:hint="eastAsia" w:eastAsia="仿宋" w:cs="Times New Roman"/>
                <w:color w:val="000000" w:themeColor="text1"/>
                <w:sz w:val="21"/>
                <w:szCs w:val="21"/>
                <w:lang w:eastAsia="zh-CN"/>
                <w14:textFill>
                  <w14:solidFill>
                    <w14:schemeClr w14:val="tx1"/>
                  </w14:solidFill>
                </w14:textFill>
              </w:rPr>
              <w:t>补充</w:t>
            </w:r>
          </w:p>
        </w:tc>
        <w:tc>
          <w:tcPr>
            <w:tcW w:w="856" w:type="pct"/>
            <w:tcBorders>
              <w:tl2br w:val="nil"/>
              <w:tr2bl w:val="nil"/>
            </w:tcBorders>
            <w:vAlign w:val="center"/>
          </w:tcPr>
          <w:p w14:paraId="1619DD79">
            <w:pPr>
              <w:spacing w:line="0" w:lineRule="atLeast"/>
              <w:ind w:firstLine="0" w:firstLineChars="0"/>
              <w:jc w:val="center"/>
              <w:rPr>
                <w:rFonts w:hint="default" w:eastAsia="仿宋" w:cs="Times New Roman"/>
                <w:color w:val="000000" w:themeColor="text1"/>
                <w:sz w:val="21"/>
                <w:szCs w:val="21"/>
                <w:lang w:val="en-US" w:eastAsia="zh-CN"/>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报告</w:t>
            </w:r>
            <w:r>
              <w:rPr>
                <w:rFonts w:hint="eastAsia" w:eastAsia="仿宋" w:cs="Times New Roman"/>
                <w:color w:val="000000" w:themeColor="text1"/>
                <w:sz w:val="21"/>
                <w:szCs w:val="21"/>
                <w:lang w:val="en-US" w:eastAsia="zh-CN"/>
                <w14:textFill>
                  <w14:solidFill>
                    <w14:schemeClr w14:val="tx1"/>
                  </w14:solidFill>
                </w14:textFill>
              </w:rPr>
              <w:t>1.8</w:t>
            </w:r>
          </w:p>
        </w:tc>
      </w:tr>
      <w:tr w14:paraId="0D553E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5DB14224">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eastAsia="仿宋" w:cs="Times New Roman"/>
                <w:color w:val="000000" w:themeColor="text1"/>
                <w:sz w:val="21"/>
                <w:szCs w:val="21"/>
                <w14:textFill>
                  <w14:solidFill>
                    <w14:schemeClr w14:val="tx1"/>
                  </w14:solidFill>
                </w14:textFill>
              </w:rPr>
              <w:t>6</w:t>
            </w:r>
          </w:p>
        </w:tc>
        <w:tc>
          <w:tcPr>
            <w:tcW w:w="2643" w:type="pct"/>
            <w:tcBorders>
              <w:tl2br w:val="nil"/>
              <w:tr2bl w:val="nil"/>
            </w:tcBorders>
            <w:vAlign w:val="center"/>
          </w:tcPr>
          <w:p w14:paraId="744355FD">
            <w:pPr>
              <w:spacing w:line="0" w:lineRule="atLeast"/>
              <w:ind w:firstLine="0" w:firstLineChars="0"/>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根据土石方调整，复核项目土石方平衡分析与评价。</w:t>
            </w:r>
          </w:p>
        </w:tc>
        <w:tc>
          <w:tcPr>
            <w:tcW w:w="1185" w:type="pct"/>
            <w:tcBorders>
              <w:tl2br w:val="nil"/>
              <w:tr2bl w:val="nil"/>
            </w:tcBorders>
            <w:vAlign w:val="center"/>
          </w:tcPr>
          <w:p w14:paraId="5646AEDD">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已复核</w:t>
            </w:r>
          </w:p>
        </w:tc>
        <w:tc>
          <w:tcPr>
            <w:tcW w:w="856" w:type="pct"/>
            <w:tcBorders>
              <w:tl2br w:val="nil"/>
              <w:tr2bl w:val="nil"/>
            </w:tcBorders>
            <w:vAlign w:val="center"/>
          </w:tcPr>
          <w:p w14:paraId="70AF3A1C">
            <w:pPr>
              <w:spacing w:line="0" w:lineRule="atLeast"/>
              <w:ind w:firstLine="0" w:firstLineChars="0"/>
              <w:jc w:val="center"/>
              <w:rPr>
                <w:rFonts w:hint="default" w:eastAsia="仿宋" w:cs="Times New Roman"/>
                <w:color w:val="000000" w:themeColor="text1"/>
                <w:sz w:val="21"/>
                <w:szCs w:val="21"/>
                <w:lang w:val="en-US" w:eastAsia="zh-CN"/>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报告</w:t>
            </w:r>
            <w:r>
              <w:rPr>
                <w:rFonts w:hint="eastAsia" w:eastAsia="仿宋" w:cs="Times New Roman"/>
                <w:color w:val="000000" w:themeColor="text1"/>
                <w:sz w:val="21"/>
                <w:szCs w:val="21"/>
                <w:lang w:val="en-US" w:eastAsia="zh-CN"/>
                <w14:textFill>
                  <w14:solidFill>
                    <w14:schemeClr w14:val="tx1"/>
                  </w14:solidFill>
                </w14:textFill>
              </w:rPr>
              <w:t>2.4</w:t>
            </w:r>
          </w:p>
        </w:tc>
      </w:tr>
      <w:tr w14:paraId="734530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1A4F92A8">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eastAsia="仿宋" w:cs="Times New Roman"/>
                <w:color w:val="000000" w:themeColor="text1"/>
                <w:sz w:val="21"/>
                <w:szCs w:val="21"/>
                <w14:textFill>
                  <w14:solidFill>
                    <w14:schemeClr w14:val="tx1"/>
                  </w14:solidFill>
                </w14:textFill>
              </w:rPr>
              <w:t>7</w:t>
            </w:r>
          </w:p>
        </w:tc>
        <w:tc>
          <w:tcPr>
            <w:tcW w:w="2643" w:type="pct"/>
            <w:tcBorders>
              <w:tl2br w:val="nil"/>
              <w:tr2bl w:val="nil"/>
            </w:tcBorders>
            <w:vAlign w:val="center"/>
          </w:tcPr>
          <w:p w14:paraId="79BA0268">
            <w:pPr>
              <w:spacing w:line="0" w:lineRule="atLeast"/>
              <w:ind w:firstLine="0" w:firstLineChars="0"/>
              <w:jc w:val="left"/>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复核主体工程具有水土保持功能的措施工程量及投资。</w:t>
            </w:r>
          </w:p>
        </w:tc>
        <w:tc>
          <w:tcPr>
            <w:tcW w:w="1185" w:type="pct"/>
            <w:tcBorders>
              <w:tl2br w:val="nil"/>
              <w:tr2bl w:val="nil"/>
            </w:tcBorders>
            <w:vAlign w:val="center"/>
          </w:tcPr>
          <w:p w14:paraId="6FFB45A4">
            <w:pPr>
              <w:spacing w:line="0" w:lineRule="atLeast"/>
              <w:ind w:firstLine="0" w:firstLineChars="0"/>
              <w:jc w:val="center"/>
              <w:rPr>
                <w:rFonts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已复核</w:t>
            </w:r>
          </w:p>
        </w:tc>
        <w:tc>
          <w:tcPr>
            <w:tcW w:w="856" w:type="pct"/>
            <w:tcBorders>
              <w:tl2br w:val="nil"/>
              <w:tr2bl w:val="nil"/>
            </w:tcBorders>
            <w:vAlign w:val="center"/>
          </w:tcPr>
          <w:p w14:paraId="15AB9A25">
            <w:pPr>
              <w:spacing w:line="0" w:lineRule="atLeast"/>
              <w:ind w:left="0" w:leftChars="0" w:firstLine="0" w:firstLineChars="0"/>
              <w:jc w:val="center"/>
              <w:rPr>
                <w:rFonts w:hint="default"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14:textFill>
                  <w14:solidFill>
                    <w14:schemeClr w14:val="tx1"/>
                  </w14:solidFill>
                </w14:textFill>
              </w:rPr>
              <w:t>报告</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3.3</w:t>
            </w:r>
          </w:p>
        </w:tc>
      </w:tr>
      <w:tr w14:paraId="1721C4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6DB7935F">
            <w:pPr>
              <w:spacing w:line="0" w:lineRule="atLeast"/>
              <w:ind w:firstLine="0" w:firstLineChars="0"/>
              <w:jc w:val="center"/>
              <w:rPr>
                <w:rFonts w:hint="eastAsia" w:eastAsia="仿宋" w:cs="Times New Roman"/>
                <w:color w:val="000000" w:themeColor="text1"/>
                <w:sz w:val="21"/>
                <w:szCs w:val="21"/>
                <w:lang w:val="en-US" w:eastAsia="zh-CN"/>
                <w14:textFill>
                  <w14:solidFill>
                    <w14:schemeClr w14:val="tx1"/>
                  </w14:solidFill>
                </w14:textFill>
              </w:rPr>
            </w:pPr>
            <w:r>
              <w:rPr>
                <w:rFonts w:hint="eastAsia" w:eastAsia="仿宋" w:cs="Times New Roman"/>
                <w:color w:val="000000" w:themeColor="text1"/>
                <w:sz w:val="21"/>
                <w:szCs w:val="21"/>
                <w:lang w:val="en-US" w:eastAsia="zh-CN"/>
                <w14:textFill>
                  <w14:solidFill>
                    <w14:schemeClr w14:val="tx1"/>
                  </w14:solidFill>
                </w14:textFill>
              </w:rPr>
              <w:t>8</w:t>
            </w:r>
          </w:p>
        </w:tc>
        <w:tc>
          <w:tcPr>
            <w:tcW w:w="2643" w:type="pct"/>
            <w:tcBorders>
              <w:tl2br w:val="nil"/>
              <w:tr2bl w:val="nil"/>
            </w:tcBorders>
            <w:vAlign w:val="center"/>
          </w:tcPr>
          <w:p w14:paraId="14F6A77D">
            <w:pPr>
              <w:spacing w:line="0" w:lineRule="atLeast"/>
              <w:ind w:firstLine="0" w:firstLineChars="0"/>
              <w:jc w:val="left"/>
              <w:rPr>
                <w:rFonts w:hint="eastAsia"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复核水土流失调查及结果。</w:t>
            </w:r>
          </w:p>
        </w:tc>
        <w:tc>
          <w:tcPr>
            <w:tcW w:w="1185" w:type="pct"/>
            <w:tcBorders>
              <w:tl2br w:val="nil"/>
              <w:tr2bl w:val="nil"/>
            </w:tcBorders>
            <w:vAlign w:val="center"/>
          </w:tcPr>
          <w:p w14:paraId="419EFBB9">
            <w:pPr>
              <w:spacing w:line="0" w:lineRule="atLeast"/>
              <w:ind w:firstLine="0" w:firstLineChars="0"/>
              <w:jc w:val="center"/>
              <w:rPr>
                <w:rFonts w:hint="eastAsia"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已复核</w:t>
            </w:r>
          </w:p>
        </w:tc>
        <w:tc>
          <w:tcPr>
            <w:tcW w:w="856" w:type="pct"/>
            <w:tcBorders>
              <w:tl2br w:val="nil"/>
              <w:tr2bl w:val="nil"/>
            </w:tcBorders>
            <w:shd w:val="clear" w:color="auto" w:fill="auto"/>
            <w:vAlign w:val="center"/>
          </w:tcPr>
          <w:p w14:paraId="5B94E0A2">
            <w:pPr>
              <w:spacing w:line="0" w:lineRule="atLeast"/>
              <w:ind w:left="0" w:leftChars="0" w:firstLine="0" w:firstLineChars="0"/>
              <w:jc w:val="center"/>
              <w:rPr>
                <w:rFonts w:hint="eastAsia"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仿宋" w:cs="Times New Roman"/>
                <w:color w:val="000000" w:themeColor="text1"/>
                <w:sz w:val="21"/>
                <w:szCs w:val="21"/>
                <w14:textFill>
                  <w14:solidFill>
                    <w14:schemeClr w14:val="tx1"/>
                  </w14:solidFill>
                </w14:textFill>
              </w:rPr>
              <w:t>报告</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4.3</w:t>
            </w:r>
          </w:p>
        </w:tc>
      </w:tr>
      <w:tr w14:paraId="7D5178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5261065C">
            <w:pPr>
              <w:spacing w:line="0" w:lineRule="atLeast"/>
              <w:ind w:firstLine="0" w:firstLineChars="0"/>
              <w:jc w:val="center"/>
              <w:rPr>
                <w:rFonts w:hint="eastAsia" w:eastAsia="仿宋" w:cs="Times New Roman"/>
                <w:color w:val="000000" w:themeColor="text1"/>
                <w:sz w:val="21"/>
                <w:szCs w:val="21"/>
                <w:lang w:val="en-US" w:eastAsia="zh-CN"/>
                <w14:textFill>
                  <w14:solidFill>
                    <w14:schemeClr w14:val="tx1"/>
                  </w14:solidFill>
                </w14:textFill>
              </w:rPr>
            </w:pPr>
            <w:r>
              <w:rPr>
                <w:rFonts w:hint="eastAsia" w:eastAsia="仿宋" w:cs="Times New Roman"/>
                <w:color w:val="000000" w:themeColor="text1"/>
                <w:sz w:val="21"/>
                <w:szCs w:val="21"/>
                <w:lang w:val="en-US" w:eastAsia="zh-CN"/>
                <w14:textFill>
                  <w14:solidFill>
                    <w14:schemeClr w14:val="tx1"/>
                  </w14:solidFill>
                </w14:textFill>
              </w:rPr>
              <w:t>9</w:t>
            </w:r>
          </w:p>
        </w:tc>
        <w:tc>
          <w:tcPr>
            <w:tcW w:w="2643" w:type="pct"/>
            <w:tcBorders>
              <w:tl2br w:val="nil"/>
              <w:tr2bl w:val="nil"/>
            </w:tcBorders>
            <w:vAlign w:val="center"/>
          </w:tcPr>
          <w:p w14:paraId="0046448C">
            <w:pPr>
              <w:spacing w:line="0" w:lineRule="atLeast"/>
              <w:ind w:firstLine="0" w:firstLineChars="0"/>
              <w:jc w:val="left"/>
              <w:rPr>
                <w:rFonts w:hint="eastAsia"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复核项目水土流失防治责任范围，水土流失防治分区及分区防治面积，建议对防治分区合理性进行分析</w:t>
            </w:r>
          </w:p>
        </w:tc>
        <w:tc>
          <w:tcPr>
            <w:tcW w:w="1185" w:type="pct"/>
            <w:tcBorders>
              <w:tl2br w:val="nil"/>
              <w:tr2bl w:val="nil"/>
            </w:tcBorders>
            <w:vAlign w:val="center"/>
          </w:tcPr>
          <w:p w14:paraId="44E0D477">
            <w:pPr>
              <w:spacing w:line="0" w:lineRule="atLeast"/>
              <w:ind w:firstLine="0" w:firstLineChars="0"/>
              <w:jc w:val="center"/>
              <w:rPr>
                <w:rFonts w:hint="eastAsia"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已复核</w:t>
            </w:r>
          </w:p>
        </w:tc>
        <w:tc>
          <w:tcPr>
            <w:tcW w:w="856" w:type="pct"/>
            <w:tcBorders>
              <w:tl2br w:val="nil"/>
              <w:tr2bl w:val="nil"/>
            </w:tcBorders>
            <w:vAlign w:val="center"/>
          </w:tcPr>
          <w:p w14:paraId="163ADDA6">
            <w:pPr>
              <w:spacing w:line="0" w:lineRule="atLeast"/>
              <w:ind w:left="0" w:leftChars="0" w:firstLine="0" w:firstLineChars="0"/>
              <w:jc w:val="center"/>
              <w:rPr>
                <w:rFonts w:hint="default"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14:textFill>
                  <w14:solidFill>
                    <w14:schemeClr w14:val="tx1"/>
                  </w14:solidFill>
                </w14:textFill>
              </w:rPr>
              <w:t>报告</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5.1.1</w:t>
            </w:r>
            <w:r>
              <w:rPr>
                <w:rFonts w:hint="eastAsia" w:eastAsia="仿宋" w:cs="Times New Roman"/>
                <w:color w:val="000000" w:themeColor="text1"/>
                <w:sz w:val="21"/>
                <w:szCs w:val="21"/>
                <w:lang w:val="en-US" w:eastAsia="zh-CN"/>
                <w14:textFill>
                  <w14:solidFill>
                    <w14:schemeClr w14:val="tx1"/>
                  </w14:solidFill>
                </w14:textFill>
              </w:rPr>
              <w:t>、</w:t>
            </w:r>
            <w:r>
              <w:rPr>
                <w:rFonts w:hint="eastAsia" w:eastAsia="仿宋" w:cs="Times New Roman"/>
                <w:color w:val="000000" w:themeColor="text1"/>
                <w:sz w:val="21"/>
                <w:szCs w:val="21"/>
                <w14:textFill>
                  <w14:solidFill>
                    <w14:schemeClr w14:val="tx1"/>
                  </w14:solidFill>
                </w14:textFill>
              </w:rPr>
              <w:t>报告</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5.1.2</w:t>
            </w:r>
          </w:p>
        </w:tc>
      </w:tr>
      <w:tr w14:paraId="3EB881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41C28945">
            <w:pPr>
              <w:spacing w:line="0" w:lineRule="atLeast"/>
              <w:ind w:firstLine="0" w:firstLineChars="0"/>
              <w:jc w:val="center"/>
              <w:rPr>
                <w:rFonts w:hint="default" w:eastAsia="仿宋" w:cs="Times New Roman"/>
                <w:color w:val="000000" w:themeColor="text1"/>
                <w:sz w:val="21"/>
                <w:szCs w:val="21"/>
                <w:lang w:val="en-US" w:eastAsia="zh-CN"/>
                <w14:textFill>
                  <w14:solidFill>
                    <w14:schemeClr w14:val="tx1"/>
                  </w14:solidFill>
                </w14:textFill>
              </w:rPr>
            </w:pPr>
            <w:r>
              <w:rPr>
                <w:rFonts w:hint="eastAsia" w:eastAsia="仿宋" w:cs="Times New Roman"/>
                <w:color w:val="000000" w:themeColor="text1"/>
                <w:sz w:val="21"/>
                <w:szCs w:val="21"/>
                <w:lang w:val="en-US" w:eastAsia="zh-CN"/>
                <w14:textFill>
                  <w14:solidFill>
                    <w14:schemeClr w14:val="tx1"/>
                  </w14:solidFill>
                </w14:textFill>
              </w:rPr>
              <w:t>10</w:t>
            </w:r>
          </w:p>
        </w:tc>
        <w:tc>
          <w:tcPr>
            <w:tcW w:w="2643" w:type="pct"/>
            <w:tcBorders>
              <w:tl2br w:val="nil"/>
              <w:tr2bl w:val="nil"/>
            </w:tcBorders>
            <w:vAlign w:val="center"/>
          </w:tcPr>
          <w:p w14:paraId="0AFCD23D">
            <w:pPr>
              <w:spacing w:line="0" w:lineRule="atLeast"/>
              <w:ind w:firstLine="0" w:firstLineChars="0"/>
              <w:jc w:val="left"/>
              <w:rPr>
                <w:rFonts w:hint="eastAsia"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复核完善水土保持措施总体布局和体系框图，建议复核</w:t>
            </w:r>
          </w:p>
        </w:tc>
        <w:tc>
          <w:tcPr>
            <w:tcW w:w="1185" w:type="pct"/>
            <w:tcBorders>
              <w:tl2br w:val="nil"/>
              <w:tr2bl w:val="nil"/>
            </w:tcBorders>
            <w:vAlign w:val="center"/>
          </w:tcPr>
          <w:p w14:paraId="31FABA31">
            <w:pPr>
              <w:spacing w:line="0" w:lineRule="atLeast"/>
              <w:ind w:firstLine="0" w:firstLineChars="0"/>
              <w:jc w:val="center"/>
              <w:rPr>
                <w:rFonts w:hint="eastAsia"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已复核</w:t>
            </w:r>
          </w:p>
        </w:tc>
        <w:tc>
          <w:tcPr>
            <w:tcW w:w="856" w:type="pct"/>
            <w:tcBorders>
              <w:tl2br w:val="nil"/>
              <w:tr2bl w:val="nil"/>
            </w:tcBorders>
            <w:vAlign w:val="center"/>
          </w:tcPr>
          <w:p w14:paraId="573EA5EE">
            <w:pPr>
              <w:spacing w:line="0" w:lineRule="atLeast"/>
              <w:ind w:left="0" w:leftChars="0" w:firstLine="0" w:firstLineChars="0"/>
              <w:jc w:val="center"/>
              <w:rPr>
                <w:rFonts w:hint="eastAsia" w:eastAsia="仿宋" w:cs="Times New Roman"/>
                <w:color w:val="000000" w:themeColor="text1"/>
                <w:sz w:val="21"/>
                <w:szCs w:val="21"/>
                <w14:textFill>
                  <w14:solidFill>
                    <w14:schemeClr w14:val="tx1"/>
                  </w14:solidFill>
                </w14:textFill>
              </w:rPr>
            </w:pPr>
            <w:r>
              <w:rPr>
                <w:rFonts w:hint="eastAsia" w:ascii="Times New Roman" w:hAnsi="Times New Roman" w:eastAsia="仿宋" w:cs="Times New Roman"/>
                <w:color w:val="000000" w:themeColor="text1"/>
                <w:sz w:val="21"/>
                <w:szCs w:val="21"/>
                <w14:textFill>
                  <w14:solidFill>
                    <w14:schemeClr w14:val="tx1"/>
                  </w14:solidFill>
                </w14:textFill>
              </w:rPr>
              <w:t>报告</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5.2.1</w:t>
            </w:r>
            <w:r>
              <w:rPr>
                <w:rFonts w:hint="eastAsia" w:eastAsia="仿宋" w:cs="Times New Roman"/>
                <w:color w:val="000000" w:themeColor="text1"/>
                <w:sz w:val="21"/>
                <w:szCs w:val="21"/>
                <w:lang w:val="en-US" w:eastAsia="zh-CN"/>
                <w14:textFill>
                  <w14:solidFill>
                    <w14:schemeClr w14:val="tx1"/>
                  </w14:solidFill>
                </w14:textFill>
              </w:rPr>
              <w:t>、</w:t>
            </w:r>
            <w:r>
              <w:rPr>
                <w:rFonts w:hint="eastAsia" w:eastAsia="仿宋" w:cs="Times New Roman"/>
                <w:color w:val="000000" w:themeColor="text1"/>
                <w:sz w:val="21"/>
                <w:szCs w:val="21"/>
                <w14:textFill>
                  <w14:solidFill>
                    <w14:schemeClr w14:val="tx1"/>
                  </w14:solidFill>
                </w14:textFill>
              </w:rPr>
              <w:t>报告</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5.2.2</w:t>
            </w:r>
          </w:p>
        </w:tc>
      </w:tr>
      <w:tr w14:paraId="1C9A57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313" w:type="pct"/>
            <w:tcBorders>
              <w:tl2br w:val="nil"/>
              <w:tr2bl w:val="nil"/>
            </w:tcBorders>
            <w:vAlign w:val="center"/>
          </w:tcPr>
          <w:p w14:paraId="69CC2356">
            <w:pPr>
              <w:spacing w:line="0" w:lineRule="atLeast"/>
              <w:ind w:firstLine="0" w:firstLineChars="0"/>
              <w:jc w:val="center"/>
              <w:rPr>
                <w:rFonts w:hint="default" w:eastAsia="仿宋" w:cs="Times New Roman"/>
                <w:color w:val="000000" w:themeColor="text1"/>
                <w:sz w:val="21"/>
                <w:szCs w:val="21"/>
                <w:lang w:val="en-US" w:eastAsia="zh-CN"/>
                <w14:textFill>
                  <w14:solidFill>
                    <w14:schemeClr w14:val="tx1"/>
                  </w14:solidFill>
                </w14:textFill>
              </w:rPr>
            </w:pPr>
            <w:r>
              <w:rPr>
                <w:rFonts w:hint="eastAsia" w:eastAsia="仿宋" w:cs="Times New Roman"/>
                <w:color w:val="000000" w:themeColor="text1"/>
                <w:sz w:val="21"/>
                <w:szCs w:val="21"/>
                <w:lang w:val="en-US" w:eastAsia="zh-CN"/>
                <w14:textFill>
                  <w14:solidFill>
                    <w14:schemeClr w14:val="tx1"/>
                  </w14:solidFill>
                </w14:textFill>
              </w:rPr>
              <w:t>11</w:t>
            </w:r>
          </w:p>
        </w:tc>
        <w:tc>
          <w:tcPr>
            <w:tcW w:w="2643" w:type="pct"/>
            <w:tcBorders>
              <w:tl2br w:val="nil"/>
              <w:tr2bl w:val="nil"/>
            </w:tcBorders>
            <w:vAlign w:val="center"/>
          </w:tcPr>
          <w:p w14:paraId="71CBD66C">
            <w:pPr>
              <w:spacing w:line="0" w:lineRule="atLeast"/>
              <w:ind w:firstLine="0" w:firstLineChars="0"/>
              <w:jc w:val="left"/>
              <w:rPr>
                <w:rFonts w:hint="eastAsia"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复核单价分析表，复核后分区防治措施，完善水土保持投资概算，复核水土保持补偿费，复核水土保持效益各项指标的合理性</w:t>
            </w:r>
          </w:p>
        </w:tc>
        <w:tc>
          <w:tcPr>
            <w:tcW w:w="1185" w:type="pct"/>
            <w:tcBorders>
              <w:tl2br w:val="nil"/>
              <w:tr2bl w:val="nil"/>
            </w:tcBorders>
            <w:vAlign w:val="center"/>
          </w:tcPr>
          <w:p w14:paraId="09B1A78B">
            <w:pPr>
              <w:spacing w:line="0" w:lineRule="atLeast"/>
              <w:ind w:firstLine="0" w:firstLineChars="0"/>
              <w:jc w:val="center"/>
              <w:rPr>
                <w:rFonts w:hint="eastAsia" w:eastAsia="仿宋" w:cs="Times New Roman"/>
                <w:color w:val="000000" w:themeColor="text1"/>
                <w:sz w:val="21"/>
                <w:szCs w:val="21"/>
                <w14:textFill>
                  <w14:solidFill>
                    <w14:schemeClr w14:val="tx1"/>
                  </w14:solidFill>
                </w14:textFill>
              </w:rPr>
            </w:pPr>
            <w:r>
              <w:rPr>
                <w:rFonts w:hint="eastAsia" w:eastAsia="仿宋" w:cs="Times New Roman"/>
                <w:color w:val="000000" w:themeColor="text1"/>
                <w:sz w:val="21"/>
                <w:szCs w:val="21"/>
                <w14:textFill>
                  <w14:solidFill>
                    <w14:schemeClr w14:val="tx1"/>
                  </w14:solidFill>
                </w14:textFill>
              </w:rPr>
              <w:t>已复核</w:t>
            </w:r>
          </w:p>
        </w:tc>
        <w:tc>
          <w:tcPr>
            <w:tcW w:w="856" w:type="pct"/>
            <w:tcBorders>
              <w:tl2br w:val="nil"/>
              <w:tr2bl w:val="nil"/>
            </w:tcBorders>
            <w:vAlign w:val="center"/>
          </w:tcPr>
          <w:p w14:paraId="5CEBDF2C">
            <w:pPr>
              <w:spacing w:line="0" w:lineRule="atLeast"/>
              <w:ind w:left="0" w:leftChars="0" w:firstLine="0" w:firstLineChars="0"/>
              <w:jc w:val="center"/>
              <w:rPr>
                <w:rFonts w:hint="eastAsia" w:eastAsia="仿宋" w:cs="Times New Roman"/>
                <w:color w:val="000000" w:themeColor="text1"/>
                <w:sz w:val="21"/>
                <w:szCs w:val="21"/>
                <w14:textFill>
                  <w14:solidFill>
                    <w14:schemeClr w14:val="tx1"/>
                  </w14:solidFill>
                </w14:textFill>
              </w:rPr>
            </w:pPr>
            <w:r>
              <w:rPr>
                <w:rFonts w:hint="eastAsia" w:ascii="Times New Roman" w:hAnsi="Times New Roman" w:eastAsia="仿宋" w:cs="Times New Roman"/>
                <w:color w:val="000000" w:themeColor="text1"/>
                <w:sz w:val="21"/>
                <w:szCs w:val="21"/>
                <w14:textFill>
                  <w14:solidFill>
                    <w14:schemeClr w14:val="tx1"/>
                  </w14:solidFill>
                </w14:textFill>
              </w:rPr>
              <w:t>报告</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7.1.1</w:t>
            </w:r>
            <w:r>
              <w:rPr>
                <w:rFonts w:hint="eastAsia" w:eastAsia="仿宋" w:cs="Times New Roman"/>
                <w:color w:val="000000" w:themeColor="text1"/>
                <w:sz w:val="21"/>
                <w:szCs w:val="21"/>
                <w:lang w:val="en-US" w:eastAsia="zh-CN"/>
                <w14:textFill>
                  <w14:solidFill>
                    <w14:schemeClr w14:val="tx1"/>
                  </w14:solidFill>
                </w14:textFill>
              </w:rPr>
              <w:t>、</w:t>
            </w:r>
            <w:r>
              <w:rPr>
                <w:rFonts w:hint="eastAsia" w:eastAsia="仿宋" w:cs="Times New Roman"/>
                <w:color w:val="000000" w:themeColor="text1"/>
                <w:sz w:val="21"/>
                <w:szCs w:val="21"/>
                <w14:textFill>
                  <w14:solidFill>
                    <w14:schemeClr w14:val="tx1"/>
                  </w14:solidFill>
                </w14:textFill>
              </w:rPr>
              <w:t>报告</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7.1.2</w:t>
            </w:r>
          </w:p>
        </w:tc>
      </w:tr>
    </w:tbl>
    <w:p w14:paraId="69549E83">
      <w:pPr>
        <w:ind w:firstLine="0" w:firstLineChars="0"/>
        <w:jc w:val="center"/>
        <w:rPr>
          <w:rFonts w:hint="eastAsia" w:ascii="黑体" w:hAnsi="黑体" w:eastAsia="黑体" w:cs="黑体"/>
          <w:b/>
          <w:bCs/>
          <w:color w:val="000000" w:themeColor="text1"/>
          <w:sz w:val="32"/>
          <w:szCs w:val="32"/>
          <w14:textFill>
            <w14:solidFill>
              <w14:schemeClr w14:val="tx1"/>
            </w14:solidFill>
          </w14:textFill>
        </w:rPr>
      </w:pPr>
      <w:r>
        <w:rPr>
          <w:rFonts w:ascii="黑体" w:hAnsi="黑体" w:eastAsia="黑体" w:cs="黑体"/>
          <w:b/>
          <w:bCs/>
          <w:color w:val="000000" w:themeColor="text1"/>
          <w:sz w:val="32"/>
          <w:szCs w:val="32"/>
          <w14:textFill>
            <w14:solidFill>
              <w14:schemeClr w14:val="tx1"/>
            </w14:solidFill>
          </w14:textFill>
        </w:rPr>
        <w:br w:type="page"/>
      </w:r>
    </w:p>
    <w:bookmarkEnd w:id="5"/>
    <w:p w14:paraId="29A9FFFF">
      <w:pPr>
        <w:ind w:firstLine="643"/>
        <w:rPr>
          <w:rFonts w:hint="eastAsia" w:ascii="黑体" w:hAnsi="黑体" w:eastAsia="黑体" w:cs="黑体"/>
          <w:b/>
          <w:bCs/>
          <w:color w:val="000000" w:themeColor="text1"/>
          <w:sz w:val="32"/>
          <w:szCs w:val="32"/>
          <w14:textFill>
            <w14:solidFill>
              <w14:schemeClr w14:val="tx1"/>
            </w14:solidFill>
          </w14:textFill>
        </w:rPr>
        <w:sectPr>
          <w:footerReference r:id="rId11" w:type="default"/>
          <w:footerReference r:id="rId12" w:type="even"/>
          <w:pgSz w:w="11906" w:h="16838"/>
          <w:pgMar w:top="1440" w:right="1800" w:bottom="1440" w:left="1800" w:header="851" w:footer="992" w:gutter="0"/>
          <w:pgNumType w:fmt="upperRoman" w:start="1"/>
          <w:cols w:space="425" w:num="1"/>
          <w:docGrid w:type="lines" w:linePitch="312" w:charSpace="0"/>
        </w:sectPr>
      </w:pPr>
    </w:p>
    <w:p w14:paraId="5BB42BE9">
      <w:pPr>
        <w:ind w:firstLine="643"/>
        <w:jc w:val="center"/>
        <w:rPr>
          <w:rFonts w:hint="eastAsia" w:ascii="黑体" w:hAnsi="黑体" w:eastAsia="黑体" w:cs="黑体"/>
          <w:b/>
          <w:bCs/>
          <w:color w:val="000000" w:themeColor="text1"/>
          <w:sz w:val="32"/>
          <w:szCs w:val="32"/>
          <w14:textFill>
            <w14:solidFill>
              <w14:schemeClr w14:val="tx1"/>
            </w14:solidFill>
          </w14:textFill>
        </w:rPr>
      </w:pPr>
      <w:r>
        <w:rPr>
          <w:rFonts w:hint="eastAsia" w:ascii="黑体" w:hAnsi="黑体" w:eastAsia="黑体" w:cs="黑体"/>
          <w:b/>
          <w:bCs/>
          <w:color w:val="000000" w:themeColor="text1"/>
          <w:sz w:val="32"/>
          <w:szCs w:val="32"/>
          <w14:textFill>
            <w14:solidFill>
              <w14:schemeClr w14:val="tx1"/>
            </w14:solidFill>
          </w14:textFill>
        </w:rPr>
        <w:t>目 录</w:t>
      </w:r>
      <w:bookmarkEnd w:id="4"/>
    </w:p>
    <w:p w14:paraId="1FA1AD2B">
      <w:pPr>
        <w:pStyle w:val="19"/>
        <w:tabs>
          <w:tab w:val="right" w:leader="dot" w:pos="8306"/>
        </w:tabs>
      </w:pPr>
      <w:r>
        <w:rPr>
          <w:rFonts w:hint="eastAsia" w:ascii="黑体" w:hAnsi="黑体" w:eastAsia="黑体" w:cs="黑体"/>
          <w:color w:val="000000" w:themeColor="text1"/>
          <w:sz w:val="32"/>
          <w:szCs w:val="32"/>
          <w14:textFill>
            <w14:solidFill>
              <w14:schemeClr w14:val="tx1"/>
            </w14:solidFill>
          </w14:textFill>
        </w:rPr>
        <w:fldChar w:fldCharType="begin"/>
      </w:r>
      <w:r>
        <w:rPr>
          <w:rFonts w:hint="eastAsia" w:ascii="黑体" w:hAnsi="黑体" w:eastAsia="黑体" w:cs="黑体"/>
          <w:color w:val="000000" w:themeColor="text1"/>
          <w:sz w:val="32"/>
          <w:szCs w:val="32"/>
          <w14:textFill>
            <w14:solidFill>
              <w14:schemeClr w14:val="tx1"/>
            </w14:solidFill>
          </w14:textFill>
        </w:rPr>
        <w:instrText xml:space="preserve">TOC \o "1-2" \h \u </w:instrText>
      </w:r>
      <w:r>
        <w:rPr>
          <w:rFonts w:hint="eastAsia" w:ascii="黑体" w:hAnsi="黑体" w:eastAsia="黑体" w:cs="黑体"/>
          <w:color w:val="000000" w:themeColor="text1"/>
          <w:sz w:val="32"/>
          <w:szCs w:val="32"/>
          <w14:textFill>
            <w14:solidFill>
              <w14:schemeClr w14:val="tx1"/>
            </w14:solidFill>
          </w14:textFill>
        </w:rPr>
        <w:fldChar w:fldCharType="separate"/>
      </w: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_Toc31672 </w:instrText>
      </w:r>
      <w:r>
        <w:rPr>
          <w:rFonts w:hint="eastAsia" w:ascii="黑体" w:hAnsi="黑体" w:eastAsia="黑体" w:cs="黑体"/>
          <w:szCs w:val="32"/>
        </w:rPr>
        <w:fldChar w:fldCharType="separate"/>
      </w:r>
      <w:r>
        <w:rPr>
          <w:rFonts w:hint="eastAsia"/>
        </w:rPr>
        <w:t>1综合说明</w:t>
      </w:r>
      <w:r>
        <w:tab/>
      </w:r>
      <w:r>
        <w:fldChar w:fldCharType="begin"/>
      </w:r>
      <w:r>
        <w:instrText xml:space="preserve"> PAGEREF _Toc31672 \h </w:instrText>
      </w:r>
      <w:r>
        <w:fldChar w:fldCharType="separate"/>
      </w:r>
      <w:r>
        <w:t>1</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4F2FD24A">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_Toc5695 </w:instrText>
      </w:r>
      <w:r>
        <w:rPr>
          <w:rFonts w:hint="eastAsia" w:ascii="黑体" w:hAnsi="黑体" w:eastAsia="黑体" w:cs="黑体"/>
          <w:szCs w:val="32"/>
        </w:rPr>
        <w:fldChar w:fldCharType="separate"/>
      </w:r>
      <w:r>
        <w:rPr>
          <w:rFonts w:hint="eastAsia"/>
        </w:rPr>
        <w:t>1.1项目简况</w:t>
      </w:r>
      <w:r>
        <w:tab/>
      </w:r>
      <w:r>
        <w:fldChar w:fldCharType="begin"/>
      </w:r>
      <w:r>
        <w:instrText xml:space="preserve"> PAGEREF _Toc5695 \h </w:instrText>
      </w:r>
      <w:r>
        <w:fldChar w:fldCharType="separate"/>
      </w:r>
      <w:r>
        <w:t>1</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34D629E">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_Toc7737 </w:instrText>
      </w:r>
      <w:r>
        <w:rPr>
          <w:rFonts w:hint="eastAsia" w:ascii="黑体" w:hAnsi="黑体" w:eastAsia="黑体" w:cs="黑体"/>
          <w:szCs w:val="32"/>
        </w:rPr>
        <w:fldChar w:fldCharType="separate"/>
      </w:r>
      <w:r>
        <w:rPr>
          <w:rFonts w:hint="eastAsia"/>
        </w:rPr>
        <w:t>1.2编制依据</w:t>
      </w:r>
      <w:r>
        <w:tab/>
      </w:r>
      <w:r>
        <w:fldChar w:fldCharType="begin"/>
      </w:r>
      <w:r>
        <w:instrText xml:space="preserve"> PAGEREF _Toc7737 \h </w:instrText>
      </w:r>
      <w:r>
        <w:fldChar w:fldCharType="separate"/>
      </w:r>
      <w:r>
        <w:t>5</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0E7ADE6E">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_Toc29000 </w:instrText>
      </w:r>
      <w:r>
        <w:rPr>
          <w:rFonts w:hint="eastAsia" w:ascii="黑体" w:hAnsi="黑体" w:eastAsia="黑体" w:cs="黑体"/>
          <w:szCs w:val="32"/>
        </w:rPr>
        <w:fldChar w:fldCharType="separate"/>
      </w:r>
      <w:r>
        <w:rPr>
          <w:rFonts w:hint="eastAsia"/>
        </w:rPr>
        <w:t>1.3设计水平年</w:t>
      </w:r>
      <w:r>
        <w:tab/>
      </w:r>
      <w:r>
        <w:fldChar w:fldCharType="begin"/>
      </w:r>
      <w:r>
        <w:instrText xml:space="preserve"> PAGEREF _Toc29000 \h </w:instrText>
      </w:r>
      <w:r>
        <w:fldChar w:fldCharType="separate"/>
      </w:r>
      <w:r>
        <w:t>6</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5342276E">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_Toc8721 </w:instrText>
      </w:r>
      <w:r>
        <w:rPr>
          <w:rFonts w:hint="eastAsia" w:ascii="黑体" w:hAnsi="黑体" w:eastAsia="黑体" w:cs="黑体"/>
          <w:szCs w:val="32"/>
        </w:rPr>
        <w:fldChar w:fldCharType="separate"/>
      </w:r>
      <w:r>
        <w:rPr>
          <w:rFonts w:hint="eastAsia"/>
        </w:rPr>
        <w:t>1.4水土流失防治责任范围</w:t>
      </w:r>
      <w:r>
        <w:tab/>
      </w:r>
      <w:r>
        <w:fldChar w:fldCharType="begin"/>
      </w:r>
      <w:r>
        <w:instrText xml:space="preserve"> PAGEREF _Toc8721 \h </w:instrText>
      </w:r>
      <w:r>
        <w:fldChar w:fldCharType="separate"/>
      </w:r>
      <w:r>
        <w:t>6</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0776BD9C">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_Toc4356 </w:instrText>
      </w:r>
      <w:r>
        <w:rPr>
          <w:rFonts w:hint="eastAsia" w:ascii="黑体" w:hAnsi="黑体" w:eastAsia="黑体" w:cs="黑体"/>
          <w:szCs w:val="32"/>
        </w:rPr>
        <w:fldChar w:fldCharType="separate"/>
      </w:r>
      <w:r>
        <w:rPr>
          <w:rFonts w:hint="eastAsia"/>
        </w:rPr>
        <w:t>1.5水土流失防治目标</w:t>
      </w:r>
      <w:r>
        <w:tab/>
      </w:r>
      <w:r>
        <w:fldChar w:fldCharType="begin"/>
      </w:r>
      <w:r>
        <w:instrText xml:space="preserve"> PAGEREF _Toc4356 \h </w:instrText>
      </w:r>
      <w:r>
        <w:fldChar w:fldCharType="separate"/>
      </w:r>
      <w:r>
        <w:t>7</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663D2304">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_Toc689 </w:instrText>
      </w:r>
      <w:r>
        <w:rPr>
          <w:rFonts w:hint="eastAsia" w:ascii="黑体" w:hAnsi="黑体" w:eastAsia="黑体" w:cs="黑体"/>
          <w:szCs w:val="32"/>
        </w:rPr>
        <w:fldChar w:fldCharType="separate"/>
      </w:r>
      <w:r>
        <w:rPr>
          <w:rFonts w:hint="eastAsia"/>
        </w:rPr>
        <w:t>1.6主体工程水土保持分析评价结论</w:t>
      </w:r>
      <w:r>
        <w:tab/>
      </w:r>
      <w:r>
        <w:fldChar w:fldCharType="begin"/>
      </w:r>
      <w:r>
        <w:instrText xml:space="preserve"> PAGEREF _Toc689 \h </w:instrText>
      </w:r>
      <w:r>
        <w:fldChar w:fldCharType="separate"/>
      </w:r>
      <w:r>
        <w:t>9</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212B5137">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_Toc27336 </w:instrText>
      </w:r>
      <w:r>
        <w:rPr>
          <w:rFonts w:hint="eastAsia" w:ascii="黑体" w:hAnsi="黑体" w:eastAsia="黑体" w:cs="黑体"/>
          <w:szCs w:val="32"/>
        </w:rPr>
        <w:fldChar w:fldCharType="separate"/>
      </w:r>
      <w:r>
        <w:rPr>
          <w:rFonts w:hint="eastAsia"/>
          <w:highlight w:val="none"/>
        </w:rPr>
        <w:t>1.7水土流失调查和预测结果</w:t>
      </w:r>
      <w:r>
        <w:tab/>
      </w:r>
      <w:r>
        <w:fldChar w:fldCharType="begin"/>
      </w:r>
      <w:r>
        <w:instrText xml:space="preserve"> PAGEREF _Toc27336 \h </w:instrText>
      </w:r>
      <w:r>
        <w:fldChar w:fldCharType="separate"/>
      </w:r>
      <w:r>
        <w:t>10</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294C0322">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_Toc20766 </w:instrText>
      </w:r>
      <w:r>
        <w:rPr>
          <w:rFonts w:hint="eastAsia" w:ascii="黑体" w:hAnsi="黑体" w:eastAsia="黑体" w:cs="黑体"/>
          <w:szCs w:val="32"/>
        </w:rPr>
        <w:fldChar w:fldCharType="separate"/>
      </w:r>
      <w:r>
        <w:rPr>
          <w:rFonts w:hint="eastAsia"/>
        </w:rPr>
        <w:t>1.8水土保持措施布设成果</w:t>
      </w:r>
      <w:r>
        <w:tab/>
      </w:r>
      <w:r>
        <w:fldChar w:fldCharType="begin"/>
      </w:r>
      <w:r>
        <w:instrText xml:space="preserve"> PAGEREF _Toc20766 \h </w:instrText>
      </w:r>
      <w:r>
        <w:fldChar w:fldCharType="separate"/>
      </w:r>
      <w:r>
        <w:t>11</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0A0476B6">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_Toc125 </w:instrText>
      </w:r>
      <w:r>
        <w:rPr>
          <w:rFonts w:hint="eastAsia" w:ascii="黑体" w:hAnsi="黑体" w:eastAsia="黑体" w:cs="黑体"/>
          <w:szCs w:val="32"/>
        </w:rPr>
        <w:fldChar w:fldCharType="separate"/>
      </w:r>
      <w:r>
        <w:rPr>
          <w:rFonts w:hint="eastAsia"/>
        </w:rPr>
        <w:t>1.</w:t>
      </w:r>
      <w:r>
        <w:rPr>
          <w:rFonts w:hint="eastAsia"/>
          <w:lang w:val="en-US" w:eastAsia="zh-CN"/>
        </w:rPr>
        <w:t>9</w:t>
      </w:r>
      <w:r>
        <w:rPr>
          <w:rFonts w:hint="eastAsia"/>
        </w:rPr>
        <w:t>水土保持投资估算和效益分析</w:t>
      </w:r>
      <w:r>
        <w:tab/>
      </w:r>
      <w:r>
        <w:fldChar w:fldCharType="begin"/>
      </w:r>
      <w:r>
        <w:instrText xml:space="preserve"> PAGEREF _Toc125 \h </w:instrText>
      </w:r>
      <w:r>
        <w:fldChar w:fldCharType="separate"/>
      </w:r>
      <w:r>
        <w:t>15</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7A7BE4BB">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_Toc20649 </w:instrText>
      </w:r>
      <w:r>
        <w:rPr>
          <w:rFonts w:hint="eastAsia" w:ascii="黑体" w:hAnsi="黑体" w:eastAsia="黑体" w:cs="黑体"/>
          <w:szCs w:val="32"/>
        </w:rPr>
        <w:fldChar w:fldCharType="separate"/>
      </w:r>
      <w:r>
        <w:rPr>
          <w:rFonts w:hint="eastAsia"/>
        </w:rPr>
        <w:t>1.1</w:t>
      </w:r>
      <w:r>
        <w:rPr>
          <w:rFonts w:hint="eastAsia"/>
          <w:lang w:val="en-US" w:eastAsia="zh-CN"/>
        </w:rPr>
        <w:t>0</w:t>
      </w:r>
      <w:r>
        <w:rPr>
          <w:rFonts w:hint="eastAsia"/>
        </w:rPr>
        <w:t>结论</w:t>
      </w:r>
      <w:r>
        <w:tab/>
      </w:r>
      <w:r>
        <w:fldChar w:fldCharType="begin"/>
      </w:r>
      <w:r>
        <w:instrText xml:space="preserve"> PAGEREF _Toc20649 \h </w:instrText>
      </w:r>
      <w:r>
        <w:fldChar w:fldCharType="separate"/>
      </w:r>
      <w:r>
        <w:t>15</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5FA1933F">
      <w:pPr>
        <w:pStyle w:val="19"/>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_Toc29949 </w:instrText>
      </w:r>
      <w:r>
        <w:rPr>
          <w:rFonts w:hint="eastAsia" w:ascii="黑体" w:hAnsi="黑体" w:eastAsia="黑体" w:cs="黑体"/>
          <w:szCs w:val="32"/>
        </w:rPr>
        <w:fldChar w:fldCharType="separate"/>
      </w:r>
      <w:r>
        <w:rPr>
          <w:rFonts w:hint="eastAsia"/>
        </w:rPr>
        <w:t>2项目概况</w:t>
      </w:r>
      <w:r>
        <w:tab/>
      </w:r>
      <w:r>
        <w:fldChar w:fldCharType="begin"/>
      </w:r>
      <w:r>
        <w:instrText xml:space="preserve"> PAGEREF _Toc29949 \h </w:instrText>
      </w:r>
      <w:r>
        <w:fldChar w:fldCharType="separate"/>
      </w:r>
      <w:r>
        <w:t>18</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F2B37AE">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_Toc31339 </w:instrText>
      </w:r>
      <w:r>
        <w:rPr>
          <w:rFonts w:hint="eastAsia" w:ascii="黑体" w:hAnsi="黑体" w:eastAsia="黑体" w:cs="黑体"/>
          <w:szCs w:val="32"/>
        </w:rPr>
        <w:fldChar w:fldCharType="separate"/>
      </w:r>
      <w:r>
        <w:rPr>
          <w:rFonts w:hint="eastAsia"/>
        </w:rPr>
        <w:t>2.1项目组成及工程布置</w:t>
      </w:r>
      <w:r>
        <w:tab/>
      </w:r>
      <w:r>
        <w:fldChar w:fldCharType="begin"/>
      </w:r>
      <w:r>
        <w:instrText xml:space="preserve"> PAGEREF _Toc31339 \h </w:instrText>
      </w:r>
      <w:r>
        <w:fldChar w:fldCharType="separate"/>
      </w:r>
      <w:r>
        <w:t>18</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6ECAAE93">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_Toc16402 </w:instrText>
      </w:r>
      <w:r>
        <w:rPr>
          <w:rFonts w:hint="eastAsia" w:ascii="黑体" w:hAnsi="黑体" w:eastAsia="黑体" w:cs="黑体"/>
          <w:szCs w:val="32"/>
        </w:rPr>
        <w:fldChar w:fldCharType="separate"/>
      </w:r>
      <w:r>
        <w:rPr>
          <w:rFonts w:hint="eastAsia"/>
        </w:rPr>
        <w:t>2.2施工组织</w:t>
      </w:r>
      <w:r>
        <w:tab/>
      </w:r>
      <w:r>
        <w:fldChar w:fldCharType="begin"/>
      </w:r>
      <w:r>
        <w:instrText xml:space="preserve"> PAGEREF _Toc16402 \h </w:instrText>
      </w:r>
      <w:r>
        <w:fldChar w:fldCharType="separate"/>
      </w:r>
      <w:r>
        <w:t>25</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56B4D34A">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_Toc9651 </w:instrText>
      </w:r>
      <w:r>
        <w:rPr>
          <w:rFonts w:hint="eastAsia" w:ascii="黑体" w:hAnsi="黑体" w:eastAsia="黑体" w:cs="黑体"/>
          <w:szCs w:val="32"/>
        </w:rPr>
        <w:fldChar w:fldCharType="separate"/>
      </w:r>
      <w:r>
        <w:rPr>
          <w:rFonts w:hint="eastAsia"/>
        </w:rPr>
        <w:t>2.3工程占地</w:t>
      </w:r>
      <w:r>
        <w:tab/>
      </w:r>
      <w:r>
        <w:fldChar w:fldCharType="begin"/>
      </w:r>
      <w:r>
        <w:instrText xml:space="preserve"> PAGEREF _Toc9651 \h </w:instrText>
      </w:r>
      <w:r>
        <w:fldChar w:fldCharType="separate"/>
      </w:r>
      <w:r>
        <w:t>29</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5DB47203">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_Toc26558 </w:instrText>
      </w:r>
      <w:r>
        <w:rPr>
          <w:rFonts w:hint="eastAsia" w:ascii="黑体" w:hAnsi="黑体" w:eastAsia="黑体" w:cs="黑体"/>
          <w:szCs w:val="32"/>
        </w:rPr>
        <w:fldChar w:fldCharType="separate"/>
      </w:r>
      <w:r>
        <w:rPr>
          <w:rFonts w:hint="eastAsia"/>
        </w:rPr>
        <w:t>2.4土石方及其平衡分析</w:t>
      </w:r>
      <w:r>
        <w:tab/>
      </w:r>
      <w:r>
        <w:fldChar w:fldCharType="begin"/>
      </w:r>
      <w:r>
        <w:instrText xml:space="preserve"> PAGEREF _Toc26558 \h </w:instrText>
      </w:r>
      <w:r>
        <w:fldChar w:fldCharType="separate"/>
      </w:r>
      <w:r>
        <w:t>30</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46F45E86">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_Toc17603 </w:instrText>
      </w:r>
      <w:r>
        <w:rPr>
          <w:rFonts w:hint="eastAsia" w:ascii="黑体" w:hAnsi="黑体" w:eastAsia="黑体" w:cs="黑体"/>
          <w:szCs w:val="32"/>
        </w:rPr>
        <w:fldChar w:fldCharType="separate"/>
      </w:r>
      <w:r>
        <w:rPr>
          <w:rFonts w:hint="eastAsia"/>
        </w:rPr>
        <w:t>2.5拆迁安置与专项设施改（迁）建</w:t>
      </w:r>
      <w:r>
        <w:tab/>
      </w:r>
      <w:r>
        <w:fldChar w:fldCharType="begin"/>
      </w:r>
      <w:r>
        <w:instrText xml:space="preserve"> PAGEREF _Toc17603 \h </w:instrText>
      </w:r>
      <w:r>
        <w:fldChar w:fldCharType="separate"/>
      </w:r>
      <w:r>
        <w:t>31</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CC45AC6">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_Toc4214 </w:instrText>
      </w:r>
      <w:r>
        <w:rPr>
          <w:rFonts w:hint="eastAsia" w:ascii="黑体" w:hAnsi="黑体" w:eastAsia="黑体" w:cs="黑体"/>
          <w:szCs w:val="32"/>
        </w:rPr>
        <w:fldChar w:fldCharType="separate"/>
      </w:r>
      <w:r>
        <w:rPr>
          <w:rFonts w:hint="eastAsia"/>
        </w:rPr>
        <w:t>2.6施工进度</w:t>
      </w:r>
      <w:r>
        <w:tab/>
      </w:r>
      <w:r>
        <w:fldChar w:fldCharType="begin"/>
      </w:r>
      <w:r>
        <w:instrText xml:space="preserve"> PAGEREF _Toc4214 \h </w:instrText>
      </w:r>
      <w:r>
        <w:fldChar w:fldCharType="separate"/>
      </w:r>
      <w:r>
        <w:t>32</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5BCFA6DB">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_Toc24715 </w:instrText>
      </w:r>
      <w:r>
        <w:rPr>
          <w:rFonts w:hint="eastAsia" w:ascii="黑体" w:hAnsi="黑体" w:eastAsia="黑体" w:cs="黑体"/>
          <w:szCs w:val="32"/>
        </w:rPr>
        <w:fldChar w:fldCharType="separate"/>
      </w:r>
      <w:r>
        <w:rPr>
          <w:rFonts w:hint="eastAsia"/>
        </w:rPr>
        <w:t>2.7自然概况</w:t>
      </w:r>
      <w:r>
        <w:tab/>
      </w:r>
      <w:r>
        <w:fldChar w:fldCharType="begin"/>
      </w:r>
      <w:r>
        <w:instrText xml:space="preserve"> PAGEREF _Toc24715 \h </w:instrText>
      </w:r>
      <w:r>
        <w:fldChar w:fldCharType="separate"/>
      </w:r>
      <w:r>
        <w:t>32</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1FB890B2">
      <w:pPr>
        <w:pStyle w:val="19"/>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_Toc1135 </w:instrText>
      </w:r>
      <w:r>
        <w:rPr>
          <w:rFonts w:hint="eastAsia" w:ascii="黑体" w:hAnsi="黑体" w:eastAsia="黑体" w:cs="黑体"/>
          <w:szCs w:val="32"/>
        </w:rPr>
        <w:fldChar w:fldCharType="separate"/>
      </w:r>
      <w:r>
        <w:rPr>
          <w:rFonts w:hint="eastAsia"/>
        </w:rPr>
        <w:t>3项目水土保持评价</w:t>
      </w:r>
      <w:r>
        <w:tab/>
      </w:r>
      <w:r>
        <w:fldChar w:fldCharType="begin"/>
      </w:r>
      <w:r>
        <w:instrText xml:space="preserve"> PAGEREF _Toc1135 \h </w:instrText>
      </w:r>
      <w:r>
        <w:fldChar w:fldCharType="separate"/>
      </w:r>
      <w:r>
        <w:t>42</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CDB0082">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_Toc4943 </w:instrText>
      </w:r>
      <w:r>
        <w:rPr>
          <w:rFonts w:hint="eastAsia" w:ascii="黑体" w:hAnsi="黑体" w:eastAsia="黑体" w:cs="黑体"/>
          <w:szCs w:val="32"/>
        </w:rPr>
        <w:fldChar w:fldCharType="separate"/>
      </w:r>
      <w:r>
        <w:rPr>
          <w:rFonts w:hint="eastAsia"/>
        </w:rPr>
        <w:t>3.1主体工程选址（线）水土保持评价</w:t>
      </w:r>
      <w:r>
        <w:tab/>
      </w:r>
      <w:r>
        <w:fldChar w:fldCharType="begin"/>
      </w:r>
      <w:r>
        <w:instrText xml:space="preserve"> PAGEREF _Toc4943 \h </w:instrText>
      </w:r>
      <w:r>
        <w:fldChar w:fldCharType="separate"/>
      </w:r>
      <w:r>
        <w:t>42</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17033B78">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_Toc4663 </w:instrText>
      </w:r>
      <w:r>
        <w:rPr>
          <w:rFonts w:hint="eastAsia" w:ascii="黑体" w:hAnsi="黑体" w:eastAsia="黑体" w:cs="黑体"/>
          <w:szCs w:val="32"/>
        </w:rPr>
        <w:fldChar w:fldCharType="separate"/>
      </w:r>
      <w:r>
        <w:rPr>
          <w:rFonts w:hint="eastAsia"/>
        </w:rPr>
        <w:t>3.2建设方案与布局水土保持评价</w:t>
      </w:r>
      <w:r>
        <w:tab/>
      </w:r>
      <w:r>
        <w:fldChar w:fldCharType="begin"/>
      </w:r>
      <w:r>
        <w:instrText xml:space="preserve"> PAGEREF _Toc4663 \h </w:instrText>
      </w:r>
      <w:r>
        <w:fldChar w:fldCharType="separate"/>
      </w:r>
      <w:r>
        <w:t>44</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5BF53A17">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_Toc340 </w:instrText>
      </w:r>
      <w:r>
        <w:rPr>
          <w:rFonts w:hint="eastAsia" w:ascii="黑体" w:hAnsi="黑体" w:eastAsia="黑体" w:cs="黑体"/>
          <w:szCs w:val="32"/>
        </w:rPr>
        <w:fldChar w:fldCharType="separate"/>
      </w:r>
      <w:r>
        <w:t>3.</w:t>
      </w:r>
      <w:r>
        <w:rPr>
          <w:rFonts w:hint="eastAsia"/>
        </w:rPr>
        <w:t>3主体工程设计中水土保持措施界定</w:t>
      </w:r>
      <w:r>
        <w:tab/>
      </w:r>
      <w:r>
        <w:fldChar w:fldCharType="begin"/>
      </w:r>
      <w:r>
        <w:instrText xml:space="preserve"> PAGEREF _Toc340 \h </w:instrText>
      </w:r>
      <w:r>
        <w:fldChar w:fldCharType="separate"/>
      </w:r>
      <w:r>
        <w:t>52</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75E9B205">
      <w:pPr>
        <w:pStyle w:val="19"/>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_Toc25902 </w:instrText>
      </w:r>
      <w:r>
        <w:rPr>
          <w:rFonts w:hint="eastAsia" w:ascii="黑体" w:hAnsi="黑体" w:eastAsia="黑体" w:cs="黑体"/>
          <w:szCs w:val="32"/>
        </w:rPr>
        <w:fldChar w:fldCharType="separate"/>
      </w:r>
      <w:r>
        <w:rPr>
          <w:rFonts w:hint="eastAsia"/>
        </w:rPr>
        <w:t>4水土流失分析与调查预测</w:t>
      </w:r>
      <w:r>
        <w:tab/>
      </w:r>
      <w:r>
        <w:fldChar w:fldCharType="begin"/>
      </w:r>
      <w:r>
        <w:instrText xml:space="preserve"> PAGEREF _Toc25902 \h </w:instrText>
      </w:r>
      <w:r>
        <w:fldChar w:fldCharType="separate"/>
      </w:r>
      <w:r>
        <w:t>57</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00C4D894">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_Toc2049 </w:instrText>
      </w:r>
      <w:r>
        <w:rPr>
          <w:rFonts w:hint="eastAsia" w:ascii="黑体" w:hAnsi="黑体" w:eastAsia="黑体" w:cs="黑体"/>
          <w:szCs w:val="32"/>
        </w:rPr>
        <w:fldChar w:fldCharType="separate"/>
      </w:r>
      <w:r>
        <w:rPr>
          <w:rFonts w:hint="eastAsia"/>
        </w:rPr>
        <w:t>4.1水土流失现状</w:t>
      </w:r>
      <w:r>
        <w:tab/>
      </w:r>
      <w:r>
        <w:fldChar w:fldCharType="begin"/>
      </w:r>
      <w:r>
        <w:instrText xml:space="preserve"> PAGEREF _Toc2049 \h </w:instrText>
      </w:r>
      <w:r>
        <w:fldChar w:fldCharType="separate"/>
      </w:r>
      <w:r>
        <w:t>57</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1B3C55E">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_Toc20116 </w:instrText>
      </w:r>
      <w:r>
        <w:rPr>
          <w:rFonts w:hint="eastAsia" w:ascii="黑体" w:hAnsi="黑体" w:eastAsia="黑体" w:cs="黑体"/>
          <w:szCs w:val="32"/>
        </w:rPr>
        <w:fldChar w:fldCharType="separate"/>
      </w:r>
      <w:r>
        <w:rPr>
          <w:rFonts w:hint="eastAsia"/>
        </w:rPr>
        <w:t>4.2水土流失影响因素分析</w:t>
      </w:r>
      <w:r>
        <w:tab/>
      </w:r>
      <w:r>
        <w:fldChar w:fldCharType="begin"/>
      </w:r>
      <w:r>
        <w:instrText xml:space="preserve"> PAGEREF _Toc20116 \h </w:instrText>
      </w:r>
      <w:r>
        <w:fldChar w:fldCharType="separate"/>
      </w:r>
      <w:r>
        <w:t>57</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6335683D">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_Toc24356 </w:instrText>
      </w:r>
      <w:r>
        <w:rPr>
          <w:rFonts w:hint="eastAsia" w:ascii="黑体" w:hAnsi="黑体" w:eastAsia="黑体" w:cs="黑体"/>
          <w:szCs w:val="32"/>
        </w:rPr>
        <w:fldChar w:fldCharType="separate"/>
      </w:r>
      <w:r>
        <w:rPr>
          <w:rFonts w:hint="eastAsia"/>
        </w:rPr>
        <w:t>4.3土壤流失量调查与预测</w:t>
      </w:r>
      <w:r>
        <w:tab/>
      </w:r>
      <w:r>
        <w:fldChar w:fldCharType="begin"/>
      </w:r>
      <w:r>
        <w:instrText xml:space="preserve"> PAGEREF _Toc24356 \h </w:instrText>
      </w:r>
      <w:r>
        <w:fldChar w:fldCharType="separate"/>
      </w:r>
      <w:r>
        <w:t>59</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1601D4AC">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_Toc27725 </w:instrText>
      </w:r>
      <w:r>
        <w:rPr>
          <w:rFonts w:hint="eastAsia" w:ascii="黑体" w:hAnsi="黑体" w:eastAsia="黑体" w:cs="黑体"/>
          <w:szCs w:val="32"/>
        </w:rPr>
        <w:fldChar w:fldCharType="separate"/>
      </w:r>
      <w:r>
        <w:rPr>
          <w:rFonts w:hint="eastAsia"/>
        </w:rPr>
        <w:t>4.4水土流失危害分析</w:t>
      </w:r>
      <w:r>
        <w:tab/>
      </w:r>
      <w:r>
        <w:fldChar w:fldCharType="begin"/>
      </w:r>
      <w:r>
        <w:instrText xml:space="preserve"> PAGEREF _Toc27725 \h </w:instrText>
      </w:r>
      <w:r>
        <w:fldChar w:fldCharType="separate"/>
      </w:r>
      <w:r>
        <w:t>67</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069B42CE">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_Toc1332 </w:instrText>
      </w:r>
      <w:r>
        <w:rPr>
          <w:rFonts w:hint="eastAsia" w:ascii="黑体" w:hAnsi="黑体" w:eastAsia="黑体" w:cs="黑体"/>
          <w:szCs w:val="32"/>
        </w:rPr>
        <w:fldChar w:fldCharType="separate"/>
      </w:r>
      <w:r>
        <w:rPr>
          <w:rFonts w:hint="eastAsia"/>
        </w:rPr>
        <w:t>4.5指导性意见</w:t>
      </w:r>
      <w:r>
        <w:tab/>
      </w:r>
      <w:r>
        <w:fldChar w:fldCharType="begin"/>
      </w:r>
      <w:r>
        <w:instrText xml:space="preserve"> PAGEREF _Toc1332 \h </w:instrText>
      </w:r>
      <w:r>
        <w:fldChar w:fldCharType="separate"/>
      </w:r>
      <w:r>
        <w:t>68</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544E73DD">
      <w:pPr>
        <w:pStyle w:val="19"/>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_Toc17038 </w:instrText>
      </w:r>
      <w:r>
        <w:rPr>
          <w:rFonts w:hint="eastAsia" w:ascii="黑体" w:hAnsi="黑体" w:eastAsia="黑体" w:cs="黑体"/>
          <w:szCs w:val="32"/>
        </w:rPr>
        <w:fldChar w:fldCharType="separate"/>
      </w:r>
      <w:r>
        <w:rPr>
          <w:rFonts w:hint="eastAsia"/>
        </w:rPr>
        <w:t>5水土保持措施</w:t>
      </w:r>
      <w:r>
        <w:tab/>
      </w:r>
      <w:r>
        <w:fldChar w:fldCharType="begin"/>
      </w:r>
      <w:r>
        <w:instrText xml:space="preserve"> PAGEREF _Toc17038 \h </w:instrText>
      </w:r>
      <w:r>
        <w:fldChar w:fldCharType="separate"/>
      </w:r>
      <w:r>
        <w:t>70</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4B27FA4">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_Toc22211 </w:instrText>
      </w:r>
      <w:r>
        <w:rPr>
          <w:rFonts w:hint="eastAsia" w:ascii="黑体" w:hAnsi="黑体" w:eastAsia="黑体" w:cs="黑体"/>
          <w:szCs w:val="32"/>
        </w:rPr>
        <w:fldChar w:fldCharType="separate"/>
      </w:r>
      <w:r>
        <w:rPr>
          <w:rFonts w:hint="eastAsia"/>
        </w:rPr>
        <w:t>5.1防治区划分</w:t>
      </w:r>
      <w:r>
        <w:tab/>
      </w:r>
      <w:r>
        <w:fldChar w:fldCharType="begin"/>
      </w:r>
      <w:r>
        <w:instrText xml:space="preserve"> PAGEREF _Toc22211 \h </w:instrText>
      </w:r>
      <w:r>
        <w:fldChar w:fldCharType="separate"/>
      </w:r>
      <w:r>
        <w:t>70</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4673DE1">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_Toc18437 </w:instrText>
      </w:r>
      <w:r>
        <w:rPr>
          <w:rFonts w:hint="eastAsia" w:ascii="黑体" w:hAnsi="黑体" w:eastAsia="黑体" w:cs="黑体"/>
          <w:szCs w:val="32"/>
        </w:rPr>
        <w:fldChar w:fldCharType="separate"/>
      </w:r>
      <w:r>
        <w:rPr>
          <w:rFonts w:hint="eastAsia"/>
        </w:rPr>
        <w:t>5.2措施总体布局</w:t>
      </w:r>
      <w:r>
        <w:tab/>
      </w:r>
      <w:r>
        <w:fldChar w:fldCharType="begin"/>
      </w:r>
      <w:r>
        <w:instrText xml:space="preserve"> PAGEREF _Toc18437 \h </w:instrText>
      </w:r>
      <w:r>
        <w:fldChar w:fldCharType="separate"/>
      </w:r>
      <w:r>
        <w:t>70</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012194E7">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_Toc29324 </w:instrText>
      </w:r>
      <w:r>
        <w:rPr>
          <w:rFonts w:hint="eastAsia" w:ascii="黑体" w:hAnsi="黑体" w:eastAsia="黑体" w:cs="黑体"/>
          <w:szCs w:val="32"/>
        </w:rPr>
        <w:fldChar w:fldCharType="separate"/>
      </w:r>
      <w:r>
        <w:rPr>
          <w:rFonts w:hint="eastAsia"/>
        </w:rPr>
        <w:t>5.3 措施设计标准</w:t>
      </w:r>
      <w:r>
        <w:tab/>
      </w:r>
      <w:r>
        <w:fldChar w:fldCharType="begin"/>
      </w:r>
      <w:r>
        <w:instrText xml:space="preserve"> PAGEREF _Toc29324 \h </w:instrText>
      </w:r>
      <w:r>
        <w:fldChar w:fldCharType="separate"/>
      </w:r>
      <w:r>
        <w:t>72</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448B13BE">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_Toc8258 </w:instrText>
      </w:r>
      <w:r>
        <w:rPr>
          <w:rFonts w:hint="eastAsia" w:ascii="黑体" w:hAnsi="黑体" w:eastAsia="黑体" w:cs="黑体"/>
          <w:szCs w:val="32"/>
        </w:rPr>
        <w:fldChar w:fldCharType="separate"/>
      </w:r>
      <w:r>
        <w:rPr>
          <w:rFonts w:hint="eastAsia"/>
        </w:rPr>
        <w:t>5.4分区措施布设</w:t>
      </w:r>
      <w:r>
        <w:tab/>
      </w:r>
      <w:r>
        <w:fldChar w:fldCharType="begin"/>
      </w:r>
      <w:r>
        <w:instrText xml:space="preserve"> PAGEREF _Toc8258 \h </w:instrText>
      </w:r>
      <w:r>
        <w:fldChar w:fldCharType="separate"/>
      </w:r>
      <w:r>
        <w:t>73</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209BE5F5">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_Toc22192 </w:instrText>
      </w:r>
      <w:r>
        <w:rPr>
          <w:rFonts w:hint="eastAsia" w:ascii="黑体" w:hAnsi="黑体" w:eastAsia="黑体" w:cs="黑体"/>
          <w:szCs w:val="32"/>
        </w:rPr>
        <w:fldChar w:fldCharType="separate"/>
      </w:r>
      <w:r>
        <w:rPr>
          <w:rFonts w:hint="eastAsia"/>
        </w:rPr>
        <w:t>5.5施工要求</w:t>
      </w:r>
      <w:r>
        <w:tab/>
      </w:r>
      <w:r>
        <w:fldChar w:fldCharType="begin"/>
      </w:r>
      <w:r>
        <w:instrText xml:space="preserve"> PAGEREF _Toc22192 \h </w:instrText>
      </w:r>
      <w:r>
        <w:fldChar w:fldCharType="separate"/>
      </w:r>
      <w:r>
        <w:t>79</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2A88E727">
      <w:pPr>
        <w:pStyle w:val="19"/>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_Toc24168 </w:instrText>
      </w:r>
      <w:r>
        <w:rPr>
          <w:rFonts w:hint="eastAsia" w:ascii="黑体" w:hAnsi="黑体" w:eastAsia="黑体" w:cs="黑体"/>
          <w:szCs w:val="32"/>
        </w:rPr>
        <w:fldChar w:fldCharType="separate"/>
      </w:r>
      <w:r>
        <w:rPr>
          <w:rFonts w:hint="eastAsia"/>
        </w:rPr>
        <w:t>6水土保持监测</w:t>
      </w:r>
      <w:r>
        <w:tab/>
      </w:r>
      <w:r>
        <w:fldChar w:fldCharType="begin"/>
      </w:r>
      <w:r>
        <w:instrText xml:space="preserve"> PAGEREF _Toc24168 \h </w:instrText>
      </w:r>
      <w:r>
        <w:fldChar w:fldCharType="separate"/>
      </w:r>
      <w:r>
        <w:t>83</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7EFFF9F">
      <w:pPr>
        <w:pStyle w:val="19"/>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_Toc18724 </w:instrText>
      </w:r>
      <w:r>
        <w:rPr>
          <w:rFonts w:hint="eastAsia" w:ascii="黑体" w:hAnsi="黑体" w:eastAsia="黑体" w:cs="黑体"/>
          <w:szCs w:val="32"/>
        </w:rPr>
        <w:fldChar w:fldCharType="separate"/>
      </w:r>
      <w:r>
        <w:rPr>
          <w:rFonts w:hint="eastAsia"/>
        </w:rPr>
        <w:t>7水土保持投资估算及效益分析</w:t>
      </w:r>
      <w:r>
        <w:tab/>
      </w:r>
      <w:r>
        <w:fldChar w:fldCharType="begin"/>
      </w:r>
      <w:r>
        <w:instrText xml:space="preserve"> PAGEREF _Toc18724 \h </w:instrText>
      </w:r>
      <w:r>
        <w:fldChar w:fldCharType="separate"/>
      </w:r>
      <w:r>
        <w:t>84</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5CDDB49">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_Toc14965 </w:instrText>
      </w:r>
      <w:r>
        <w:rPr>
          <w:rFonts w:hint="eastAsia" w:ascii="黑体" w:hAnsi="黑体" w:eastAsia="黑体" w:cs="黑体"/>
          <w:szCs w:val="32"/>
        </w:rPr>
        <w:fldChar w:fldCharType="separate"/>
      </w:r>
      <w:r>
        <w:rPr>
          <w:rFonts w:hint="eastAsia"/>
        </w:rPr>
        <w:t>7.1投资估算</w:t>
      </w:r>
      <w:r>
        <w:tab/>
      </w:r>
      <w:r>
        <w:fldChar w:fldCharType="begin"/>
      </w:r>
      <w:r>
        <w:instrText xml:space="preserve"> PAGEREF _Toc14965 \h </w:instrText>
      </w:r>
      <w:r>
        <w:fldChar w:fldCharType="separate"/>
      </w:r>
      <w:r>
        <w:t>84</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3A33BEC3">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_Toc27749 </w:instrText>
      </w:r>
      <w:r>
        <w:rPr>
          <w:rFonts w:hint="eastAsia" w:ascii="黑体" w:hAnsi="黑体" w:eastAsia="黑体" w:cs="黑体"/>
          <w:szCs w:val="32"/>
        </w:rPr>
        <w:fldChar w:fldCharType="separate"/>
      </w:r>
      <w:r>
        <w:rPr>
          <w:rFonts w:hint="eastAsia"/>
        </w:rPr>
        <w:t>7.2效益分析</w:t>
      </w:r>
      <w:r>
        <w:tab/>
      </w:r>
      <w:r>
        <w:fldChar w:fldCharType="begin"/>
      </w:r>
      <w:r>
        <w:instrText xml:space="preserve"> PAGEREF _Toc27749 \h </w:instrText>
      </w:r>
      <w:r>
        <w:fldChar w:fldCharType="separate"/>
      </w:r>
      <w:r>
        <w:t>92</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429BA360">
      <w:pPr>
        <w:pStyle w:val="19"/>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_Toc13720 </w:instrText>
      </w:r>
      <w:r>
        <w:rPr>
          <w:rFonts w:hint="eastAsia" w:ascii="黑体" w:hAnsi="黑体" w:eastAsia="黑体" w:cs="黑体"/>
          <w:szCs w:val="32"/>
        </w:rPr>
        <w:fldChar w:fldCharType="separate"/>
      </w:r>
      <w:r>
        <w:rPr>
          <w:rFonts w:hint="eastAsia"/>
        </w:rPr>
        <w:t>8水土保持管理</w:t>
      </w:r>
      <w:r>
        <w:tab/>
      </w:r>
      <w:r>
        <w:fldChar w:fldCharType="begin"/>
      </w:r>
      <w:r>
        <w:instrText xml:space="preserve"> PAGEREF _Toc13720 \h </w:instrText>
      </w:r>
      <w:r>
        <w:fldChar w:fldCharType="separate"/>
      </w:r>
      <w:r>
        <w:t>95</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73036BF3">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_Toc10984 </w:instrText>
      </w:r>
      <w:r>
        <w:rPr>
          <w:rFonts w:hint="eastAsia" w:ascii="黑体" w:hAnsi="黑体" w:eastAsia="黑体" w:cs="黑体"/>
          <w:szCs w:val="32"/>
        </w:rPr>
        <w:fldChar w:fldCharType="separate"/>
      </w:r>
      <w:r>
        <w:rPr>
          <w:rFonts w:hint="eastAsia"/>
        </w:rPr>
        <w:t>8.1组织管理</w:t>
      </w:r>
      <w:r>
        <w:tab/>
      </w:r>
      <w:r>
        <w:fldChar w:fldCharType="begin"/>
      </w:r>
      <w:r>
        <w:instrText xml:space="preserve"> PAGEREF _Toc10984 \h </w:instrText>
      </w:r>
      <w:r>
        <w:fldChar w:fldCharType="separate"/>
      </w:r>
      <w:r>
        <w:t>95</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01915B07">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_Toc20081 </w:instrText>
      </w:r>
      <w:r>
        <w:rPr>
          <w:rFonts w:hint="eastAsia" w:ascii="黑体" w:hAnsi="黑体" w:eastAsia="黑体" w:cs="黑体"/>
          <w:szCs w:val="32"/>
        </w:rPr>
        <w:fldChar w:fldCharType="separate"/>
      </w:r>
      <w:r>
        <w:rPr>
          <w:rFonts w:hint="eastAsia"/>
        </w:rPr>
        <w:t>8.</w:t>
      </w:r>
      <w:r>
        <w:rPr>
          <w:rFonts w:hint="eastAsia"/>
          <w:lang w:val="en-US" w:eastAsia="zh-CN"/>
        </w:rPr>
        <w:t>2</w:t>
      </w:r>
      <w:r>
        <w:rPr>
          <w:rFonts w:hint="eastAsia"/>
        </w:rPr>
        <w:t>水土保持工程监理</w:t>
      </w:r>
      <w:r>
        <w:tab/>
      </w:r>
      <w:r>
        <w:fldChar w:fldCharType="begin"/>
      </w:r>
      <w:r>
        <w:instrText xml:space="preserve"> PAGEREF _Toc20081 \h </w:instrText>
      </w:r>
      <w:r>
        <w:fldChar w:fldCharType="separate"/>
      </w:r>
      <w:r>
        <w:t>96</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19E6FF37">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_Toc14044 </w:instrText>
      </w:r>
      <w:r>
        <w:rPr>
          <w:rFonts w:hint="eastAsia" w:ascii="黑体" w:hAnsi="黑体" w:eastAsia="黑体" w:cs="黑体"/>
          <w:szCs w:val="32"/>
        </w:rPr>
        <w:fldChar w:fldCharType="separate"/>
      </w:r>
      <w:r>
        <w:rPr>
          <w:rFonts w:hint="eastAsia"/>
        </w:rPr>
        <w:t>8.</w:t>
      </w:r>
      <w:r>
        <w:rPr>
          <w:rFonts w:hint="eastAsia"/>
          <w:lang w:val="en-US" w:eastAsia="zh-CN"/>
        </w:rPr>
        <w:t>3</w:t>
      </w:r>
      <w:r>
        <w:rPr>
          <w:rFonts w:hint="eastAsia"/>
        </w:rPr>
        <w:t>工程施工</w:t>
      </w:r>
      <w:r>
        <w:tab/>
      </w:r>
      <w:r>
        <w:fldChar w:fldCharType="begin"/>
      </w:r>
      <w:r>
        <w:instrText xml:space="preserve"> PAGEREF _Toc14044 \h </w:instrText>
      </w:r>
      <w:r>
        <w:fldChar w:fldCharType="separate"/>
      </w:r>
      <w:r>
        <w:t>97</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2E240343">
      <w:pPr>
        <w:pStyle w:val="21"/>
        <w:tabs>
          <w:tab w:val="right" w:leader="dot" w:pos="8306"/>
        </w:tabs>
      </w:pPr>
      <w:r>
        <w:rPr>
          <w:rFonts w:hint="eastAsia" w:ascii="黑体" w:hAnsi="黑体" w:eastAsia="黑体" w:cs="黑体"/>
          <w:color w:val="000000" w:themeColor="text1"/>
          <w:szCs w:val="32"/>
          <w14:textFill>
            <w14:solidFill>
              <w14:schemeClr w14:val="tx1"/>
            </w14:solidFill>
          </w14:textFill>
        </w:rPr>
        <w:fldChar w:fldCharType="begin"/>
      </w:r>
      <w:r>
        <w:rPr>
          <w:rFonts w:hint="eastAsia" w:ascii="黑体" w:hAnsi="黑体" w:eastAsia="黑体" w:cs="黑体"/>
          <w:szCs w:val="32"/>
        </w:rPr>
        <w:instrText xml:space="preserve"> HYPERLINK \l _Toc11319 </w:instrText>
      </w:r>
      <w:r>
        <w:rPr>
          <w:rFonts w:hint="eastAsia" w:ascii="黑体" w:hAnsi="黑体" w:eastAsia="黑体" w:cs="黑体"/>
          <w:szCs w:val="32"/>
        </w:rPr>
        <w:fldChar w:fldCharType="separate"/>
      </w:r>
      <w:r>
        <w:rPr>
          <w:rFonts w:hint="eastAsia"/>
        </w:rPr>
        <w:t>8.</w:t>
      </w:r>
      <w:r>
        <w:rPr>
          <w:rFonts w:hint="eastAsia"/>
          <w:lang w:val="en-US" w:eastAsia="zh-CN"/>
        </w:rPr>
        <w:t>4</w:t>
      </w:r>
      <w:r>
        <w:rPr>
          <w:rFonts w:hint="eastAsia"/>
        </w:rPr>
        <w:t>检查与验收</w:t>
      </w:r>
      <w:r>
        <w:tab/>
      </w:r>
      <w:r>
        <w:fldChar w:fldCharType="begin"/>
      </w:r>
      <w:r>
        <w:instrText xml:space="preserve"> PAGEREF _Toc11319 \h </w:instrText>
      </w:r>
      <w:r>
        <w:fldChar w:fldCharType="separate"/>
      </w:r>
      <w:r>
        <w:t>97</w:t>
      </w:r>
      <w:r>
        <w:fldChar w:fldCharType="end"/>
      </w:r>
      <w:r>
        <w:rPr>
          <w:rFonts w:hint="eastAsia" w:ascii="黑体" w:hAnsi="黑体" w:eastAsia="黑体" w:cs="黑体"/>
          <w:color w:val="000000" w:themeColor="text1"/>
          <w:szCs w:val="32"/>
          <w14:textFill>
            <w14:solidFill>
              <w14:schemeClr w14:val="tx1"/>
            </w14:solidFill>
          </w14:textFill>
        </w:rPr>
        <w:fldChar w:fldCharType="end"/>
      </w:r>
    </w:p>
    <w:p w14:paraId="1191E6D7">
      <w:pPr>
        <w:ind w:firstLine="480"/>
        <w:jc w:val="center"/>
        <w:rPr>
          <w:rFonts w:hint="eastAsia" w:ascii="黑体" w:hAnsi="黑体" w:eastAsia="黑体" w:cs="黑体"/>
          <w:color w:val="000000" w:themeColor="text1"/>
          <w:szCs w:val="32"/>
          <w14:textFill>
            <w14:solidFill>
              <w14:schemeClr w14:val="tx1"/>
            </w14:solidFill>
          </w14:textFill>
        </w:rPr>
      </w:pPr>
      <w:r>
        <w:rPr>
          <w:rFonts w:hint="eastAsia" w:ascii="黑体" w:hAnsi="黑体" w:eastAsia="黑体" w:cs="黑体"/>
          <w:color w:val="000000" w:themeColor="text1"/>
          <w:szCs w:val="32"/>
          <w14:textFill>
            <w14:solidFill>
              <w14:schemeClr w14:val="tx1"/>
            </w14:solidFill>
          </w14:textFill>
        </w:rPr>
        <w:fldChar w:fldCharType="end"/>
      </w:r>
    </w:p>
    <w:p w14:paraId="148B4423">
      <w:pPr>
        <w:widowControl/>
        <w:spacing w:before="156" w:beforeLines="50" w:line="240" w:lineRule="auto"/>
        <w:ind w:firstLine="482"/>
        <w:rPr>
          <w:rFonts w:hint="eastAsia"/>
          <w:b/>
        </w:rPr>
      </w:pPr>
      <w:bookmarkStart w:id="6" w:name="_Hlk137051640"/>
    </w:p>
    <w:p w14:paraId="71BA8AF7">
      <w:pPr>
        <w:widowControl/>
        <w:spacing w:before="156" w:beforeLines="50" w:line="240" w:lineRule="auto"/>
        <w:ind w:firstLine="482"/>
        <w:rPr>
          <w:rFonts w:hint="eastAsia"/>
          <w:b/>
        </w:rPr>
      </w:pPr>
    </w:p>
    <w:p w14:paraId="376BBB92">
      <w:pPr>
        <w:widowControl/>
        <w:spacing w:before="156" w:beforeLines="50" w:line="240" w:lineRule="auto"/>
        <w:ind w:firstLine="482"/>
        <w:rPr>
          <w:rFonts w:hint="eastAsia"/>
          <w:b/>
        </w:rPr>
      </w:pPr>
    </w:p>
    <w:p w14:paraId="5D81CC68">
      <w:pPr>
        <w:widowControl/>
        <w:spacing w:before="156" w:beforeLines="50" w:line="240" w:lineRule="auto"/>
        <w:ind w:firstLine="482"/>
        <w:rPr>
          <w:rFonts w:hint="eastAsia"/>
          <w:b/>
        </w:rPr>
      </w:pPr>
    </w:p>
    <w:p w14:paraId="0C24FB84">
      <w:pPr>
        <w:widowControl/>
        <w:spacing w:before="156" w:beforeLines="50" w:line="240" w:lineRule="auto"/>
        <w:ind w:firstLine="482"/>
        <w:rPr>
          <w:rFonts w:hint="eastAsia"/>
          <w:b/>
        </w:rPr>
      </w:pPr>
    </w:p>
    <w:p w14:paraId="2551935C">
      <w:pPr>
        <w:widowControl/>
        <w:spacing w:before="156" w:beforeLines="50" w:line="240" w:lineRule="auto"/>
        <w:ind w:firstLine="482"/>
        <w:rPr>
          <w:b/>
        </w:rPr>
      </w:pPr>
      <w:r>
        <w:rPr>
          <w:rFonts w:hint="eastAsia"/>
          <w:b/>
        </w:rPr>
        <w:t>附表：</w:t>
      </w:r>
    </w:p>
    <w:p w14:paraId="458EEE50">
      <w:pPr>
        <w:widowControl/>
        <w:spacing w:before="156" w:beforeLines="50" w:line="240" w:lineRule="auto"/>
        <w:ind w:firstLine="480"/>
      </w:pPr>
      <w:r>
        <w:rPr>
          <w:rFonts w:hint="eastAsia"/>
        </w:rPr>
        <w:t>单价分析表</w:t>
      </w:r>
    </w:p>
    <w:p w14:paraId="17594E41">
      <w:pPr>
        <w:widowControl/>
        <w:spacing w:before="156" w:beforeLines="50" w:line="240" w:lineRule="auto"/>
        <w:ind w:firstLine="482"/>
        <w:rPr>
          <w:b/>
        </w:rPr>
      </w:pPr>
      <w:r>
        <w:rPr>
          <w:b/>
        </w:rPr>
        <w:t>附件：</w:t>
      </w:r>
    </w:p>
    <w:p w14:paraId="581BC943">
      <w:pPr>
        <w:widowControl/>
        <w:spacing w:before="156" w:beforeLines="50" w:line="240" w:lineRule="auto"/>
        <w:ind w:firstLine="480"/>
        <w:rPr>
          <w:highlight w:val="none"/>
        </w:rPr>
      </w:pPr>
      <w:r>
        <w:rPr>
          <w:rFonts w:hint="eastAsia"/>
          <w:highlight w:val="none"/>
        </w:rPr>
        <w:t>1、水土保持方案编制委托书；</w:t>
      </w:r>
    </w:p>
    <w:p w14:paraId="3D04EB47">
      <w:pPr>
        <w:widowControl/>
        <w:spacing w:before="156" w:beforeLines="50" w:line="240" w:lineRule="auto"/>
        <w:ind w:firstLine="480"/>
      </w:pPr>
      <w:r>
        <w:rPr>
          <w:rFonts w:hint="eastAsia"/>
        </w:rPr>
        <w:t>2、可行性研究报告批复；</w:t>
      </w:r>
    </w:p>
    <w:p w14:paraId="00C2D7C4">
      <w:pPr>
        <w:widowControl/>
        <w:spacing w:before="156" w:beforeLines="50" w:line="240" w:lineRule="auto"/>
        <w:ind w:firstLine="480"/>
      </w:pPr>
      <w:r>
        <w:rPr>
          <w:rFonts w:hint="eastAsia"/>
        </w:rPr>
        <w:t>3、建设用地规划许可证；</w:t>
      </w:r>
    </w:p>
    <w:p w14:paraId="4DDC2CEE">
      <w:pPr>
        <w:widowControl/>
        <w:spacing w:before="156" w:beforeLines="50" w:line="240" w:lineRule="auto"/>
        <w:ind w:firstLine="480"/>
        <w:rPr>
          <w:highlight w:val="none"/>
        </w:rPr>
      </w:pPr>
      <w:r>
        <w:rPr>
          <w:rFonts w:hint="eastAsia"/>
        </w:rPr>
        <w:t>4、工</w:t>
      </w:r>
      <w:r>
        <w:rPr>
          <w:rFonts w:hint="eastAsia"/>
          <w:highlight w:val="none"/>
        </w:rPr>
        <w:t>程规划许可证；</w:t>
      </w:r>
    </w:p>
    <w:p w14:paraId="12B47F2E">
      <w:pPr>
        <w:widowControl/>
        <w:spacing w:before="156" w:beforeLines="50" w:line="240" w:lineRule="auto"/>
        <w:ind w:firstLine="480"/>
        <w:rPr>
          <w:highlight w:val="none"/>
        </w:rPr>
      </w:pPr>
      <w:r>
        <w:rPr>
          <w:rFonts w:hint="eastAsia"/>
          <w:highlight w:val="none"/>
        </w:rPr>
        <w:t>5、土地产权证；</w:t>
      </w:r>
    </w:p>
    <w:p w14:paraId="317FC90D">
      <w:pPr>
        <w:widowControl/>
        <w:spacing w:before="156" w:beforeLines="50" w:line="240" w:lineRule="auto"/>
        <w:ind w:firstLine="480"/>
        <w:rPr>
          <w:highlight w:val="none"/>
        </w:rPr>
      </w:pPr>
      <w:r>
        <w:rPr>
          <w:rFonts w:hint="eastAsia"/>
          <w:highlight w:val="none"/>
        </w:rPr>
        <w:t>6、弃方项目的可行性研究报告批复；</w:t>
      </w:r>
    </w:p>
    <w:p w14:paraId="0E50BA30">
      <w:pPr>
        <w:widowControl/>
        <w:spacing w:before="156" w:beforeLines="50" w:line="240" w:lineRule="auto"/>
        <w:ind w:firstLine="480"/>
        <w:rPr>
          <w:rFonts w:hint="eastAsia"/>
          <w:highlight w:val="none"/>
        </w:rPr>
      </w:pPr>
      <w:r>
        <w:rPr>
          <w:rFonts w:hint="eastAsia"/>
          <w:highlight w:val="none"/>
        </w:rPr>
        <w:t>7、弃方综合利用协议；</w:t>
      </w:r>
    </w:p>
    <w:p w14:paraId="46BC8949">
      <w:pPr>
        <w:widowControl/>
        <w:spacing w:before="156" w:beforeLines="50" w:line="240" w:lineRule="auto"/>
        <w:ind w:firstLine="480"/>
        <w:rPr>
          <w:rFonts w:hint="eastAsia"/>
          <w:highlight w:val="none"/>
        </w:rPr>
      </w:pPr>
      <w:r>
        <w:rPr>
          <w:rFonts w:hint="eastAsia"/>
          <w:highlight w:val="none"/>
          <w:lang w:val="en-US" w:eastAsia="zh-CN"/>
        </w:rPr>
        <w:t>8</w:t>
      </w:r>
      <w:r>
        <w:rPr>
          <w:rFonts w:hint="eastAsia"/>
          <w:highlight w:val="none"/>
        </w:rPr>
        <w:t>、规划审查意见；</w:t>
      </w:r>
    </w:p>
    <w:p w14:paraId="66989249">
      <w:pPr>
        <w:widowControl/>
        <w:spacing w:before="156" w:beforeLines="50" w:line="240" w:lineRule="auto"/>
        <w:ind w:firstLine="480"/>
        <w:rPr>
          <w:rFonts w:hint="eastAsia"/>
          <w:highlight w:val="none"/>
        </w:rPr>
      </w:pPr>
      <w:r>
        <w:rPr>
          <w:rFonts w:hint="eastAsia"/>
          <w:highlight w:val="none"/>
          <w:lang w:val="en-US" w:eastAsia="zh-CN"/>
        </w:rPr>
        <w:t>9</w:t>
      </w:r>
      <w:r>
        <w:rPr>
          <w:rFonts w:hint="eastAsia"/>
          <w:highlight w:val="none"/>
        </w:rPr>
        <w:t>、绵阳市涪城区综合行政执法局不予行政处罚决定书；</w:t>
      </w:r>
    </w:p>
    <w:p w14:paraId="4A037B55">
      <w:pPr>
        <w:widowControl/>
        <w:spacing w:before="156" w:beforeLines="50" w:line="240" w:lineRule="auto"/>
        <w:ind w:firstLine="482"/>
        <w:rPr>
          <w:b/>
        </w:rPr>
      </w:pPr>
      <w:r>
        <w:rPr>
          <w:b/>
        </w:rPr>
        <w:t>附图：</w:t>
      </w:r>
    </w:p>
    <w:p w14:paraId="029F590E">
      <w:pPr>
        <w:pStyle w:val="66"/>
        <w:ind w:firstLine="480"/>
      </w:pPr>
      <w:r>
        <w:t>1</w:t>
      </w:r>
      <w:r>
        <w:rPr>
          <w:rFonts w:hint="eastAsia"/>
        </w:rPr>
        <w:t>、</w:t>
      </w:r>
      <w:r>
        <w:t>项目</w:t>
      </w:r>
      <w:r>
        <w:rPr>
          <w:rFonts w:hint="eastAsia"/>
        </w:rPr>
        <w:t>区</w:t>
      </w:r>
      <w:r>
        <w:t>地理位置图；</w:t>
      </w:r>
    </w:p>
    <w:p w14:paraId="36281427">
      <w:pPr>
        <w:pStyle w:val="66"/>
        <w:ind w:firstLine="480"/>
      </w:pPr>
      <w:r>
        <w:t>2</w:t>
      </w:r>
      <w:r>
        <w:rPr>
          <w:rFonts w:hint="eastAsia"/>
        </w:rPr>
        <w:t>、项目区</w:t>
      </w:r>
      <w:r>
        <w:t>水系图；</w:t>
      </w:r>
    </w:p>
    <w:p w14:paraId="3A99DA23">
      <w:pPr>
        <w:pStyle w:val="66"/>
        <w:ind w:firstLine="480"/>
      </w:pPr>
      <w:r>
        <w:t>3</w:t>
      </w:r>
      <w:r>
        <w:rPr>
          <w:rFonts w:hint="eastAsia"/>
        </w:rPr>
        <w:t>、项目区土壤侵蚀分布图</w:t>
      </w:r>
      <w:r>
        <w:t>；</w:t>
      </w:r>
    </w:p>
    <w:p w14:paraId="3B524383">
      <w:pPr>
        <w:pStyle w:val="66"/>
        <w:ind w:firstLine="480"/>
      </w:pPr>
      <w:r>
        <w:t>4、</w:t>
      </w:r>
      <w:r>
        <w:rPr>
          <w:rFonts w:hint="eastAsia"/>
        </w:rPr>
        <w:t>项目总平面布置</w:t>
      </w:r>
      <w:r>
        <w:t>图</w:t>
      </w:r>
      <w:r>
        <w:rPr>
          <w:rFonts w:hint="eastAsia"/>
        </w:rPr>
        <w:t>（含绿化）；</w:t>
      </w:r>
    </w:p>
    <w:p w14:paraId="5DF4C76A">
      <w:pPr>
        <w:pStyle w:val="66"/>
        <w:ind w:firstLine="480"/>
      </w:pPr>
      <w:r>
        <w:t>5</w:t>
      </w:r>
      <w:r>
        <w:rPr>
          <w:rFonts w:hint="eastAsia"/>
        </w:rPr>
        <w:t xml:space="preserve">、项目雨水总平面布置图； </w:t>
      </w:r>
    </w:p>
    <w:p w14:paraId="12930AA6">
      <w:pPr>
        <w:pStyle w:val="66"/>
        <w:ind w:firstLine="480"/>
      </w:pPr>
      <w:r>
        <w:rPr>
          <w:rFonts w:hint="eastAsia"/>
        </w:rPr>
        <w:t>6、项目绿化配置及平面布置图；</w:t>
      </w:r>
    </w:p>
    <w:p w14:paraId="2E0C2D51">
      <w:pPr>
        <w:pStyle w:val="66"/>
        <w:ind w:firstLine="480"/>
        <w:rPr>
          <w:rFonts w:hint="eastAsia"/>
        </w:rPr>
      </w:pPr>
      <w:r>
        <w:rPr>
          <w:rFonts w:hint="eastAsia"/>
        </w:rPr>
        <w:t>7、</w:t>
      </w:r>
      <w:r>
        <w:t>分区防治措施总体布局图（含监测点位）</w:t>
      </w:r>
      <w:r>
        <w:rPr>
          <w:rFonts w:hint="eastAsia"/>
        </w:rPr>
        <w:t>；</w:t>
      </w:r>
    </w:p>
    <w:p w14:paraId="29755256">
      <w:pPr>
        <w:pStyle w:val="66"/>
        <w:ind w:firstLine="480"/>
        <w:rPr>
          <w:rFonts w:hint="default" w:eastAsia="仿宋_GB2312"/>
          <w:lang w:val="en-US" w:eastAsia="zh-CN"/>
        </w:rPr>
      </w:pPr>
      <w:r>
        <w:rPr>
          <w:rFonts w:hint="eastAsia"/>
          <w:lang w:val="en-US" w:eastAsia="zh-CN"/>
        </w:rPr>
        <w:t>8</w:t>
      </w:r>
      <w:r>
        <w:rPr>
          <w:rFonts w:hint="eastAsia"/>
        </w:rPr>
        <w:t>、防治责任范围图；</w:t>
      </w:r>
    </w:p>
    <w:p w14:paraId="243339F2">
      <w:pPr>
        <w:pStyle w:val="66"/>
        <w:ind w:firstLine="480"/>
      </w:pPr>
      <w:r>
        <w:rPr>
          <w:rFonts w:hint="eastAsia"/>
          <w:lang w:val="en-US" w:eastAsia="zh-CN"/>
        </w:rPr>
        <w:t>9</w:t>
      </w:r>
      <w:r>
        <w:rPr>
          <w:rFonts w:hint="eastAsia"/>
        </w:rPr>
        <w:t>、水土保持措施（洗车设施）典型布设设计图；</w:t>
      </w:r>
    </w:p>
    <w:p w14:paraId="5C42B142">
      <w:pPr>
        <w:pStyle w:val="66"/>
        <w:ind w:firstLine="480"/>
      </w:pPr>
      <w:r>
        <w:rPr>
          <w:rFonts w:hint="eastAsia"/>
          <w:lang w:val="en-US" w:eastAsia="zh-CN"/>
        </w:rPr>
        <w:t>10</w:t>
      </w:r>
      <w:r>
        <w:rPr>
          <w:rFonts w:hint="eastAsia"/>
        </w:rPr>
        <w:t>、水土保持措施（临时排水沟及沉砂池）典型布设设计图；</w:t>
      </w:r>
    </w:p>
    <w:p w14:paraId="05972199">
      <w:pPr>
        <w:ind w:firstLine="480"/>
      </w:pPr>
      <w:r>
        <w:rPr>
          <w:rFonts w:hint="eastAsia"/>
        </w:rPr>
        <w:t>1</w:t>
      </w:r>
      <w:r>
        <w:rPr>
          <w:rFonts w:hint="eastAsia"/>
          <w:lang w:val="en-US" w:eastAsia="zh-CN"/>
        </w:rPr>
        <w:t>1</w:t>
      </w:r>
      <w:r>
        <w:rPr>
          <w:rFonts w:hint="eastAsia"/>
        </w:rPr>
        <w:t>、水土保持措施（土地整治、密目网苫盖）典型设计图；</w:t>
      </w:r>
    </w:p>
    <w:p w14:paraId="2639CA13">
      <w:pPr>
        <w:pStyle w:val="66"/>
        <w:ind w:firstLine="480"/>
        <w:jc w:val="left"/>
        <w:rPr>
          <w:highlight w:val="green"/>
        </w:rPr>
        <w:sectPr>
          <w:footerReference r:id="rId13" w:type="default"/>
          <w:footerReference r:id="rId14" w:type="even"/>
          <w:pgSz w:w="11906" w:h="16838"/>
          <w:pgMar w:top="1440" w:right="1800" w:bottom="1440" w:left="1800" w:header="851" w:footer="992" w:gutter="0"/>
          <w:pgNumType w:fmt="upperRoman" w:start="1"/>
          <w:cols w:space="425" w:num="1"/>
          <w:docGrid w:type="lines" w:linePitch="312" w:charSpace="0"/>
        </w:sectPr>
      </w:pPr>
    </w:p>
    <w:bookmarkEnd w:id="6"/>
    <w:p w14:paraId="56F516BB">
      <w:pPr>
        <w:pStyle w:val="2"/>
        <w:rPr>
          <w:color w:val="000000" w:themeColor="text1"/>
          <w14:textFill>
            <w14:solidFill>
              <w14:schemeClr w14:val="tx1"/>
            </w14:solidFill>
          </w14:textFill>
        </w:rPr>
      </w:pPr>
      <w:bookmarkStart w:id="7" w:name="_Toc31672"/>
      <w:r>
        <w:rPr>
          <w:rFonts w:hint="eastAsia"/>
          <w:color w:val="000000" w:themeColor="text1"/>
          <w14:textFill>
            <w14:solidFill>
              <w14:schemeClr w14:val="tx1"/>
            </w14:solidFill>
          </w14:textFill>
        </w:rPr>
        <w:t>1综合说明</w:t>
      </w:r>
      <w:bookmarkEnd w:id="7"/>
    </w:p>
    <w:p w14:paraId="1375F754">
      <w:pPr>
        <w:pStyle w:val="3"/>
        <w:rPr>
          <w:color w:val="000000" w:themeColor="text1"/>
          <w14:textFill>
            <w14:solidFill>
              <w14:schemeClr w14:val="tx1"/>
            </w14:solidFill>
          </w14:textFill>
        </w:rPr>
      </w:pPr>
      <w:bookmarkStart w:id="8" w:name="_Toc5695"/>
      <w:r>
        <w:rPr>
          <w:rFonts w:hint="eastAsia"/>
          <w:color w:val="000000" w:themeColor="text1"/>
          <w14:textFill>
            <w14:solidFill>
              <w14:schemeClr w14:val="tx1"/>
            </w14:solidFill>
          </w14:textFill>
        </w:rPr>
        <w:t>1.1项目简况</w:t>
      </w:r>
      <w:bookmarkEnd w:id="8"/>
    </w:p>
    <w:p w14:paraId="2F9DFA8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1.1.1项目基本情况</w:t>
      </w:r>
    </w:p>
    <w:p w14:paraId="5A9FE80D">
      <w:pPr>
        <w:pStyle w:val="5"/>
        <w:spacing w:before="81"/>
        <w:rPr>
          <w:color w:val="000000" w:themeColor="text1"/>
          <w14:textFill>
            <w14:solidFill>
              <w14:schemeClr w14:val="tx1"/>
            </w14:solidFill>
          </w14:textFill>
        </w:rPr>
      </w:pPr>
      <w:r>
        <w:rPr>
          <w:rFonts w:hint="eastAsia"/>
          <w:color w:val="000000" w:themeColor="text1"/>
          <w14:textFill>
            <w14:solidFill>
              <w14:schemeClr w14:val="tx1"/>
            </w14:solidFill>
          </w14:textFill>
        </w:rPr>
        <w:t>1.1.1.1项目建设的必要性</w:t>
      </w:r>
    </w:p>
    <w:p w14:paraId="6FC7E82C">
      <w:pPr>
        <w:tabs>
          <w:tab w:val="left" w:pos="2835"/>
        </w:tabs>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近年来，绵阳市积极推进新能源汽车产业发展，现有新能源汽车企业20 余家，产业涵盖新能源汽车整车、动力电池、充电桩等多个品种。市政协组织委员深入调研后发现，虽然该市新能源汽车产业在整车制造、配套产业、重点项目、关键技术等方面都有一定优势，但是仍然存在缺少领军企业、研发投入不够、配套设施建设不足、政策体系有待完善等问题。</w:t>
      </w:r>
    </w:p>
    <w:p w14:paraId="49088553">
      <w:pPr>
        <w:tabs>
          <w:tab w:val="left" w:pos="2835"/>
        </w:tabs>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本项目定位为新能源工业园区，项目建成后，将为入驻企业提供更好的投资载体，从而更好地促进产业项目上阵，快节奏投产达效， 加快形成区域集中、产业集群、开发集约的产业生态链，同时可以从 根本上解决在引入新能源汽车制造企业时，基础设施及配套设施不足等问题，顺应了绵阳高新区稳增长的发展目的，所以本项目的建设是十分有必要的。</w:t>
      </w:r>
    </w:p>
    <w:p w14:paraId="66EFAF4B">
      <w:pPr>
        <w:pStyle w:val="5"/>
        <w:spacing w:before="81"/>
        <w:rPr>
          <w:color w:val="000000" w:themeColor="text1"/>
          <w14:textFill>
            <w14:solidFill>
              <w14:schemeClr w14:val="tx1"/>
            </w14:solidFill>
          </w14:textFill>
        </w:rPr>
      </w:pPr>
      <w:r>
        <w:rPr>
          <w:rFonts w:hint="eastAsia"/>
          <w:color w:val="000000" w:themeColor="text1"/>
          <w14:textFill>
            <w14:solidFill>
              <w14:schemeClr w14:val="tx1"/>
            </w14:solidFill>
          </w14:textFill>
        </w:rPr>
        <w:t>1.1.1.2项目基本情况</w:t>
      </w:r>
    </w:p>
    <w:p w14:paraId="1424D0E7">
      <w:pPr>
        <w:tabs>
          <w:tab w:val="left" w:pos="2835"/>
        </w:tabs>
        <w:ind w:firstLine="480"/>
        <w:rPr>
          <w:color w:val="000000" w:themeColor="text1"/>
          <w14:textFill>
            <w14:solidFill>
              <w14:schemeClr w14:val="tx1"/>
            </w14:solidFill>
          </w14:textFill>
        </w:rPr>
      </w:pPr>
      <w:bookmarkStart w:id="9" w:name="_Hlk136419785"/>
      <w:r>
        <w:rPr>
          <w:rFonts w:hint="eastAsia"/>
          <w:color w:val="000000" w:themeColor="text1"/>
          <w14:textFill>
            <w14:solidFill>
              <w14:schemeClr w14:val="tx1"/>
            </w14:solidFill>
          </w14:textFill>
        </w:rPr>
        <w:t>项目名称：高新区兆辉新能源工业园及基础设施配套项目（二期）</w:t>
      </w:r>
    </w:p>
    <w:p w14:paraId="636EDCAC">
      <w:pPr>
        <w:tabs>
          <w:tab w:val="left" w:pos="2835"/>
        </w:tabs>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建设单位：绵阳兆辉投资有限公司</w:t>
      </w:r>
    </w:p>
    <w:p w14:paraId="2F1499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建设地点：本项目建设地址位于绵阳市高新区永兴镇三海路6号</w:t>
      </w:r>
      <w:r>
        <w:rPr>
          <w:rFonts w:hint="eastAsia"/>
          <w:color w:val="000000" w:themeColor="text1"/>
          <w:lang w:eastAsia="zh-CN"/>
          <w14:textFill>
            <w14:solidFill>
              <w14:schemeClr w14:val="tx1"/>
            </w14:solidFill>
          </w14:textFill>
        </w:rPr>
        <w:t>，中心点经纬度为104°35′37.61″，31°28′5.70″</w:t>
      </w:r>
      <w:r>
        <w:rPr>
          <w:rFonts w:hint="eastAsia"/>
          <w:color w:val="000000" w:themeColor="text1"/>
          <w14:textFill>
            <w14:solidFill>
              <w14:schemeClr w14:val="tx1"/>
            </w14:solidFill>
          </w14:textFill>
        </w:rPr>
        <w:t>。</w:t>
      </w:r>
    </w:p>
    <w:bookmarkEnd w:id="9"/>
    <w:p w14:paraId="44520710">
      <w:pPr>
        <w:tabs>
          <w:tab w:val="left" w:pos="2835"/>
        </w:tabs>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248150" cy="2757170"/>
            <wp:effectExtent l="0" t="0" r="0" b="5080"/>
            <wp:docPr id="1074899621" name="图片 1" descr="D:/★CXS工作文档/水土保持方案/高新区兆辉新能源工业园及基础设施配套项目/图片/5.方案文本_15.jpg5.方案文本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99621" name="图片 1" descr="D:/★CXS工作文档/水土保持方案/高新区兆辉新能源工业园及基础设施配套项目/图片/5.方案文本_15.jpg5.方案文本_15"/>
                    <pic:cNvPicPr>
                      <a:picLocks noChangeAspect="1"/>
                    </pic:cNvPicPr>
                  </pic:nvPicPr>
                  <pic:blipFill>
                    <a:blip r:embed="rId47"/>
                    <a:srcRect l="5758" t="28917" r="29745" b="11896"/>
                    <a:stretch>
                      <a:fillRect/>
                    </a:stretch>
                  </pic:blipFill>
                  <pic:spPr>
                    <a:xfrm>
                      <a:off x="0" y="0"/>
                      <a:ext cx="4248150" cy="2757170"/>
                    </a:xfrm>
                    <a:prstGeom prst="rect">
                      <a:avLst/>
                    </a:prstGeom>
                  </pic:spPr>
                </pic:pic>
              </a:graphicData>
            </a:graphic>
          </wp:inline>
        </w:drawing>
      </w:r>
    </w:p>
    <w:p w14:paraId="19E5CDCD">
      <w:pPr>
        <w:tabs>
          <w:tab w:val="left" w:pos="2835"/>
        </w:tabs>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图1</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项目地理位置图</w:t>
      </w:r>
    </w:p>
    <w:p w14:paraId="2014F4E9">
      <w:pPr>
        <w:tabs>
          <w:tab w:val="left" w:pos="2835"/>
        </w:tabs>
        <w:ind w:firstLine="480"/>
        <w:rPr>
          <w:color w:val="000000" w:themeColor="text1"/>
          <w14:textFill>
            <w14:solidFill>
              <w14:schemeClr w14:val="tx1"/>
            </w14:solidFill>
          </w14:textFill>
        </w:rPr>
      </w:pPr>
      <w:bookmarkStart w:id="10" w:name="_Hlk136420082"/>
      <w:r>
        <w:rPr>
          <w:rFonts w:hint="eastAsia"/>
          <w:color w:val="000000" w:themeColor="text1"/>
          <w14:textFill>
            <w14:solidFill>
              <w14:schemeClr w14:val="tx1"/>
            </w14:solidFill>
          </w14:textFill>
        </w:rPr>
        <w:t>项目性质：</w:t>
      </w:r>
      <w:bookmarkStart w:id="11" w:name="_Hlk100938725"/>
      <w:r>
        <w:rPr>
          <w:rFonts w:hint="eastAsia"/>
          <w:color w:val="000000" w:themeColor="text1"/>
          <w14:textFill>
            <w14:solidFill>
              <w14:schemeClr w14:val="tx1"/>
            </w14:solidFill>
          </w14:textFill>
        </w:rPr>
        <w:t>新建</w:t>
      </w:r>
      <w:bookmarkEnd w:id="11"/>
      <w:r>
        <w:rPr>
          <w:rFonts w:hint="eastAsia"/>
          <w:color w:val="000000" w:themeColor="text1"/>
          <w14:textFill>
            <w14:solidFill>
              <w14:schemeClr w14:val="tx1"/>
            </w14:solidFill>
          </w14:textFill>
        </w:rPr>
        <w:t>。</w:t>
      </w:r>
    </w:p>
    <w:p w14:paraId="0CA26BC9">
      <w:pPr>
        <w:adjustRightInd/>
        <w:ind w:firstLine="480"/>
        <w:rPr>
          <w:rFonts w:hint="eastAsia" w:eastAsia="仿宋_GB2312"/>
          <w:bCs/>
          <w:color w:val="000000" w:themeColor="text1"/>
          <w:lang w:eastAsia="zh-CN"/>
          <w14:textFill>
            <w14:solidFill>
              <w14:schemeClr w14:val="tx1"/>
            </w14:solidFill>
          </w14:textFill>
        </w:rPr>
      </w:pPr>
      <w:r>
        <w:rPr>
          <w:rFonts w:hint="eastAsia"/>
          <w:bCs/>
          <w:color w:val="000000" w:themeColor="text1"/>
          <w14:textFill>
            <w14:solidFill>
              <w14:schemeClr w14:val="tx1"/>
            </w14:solidFill>
          </w14:textFill>
        </w:rPr>
        <w:t>建设内容及规模：</w:t>
      </w:r>
      <w:bookmarkStart w:id="12" w:name="_Hlk143021886"/>
      <w:r>
        <w:rPr>
          <w:rFonts w:hint="eastAsia"/>
          <w:bCs/>
          <w:color w:val="000000" w:themeColor="text1"/>
          <w14:textFill>
            <w14:solidFill>
              <w14:schemeClr w14:val="tx1"/>
            </w14:solidFill>
          </w14:textFill>
        </w:rPr>
        <w:t>本项目总建筑面积为42257.55㎡，本项目占地面积为36123.59㎡，分为一期和二期分别进行建设。其中一期项目为已建成的“高新区兆辉新能源工业园”，该工业园已建成1#、2#、4#、5#、6#建筑，合计建筑面积20061.99㎡，其中已建成的1#办公楼，建筑面积为3633.17㎡；已建成2#倒班房，建筑面积为5277.32㎡；已建成4#楼建筑面积为2400.66㎡；已建成5#和6#楼建筑面积均为4211.94㎡。一期已建成的1#、2#、4#、5#、6#等已建成的建筑物所有权，现全部归属为绵阳兆辉投资有限公司所有。二期项目为与一期项目同时规划的生产厂房和附属配套工程，生产厂房建筑面积为21019.14㎡；附属配套工程建筑面积为1176.42㎡，目前一期项目为地震宅后重建项目，已建成，二期项目</w:t>
      </w:r>
      <w:r>
        <w:rPr>
          <w:rFonts w:hint="eastAsia"/>
          <w:bCs/>
          <w:color w:val="000000" w:themeColor="text1"/>
          <w:lang w:eastAsia="zh-CN"/>
          <w14:textFill>
            <w14:solidFill>
              <w14:schemeClr w14:val="tx1"/>
            </w14:solidFill>
          </w14:textFill>
        </w:rPr>
        <w:t>正在进行</w:t>
      </w:r>
      <w:r>
        <w:rPr>
          <w:rFonts w:hint="eastAsia"/>
          <w:bCs/>
          <w:color w:val="000000" w:themeColor="text1"/>
          <w14:textFill>
            <w14:solidFill>
              <w14:schemeClr w14:val="tx1"/>
            </w14:solidFill>
          </w14:textFill>
        </w:rPr>
        <w:t>建设。一期项目属汶川地震灾后恢复重建项目可享受省、市灾后重建“边报边建”相关优惠政策</w:t>
      </w:r>
      <w:r>
        <w:rPr>
          <w:rFonts w:hint="eastAsia"/>
          <w:bCs/>
          <w:color w:val="000000" w:themeColor="text1"/>
          <w:lang w:eastAsia="zh-CN"/>
          <w14:textFill>
            <w14:solidFill>
              <w14:schemeClr w14:val="tx1"/>
            </w14:solidFill>
          </w14:textFill>
        </w:rPr>
        <w:t>，目前一期</w:t>
      </w:r>
      <w:r>
        <w:rPr>
          <w:rFonts w:hint="eastAsia"/>
          <w:bCs/>
          <w:color w:val="000000" w:themeColor="text1"/>
          <w14:textFill>
            <w14:solidFill>
              <w14:schemeClr w14:val="tx1"/>
            </w14:solidFill>
          </w14:textFill>
        </w:rPr>
        <w:t>项目</w:t>
      </w:r>
      <w:r>
        <w:rPr>
          <w:rFonts w:hint="eastAsia"/>
          <w:bCs/>
          <w:color w:val="000000" w:themeColor="text1"/>
          <w:lang w:eastAsia="zh-CN"/>
          <w14:textFill>
            <w14:solidFill>
              <w14:schemeClr w14:val="tx1"/>
            </w14:solidFill>
          </w14:textFill>
        </w:rPr>
        <w:t>资料不全。由于一期</w:t>
      </w:r>
      <w:r>
        <w:rPr>
          <w:rFonts w:hint="eastAsia"/>
          <w:bCs/>
          <w:color w:val="000000" w:themeColor="text1"/>
          <w14:textFill>
            <w14:solidFill>
              <w14:schemeClr w14:val="tx1"/>
            </w14:solidFill>
          </w14:textFill>
        </w:rPr>
        <w:t>项目</w:t>
      </w:r>
      <w:r>
        <w:rPr>
          <w:rFonts w:hint="eastAsia"/>
          <w:bCs/>
          <w:color w:val="000000" w:themeColor="text1"/>
          <w:lang w:eastAsia="zh-CN"/>
          <w14:textFill>
            <w14:solidFill>
              <w14:schemeClr w14:val="tx1"/>
            </w14:solidFill>
          </w14:textFill>
        </w:rPr>
        <w:t>已经建成并投入使用，本次水土保持仅涉及二期</w:t>
      </w:r>
      <w:r>
        <w:rPr>
          <w:rFonts w:hint="eastAsia"/>
          <w:bCs/>
          <w:color w:val="000000" w:themeColor="text1"/>
          <w14:textFill>
            <w14:solidFill>
              <w14:schemeClr w14:val="tx1"/>
            </w14:solidFill>
          </w14:textFill>
        </w:rPr>
        <w:t>项目</w:t>
      </w:r>
      <w:r>
        <w:rPr>
          <w:rFonts w:hint="eastAsia"/>
          <w:bCs/>
          <w:color w:val="000000" w:themeColor="text1"/>
          <w:lang w:eastAsia="zh-CN"/>
          <w14:textFill>
            <w14:solidFill>
              <w14:schemeClr w14:val="tx1"/>
            </w14:solidFill>
          </w14:textFill>
        </w:rPr>
        <w:t>。</w:t>
      </w:r>
    </w:p>
    <w:bookmarkEnd w:id="12"/>
    <w:p w14:paraId="4426D161">
      <w:pPr>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项目占地：</w:t>
      </w:r>
      <w:r>
        <w:rPr>
          <w:rFonts w:hint="eastAsia"/>
          <w:color w:val="000000" w:themeColor="text1"/>
          <w:spacing w:val="-4"/>
          <w:lang w:eastAsia="zh-CN"/>
          <w14:textFill>
            <w14:solidFill>
              <w14:schemeClr w14:val="tx1"/>
            </w14:solidFill>
          </w14:textFill>
        </w:rPr>
        <w:t>项目</w:t>
      </w:r>
      <w:r>
        <w:rPr>
          <w:rFonts w:hint="eastAsia"/>
          <w:color w:val="000000" w:themeColor="text1"/>
          <w:spacing w:val="-4"/>
          <w14:textFill>
            <w14:solidFill>
              <w14:schemeClr w14:val="tx1"/>
            </w14:solidFill>
          </w14:textFill>
        </w:rPr>
        <w:t>总占地面积</w:t>
      </w:r>
      <w:r>
        <w:rPr>
          <w:rFonts w:hint="eastAsia"/>
          <w:color w:val="000000" w:themeColor="text1"/>
          <w:spacing w:val="-4"/>
          <w:lang w:eastAsia="zh-CN"/>
          <w14:textFill>
            <w14:solidFill>
              <w14:schemeClr w14:val="tx1"/>
            </w14:solidFill>
          </w14:textFill>
        </w:rPr>
        <w:t>为3.61</w:t>
      </w:r>
      <w:r>
        <w:rPr>
          <w:rFonts w:hint="eastAsia"/>
          <w:color w:val="000000" w:themeColor="text1"/>
          <w:spacing w:val="-4"/>
          <w14:textFill>
            <w14:solidFill>
              <w14:schemeClr w14:val="tx1"/>
            </w14:solidFill>
          </w14:textFill>
        </w:rPr>
        <w:t>hm</w:t>
      </w:r>
      <w:r>
        <w:rPr>
          <w:rFonts w:hint="eastAsia"/>
          <w:color w:val="000000" w:themeColor="text1"/>
          <w:spacing w:val="-4"/>
          <w:vertAlign w:val="superscript"/>
          <w14:textFill>
            <w14:solidFill>
              <w14:schemeClr w14:val="tx1"/>
            </w14:solidFill>
          </w14:textFill>
        </w:rPr>
        <w:t>2</w:t>
      </w:r>
      <w:r>
        <w:rPr>
          <w:rFonts w:hint="eastAsia"/>
          <w:color w:val="000000" w:themeColor="text1"/>
          <w:spacing w:val="-4"/>
          <w:lang w:eastAsia="zh-CN"/>
          <w14:textFill>
            <w14:solidFill>
              <w14:schemeClr w14:val="tx1"/>
            </w14:solidFill>
          </w14:textFill>
        </w:rPr>
        <w:t>，其中一期</w:t>
      </w:r>
      <w:r>
        <w:rPr>
          <w:rFonts w:hint="eastAsia"/>
          <w:bCs/>
          <w:color w:val="000000" w:themeColor="text1"/>
          <w14:textFill>
            <w14:solidFill>
              <w14:schemeClr w14:val="tx1"/>
            </w14:solidFill>
          </w14:textFill>
        </w:rPr>
        <w:t>项目</w:t>
      </w:r>
      <w:r>
        <w:rPr>
          <w:rFonts w:hint="eastAsia"/>
          <w:color w:val="000000" w:themeColor="text1"/>
          <w:spacing w:val="-4"/>
          <w:lang w:eastAsia="zh-CN"/>
          <w14:textFill>
            <w14:solidFill>
              <w14:schemeClr w14:val="tx1"/>
            </w14:solidFill>
          </w14:textFill>
        </w:rPr>
        <w:t>占地面积为</w:t>
      </w:r>
      <w:r>
        <w:rPr>
          <w:rFonts w:hint="eastAsia"/>
          <w:color w:val="000000" w:themeColor="text1"/>
          <w:spacing w:val="-4"/>
          <w:lang w:val="en-US" w:eastAsia="zh-CN"/>
          <w14:textFill>
            <w14:solidFill>
              <w14:schemeClr w14:val="tx1"/>
            </w14:solidFill>
          </w14:textFill>
        </w:rPr>
        <w:t>2.66</w:t>
      </w:r>
      <w:r>
        <w:rPr>
          <w:rFonts w:hint="eastAsia"/>
          <w:color w:val="000000" w:themeColor="text1"/>
          <w:spacing w:val="-4"/>
          <w14:textFill>
            <w14:solidFill>
              <w14:schemeClr w14:val="tx1"/>
            </w14:solidFill>
          </w14:textFill>
        </w:rPr>
        <w:t>hm</w:t>
      </w:r>
      <w:r>
        <w:rPr>
          <w:rFonts w:hint="eastAsia"/>
          <w:color w:val="000000" w:themeColor="text1"/>
          <w:spacing w:val="-4"/>
          <w:vertAlign w:val="superscript"/>
          <w14:textFill>
            <w14:solidFill>
              <w14:schemeClr w14:val="tx1"/>
            </w14:solidFill>
          </w14:textFill>
        </w:rPr>
        <w:t>2</w:t>
      </w:r>
      <w:r>
        <w:rPr>
          <w:rFonts w:hint="eastAsia"/>
          <w:color w:val="000000" w:themeColor="text1"/>
          <w:spacing w:val="-4"/>
          <w:lang w:val="en-US" w:eastAsia="zh-CN"/>
          <w14:textFill>
            <w14:solidFill>
              <w14:schemeClr w14:val="tx1"/>
            </w14:solidFill>
          </w14:textFill>
        </w:rPr>
        <w:t>，二期</w:t>
      </w:r>
      <w:r>
        <w:rPr>
          <w:rFonts w:hint="eastAsia"/>
          <w:color w:val="000000" w:themeColor="text1"/>
          <w:spacing w:val="-4"/>
          <w14:textFill>
            <w14:solidFill>
              <w14:schemeClr w14:val="tx1"/>
            </w14:solidFill>
          </w14:textFill>
        </w:rPr>
        <w:t>占地面积0.95hm</w:t>
      </w:r>
      <w:r>
        <w:rPr>
          <w:rFonts w:hint="eastAsia"/>
          <w:color w:val="000000" w:themeColor="text1"/>
          <w:spacing w:val="-4"/>
          <w:vertAlign w:val="superscript"/>
          <w14:textFill>
            <w14:solidFill>
              <w14:schemeClr w14:val="tx1"/>
            </w14:solidFill>
          </w14:textFill>
        </w:rPr>
        <w:t>2</w:t>
      </w:r>
      <w:r>
        <w:rPr>
          <w:rFonts w:hint="eastAsia"/>
          <w:color w:val="000000" w:themeColor="text1"/>
          <w:spacing w:val="-4"/>
          <w14:textFill>
            <w14:solidFill>
              <w14:schemeClr w14:val="tx1"/>
            </w14:solidFill>
          </w14:textFill>
        </w:rPr>
        <w:t>，</w:t>
      </w:r>
      <w:r>
        <w:rPr>
          <w:rFonts w:hint="eastAsia"/>
          <w:color w:val="000000" w:themeColor="text1"/>
          <w:spacing w:val="-4"/>
          <w:lang w:eastAsia="zh-CN"/>
          <w14:textFill>
            <w14:solidFill>
              <w14:schemeClr w14:val="tx1"/>
            </w14:solidFill>
          </w14:textFill>
        </w:rPr>
        <w:t>均为</w:t>
      </w:r>
      <w:r>
        <w:rPr>
          <w:rFonts w:hint="eastAsia"/>
          <w:color w:val="000000" w:themeColor="text1"/>
          <w:spacing w:val="-4"/>
          <w14:textFill>
            <w14:solidFill>
              <w14:schemeClr w14:val="tx1"/>
            </w14:solidFill>
          </w14:textFill>
        </w:rPr>
        <w:t>永久占地，占地范围全部为项目红线范围内用地</w:t>
      </w:r>
      <w:r>
        <w:rPr>
          <w:rFonts w:hint="eastAsia"/>
          <w:color w:val="000000" w:themeColor="text1"/>
          <w:spacing w:val="-4"/>
          <w:lang w:eastAsia="zh-CN"/>
          <w14:textFill>
            <w14:solidFill>
              <w14:schemeClr w14:val="tx1"/>
            </w14:solidFill>
          </w14:textFill>
        </w:rPr>
        <w:t>，一期不纳入本次水土保持防治责任范围</w:t>
      </w:r>
      <w:r>
        <w:rPr>
          <w:rFonts w:hint="eastAsia"/>
          <w:color w:val="000000" w:themeColor="text1"/>
          <w:spacing w:val="-4"/>
          <w14:textFill>
            <w14:solidFill>
              <w14:schemeClr w14:val="tx1"/>
            </w14:solidFill>
          </w14:textFill>
        </w:rPr>
        <w:t>。</w:t>
      </w:r>
    </w:p>
    <w:p w14:paraId="203B478A">
      <w:pPr>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项目投资及资金筹措：</w:t>
      </w:r>
      <w:bookmarkStart w:id="13" w:name="_Hlk143022049"/>
      <w:r>
        <w:rPr>
          <w:rFonts w:hint="eastAsia"/>
          <w:color w:val="000000" w:themeColor="text1"/>
          <w:spacing w:val="-4"/>
          <w14:textFill>
            <w14:solidFill>
              <w14:schemeClr w14:val="tx1"/>
            </w14:solidFill>
          </w14:textFill>
        </w:rPr>
        <w:t>总投资20000.00万元，土建投资14164.34万元，建设项目的资金来源为业主自筹＋发行专项债券＋其他。</w:t>
      </w:r>
      <w:bookmarkEnd w:id="13"/>
    </w:p>
    <w:p w14:paraId="1D342FAF">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建设工期：</w:t>
      </w:r>
      <w:bookmarkStart w:id="14" w:name="_Hlk143604236"/>
      <w:r>
        <w:rPr>
          <w:rFonts w:hint="eastAsia"/>
          <w:color w:val="000000" w:themeColor="text1"/>
          <w:spacing w:val="-4"/>
          <w14:textFill>
            <w14:solidFill>
              <w14:schemeClr w14:val="tx1"/>
            </w14:solidFill>
          </w14:textFill>
        </w:rPr>
        <w:t>本项目为补报水保方案，实际开工日期为2</w:t>
      </w:r>
      <w:r>
        <w:rPr>
          <w:color w:val="000000" w:themeColor="text1"/>
          <w:spacing w:val="-4"/>
          <w14:textFill>
            <w14:solidFill>
              <w14:schemeClr w14:val="tx1"/>
            </w14:solidFill>
          </w14:textFill>
        </w:rPr>
        <w:t>02</w:t>
      </w:r>
      <w:r>
        <w:rPr>
          <w:rFonts w:hint="eastAsia"/>
          <w:color w:val="000000" w:themeColor="text1"/>
          <w:spacing w:val="-4"/>
          <w14:textFill>
            <w14:solidFill>
              <w14:schemeClr w14:val="tx1"/>
            </w14:solidFill>
          </w14:textFill>
        </w:rPr>
        <w:t>3年6月22日，计划竣工日期为2</w:t>
      </w:r>
      <w:r>
        <w:rPr>
          <w:color w:val="000000" w:themeColor="text1"/>
          <w:spacing w:val="-4"/>
          <w14:textFill>
            <w14:solidFill>
              <w14:schemeClr w14:val="tx1"/>
            </w14:solidFill>
          </w14:textFill>
        </w:rPr>
        <w:t>024</w:t>
      </w:r>
      <w:r>
        <w:rPr>
          <w:rFonts w:hint="eastAsia"/>
          <w:color w:val="000000" w:themeColor="text1"/>
          <w:spacing w:val="-4"/>
          <w14:textFill>
            <w14:solidFill>
              <w14:schemeClr w14:val="tx1"/>
            </w14:solidFill>
          </w14:textFill>
        </w:rPr>
        <w:t>年</w:t>
      </w:r>
      <w:r>
        <w:rPr>
          <w:rFonts w:hint="eastAsia"/>
          <w:color w:val="000000" w:themeColor="text1"/>
          <w:spacing w:val="-4"/>
          <w:lang w:val="en-US" w:eastAsia="zh-CN"/>
          <w14:textFill>
            <w14:solidFill>
              <w14:schemeClr w14:val="tx1"/>
            </w14:solidFill>
          </w14:textFill>
        </w:rPr>
        <w:t>12</w:t>
      </w:r>
      <w:r>
        <w:rPr>
          <w:rFonts w:hint="eastAsia"/>
          <w:color w:val="000000" w:themeColor="text1"/>
          <w:spacing w:val="-4"/>
          <w14:textFill>
            <w14:solidFill>
              <w14:schemeClr w14:val="tx1"/>
            </w14:solidFill>
          </w14:textFill>
        </w:rPr>
        <w:t>月3</w:t>
      </w:r>
      <w:r>
        <w:rPr>
          <w:color w:val="000000" w:themeColor="text1"/>
          <w:spacing w:val="-4"/>
          <w14:textFill>
            <w14:solidFill>
              <w14:schemeClr w14:val="tx1"/>
            </w14:solidFill>
          </w14:textFill>
        </w:rPr>
        <w:t>1</w:t>
      </w:r>
      <w:r>
        <w:rPr>
          <w:rFonts w:hint="eastAsia"/>
          <w:color w:val="000000" w:themeColor="text1"/>
          <w:spacing w:val="-4"/>
          <w14:textFill>
            <w14:solidFill>
              <w14:schemeClr w14:val="tx1"/>
            </w14:solidFill>
          </w14:textFill>
        </w:rPr>
        <w:t>日，总工期1</w:t>
      </w:r>
      <w:r>
        <w:rPr>
          <w:rFonts w:hint="eastAsia"/>
          <w:color w:val="000000" w:themeColor="text1"/>
          <w:spacing w:val="-4"/>
          <w:lang w:val="en-US" w:eastAsia="zh-CN"/>
          <w14:textFill>
            <w14:solidFill>
              <w14:schemeClr w14:val="tx1"/>
            </w14:solidFill>
          </w14:textFill>
        </w:rPr>
        <w:t>8</w:t>
      </w:r>
      <w:r>
        <w:rPr>
          <w:rFonts w:hint="eastAsia"/>
          <w:color w:val="000000" w:themeColor="text1"/>
          <w:spacing w:val="-4"/>
          <w14:textFill>
            <w14:solidFill>
              <w14:schemeClr w14:val="tx1"/>
            </w14:solidFill>
          </w14:textFill>
        </w:rPr>
        <w:t>个月</w:t>
      </w:r>
      <w:bookmarkEnd w:id="14"/>
      <w:r>
        <w:rPr>
          <w:rFonts w:hint="eastAsia"/>
          <w:color w:val="000000" w:themeColor="text1"/>
          <w:spacing w:val="-4"/>
          <w14:textFill>
            <w14:solidFill>
              <w14:schemeClr w14:val="tx1"/>
            </w14:solidFill>
          </w14:textFill>
        </w:rPr>
        <w:t>。</w:t>
      </w:r>
    </w:p>
    <w:p w14:paraId="7616090A">
      <w:pPr>
        <w:ind w:firstLine="472"/>
        <w:rPr>
          <w:color w:val="000000" w:themeColor="text1"/>
          <w:spacing w:val="-4"/>
          <w14:textFill>
            <w14:solidFill>
              <w14:schemeClr w14:val="tx1"/>
            </w14:solidFill>
          </w14:textFill>
        </w:rPr>
      </w:pPr>
      <w:r>
        <w:rPr>
          <w:color w:val="000000" w:themeColor="text1"/>
          <w:spacing w:val="-4"/>
          <w14:textFill>
            <w14:solidFill>
              <w14:schemeClr w14:val="tx1"/>
            </w14:solidFill>
          </w14:textFill>
        </w:rPr>
        <w:t>拆迁安置：本工程不涉及移民拆迁安置工程。</w:t>
      </w:r>
    </w:p>
    <w:p w14:paraId="4665B4E0">
      <w:pPr>
        <w:ind w:firstLine="480"/>
        <w:rPr>
          <w:rFonts w:hint="eastAsia"/>
          <w:color w:val="000000" w:themeColor="text1"/>
          <w:spacing w:val="-4"/>
          <w:highlight w:val="none"/>
          <w14:textFill>
            <w14:solidFill>
              <w14:schemeClr w14:val="tx1"/>
            </w14:solidFill>
          </w14:textFill>
        </w:rPr>
      </w:pPr>
      <w:bookmarkStart w:id="15" w:name="_Hlk126583326"/>
      <w:r>
        <w:rPr>
          <w:rFonts w:hint="eastAsia"/>
          <w:color w:val="000000" w:themeColor="text1"/>
          <w:highlight w:val="none"/>
          <w14:textFill>
            <w14:solidFill>
              <w14:schemeClr w14:val="tx1"/>
            </w14:solidFill>
          </w14:textFill>
        </w:rPr>
        <w:t>项目土石方开挖总量为3.41万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（含表土剥离</w:t>
      </w:r>
      <w:r>
        <w:rPr>
          <w:rFonts w:hint="eastAsia"/>
          <w:color w:val="000000" w:themeColor="text1"/>
          <w:highlight w:val="none"/>
          <w:lang w:eastAsia="zh-CN"/>
          <w14:textFill>
            <w14:solidFill>
              <w14:schemeClr w14:val="tx1"/>
            </w14:solidFill>
          </w14:textFill>
        </w:rPr>
        <w:t>0.10</w:t>
      </w:r>
      <w:r>
        <w:rPr>
          <w:rFonts w:hint="eastAsia"/>
          <w:color w:val="000000" w:themeColor="text1"/>
          <w:highlight w:val="none"/>
          <w14:textFill>
            <w14:solidFill>
              <w14:schemeClr w14:val="tx1"/>
            </w14:solidFill>
          </w14:textFill>
        </w:rPr>
        <w:t>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），土石方回填量为0.37万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（含表土剥离</w:t>
      </w:r>
      <w:r>
        <w:rPr>
          <w:rFonts w:hint="eastAsia"/>
          <w:color w:val="000000" w:themeColor="text1"/>
          <w:highlight w:val="none"/>
          <w:lang w:eastAsia="zh-CN"/>
          <w14:textFill>
            <w14:solidFill>
              <w14:schemeClr w14:val="tx1"/>
            </w14:solidFill>
          </w14:textFill>
        </w:rPr>
        <w:t>0.10</w:t>
      </w:r>
      <w:r>
        <w:rPr>
          <w:rFonts w:hint="eastAsia"/>
          <w:color w:val="000000" w:themeColor="text1"/>
          <w:highlight w:val="none"/>
          <w14:textFill>
            <w14:solidFill>
              <w14:schemeClr w14:val="tx1"/>
            </w14:solidFill>
          </w14:textFill>
        </w:rPr>
        <w:t>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），余方3.04万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，余方运送至距离项目</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5公里的</w:t>
      </w:r>
      <w:r>
        <w:rPr>
          <w:rFonts w:hint="eastAsia"/>
          <w:color w:val="000000" w:themeColor="text1"/>
          <w:spacing w:val="-4"/>
          <w:highlight w:val="none"/>
          <w14:textFill>
            <w14:solidFill>
              <w14:schemeClr w14:val="tx1"/>
            </w14:solidFill>
          </w14:textFill>
        </w:rPr>
        <w:t>绵阳会展中心综合体项目周边道路建设项目（三期）</w:t>
      </w:r>
      <w:r>
        <w:rPr>
          <w:rFonts w:hint="eastAsia"/>
          <w:color w:val="000000" w:themeColor="text1"/>
          <w:highlight w:val="none"/>
          <w14:textFill>
            <w14:solidFill>
              <w14:schemeClr w14:val="tx1"/>
            </w14:solidFill>
          </w14:textFill>
        </w:rPr>
        <w:t>回填后综合利用</w:t>
      </w:r>
      <w:r>
        <w:rPr>
          <w:rFonts w:hint="eastAsia"/>
          <w:color w:val="000000" w:themeColor="text1"/>
          <w:spacing w:val="-4"/>
          <w:highlight w:val="none"/>
          <w14:textFill>
            <w14:solidFill>
              <w14:schemeClr w14:val="tx1"/>
            </w14:solidFill>
          </w14:textFill>
        </w:rPr>
        <w:t>。</w:t>
      </w:r>
      <w:bookmarkEnd w:id="15"/>
    </w:p>
    <w:p w14:paraId="4E9953A5">
      <w:pPr>
        <w:ind w:firstLine="480"/>
        <w:rPr>
          <w:rFonts w:hint="eastAsia" w:eastAsia="仿宋_GB2312"/>
          <w:color w:val="000000" w:themeColor="text1"/>
          <w:spacing w:val="-4"/>
          <w:highlight w:val="none"/>
          <w:lang w:eastAsia="zh-CN"/>
          <w14:textFill>
            <w14:solidFill>
              <w14:schemeClr w14:val="tx1"/>
            </w14:solidFill>
          </w14:textFill>
        </w:rPr>
      </w:pPr>
      <w:r>
        <w:rPr>
          <w:rFonts w:hint="eastAsia"/>
          <w:color w:val="000000" w:themeColor="text1"/>
          <w:spacing w:val="-4"/>
          <w:highlight w:val="none"/>
          <w14:textFill>
            <w14:solidFill>
              <w14:schemeClr w14:val="tx1"/>
            </w14:solidFill>
          </w14:textFill>
        </w:rPr>
        <w:t>绵阳会展中心综合体项目周边道路建设项目（三期）于2023年10月开工，预计2025 年2月完工，总占地3.40hm</w:t>
      </w:r>
      <w:r>
        <w:rPr>
          <w:rFonts w:hint="eastAsia"/>
          <w:color w:val="000000" w:themeColor="text1"/>
          <w:spacing w:val="-4"/>
          <w:highlight w:val="none"/>
          <w:vertAlign w:val="superscript"/>
          <w14:textFill>
            <w14:solidFill>
              <w14:schemeClr w14:val="tx1"/>
            </w14:solidFill>
          </w14:textFill>
        </w:rPr>
        <w:t>2</w:t>
      </w:r>
      <w:r>
        <w:rPr>
          <w:rFonts w:hint="eastAsia"/>
          <w:color w:val="000000" w:themeColor="text1"/>
          <w:spacing w:val="-4"/>
          <w:highlight w:val="none"/>
          <w14:textFill>
            <w14:solidFill>
              <w14:schemeClr w14:val="tx1"/>
            </w14:solidFill>
          </w14:textFill>
        </w:rPr>
        <w:t>，挖填土石方总量</w:t>
      </w:r>
      <w:r>
        <w:rPr>
          <w:rFonts w:hint="eastAsia"/>
          <w:color w:val="000000" w:themeColor="text1"/>
          <w:spacing w:val="-4"/>
          <w:highlight w:val="none"/>
          <w:lang w:val="en-US" w:eastAsia="zh-CN"/>
          <w14:textFill>
            <w14:solidFill>
              <w14:schemeClr w14:val="tx1"/>
            </w14:solidFill>
          </w14:textFill>
        </w:rPr>
        <w:t>5.54</w:t>
      </w:r>
      <w:r>
        <w:rPr>
          <w:rFonts w:hint="eastAsia"/>
          <w:color w:val="000000" w:themeColor="text1"/>
          <w:spacing w:val="-4"/>
          <w:highlight w:val="none"/>
          <w14:textFill>
            <w14:solidFill>
              <w14:schemeClr w14:val="tx1"/>
            </w14:solidFill>
          </w14:textFill>
        </w:rPr>
        <w:t>万m³，其中：挖方量1.</w:t>
      </w:r>
      <w:r>
        <w:rPr>
          <w:rFonts w:hint="eastAsia"/>
          <w:color w:val="000000" w:themeColor="text1"/>
          <w:spacing w:val="-4"/>
          <w:highlight w:val="none"/>
          <w:lang w:val="en-US" w:eastAsia="zh-CN"/>
          <w14:textFill>
            <w14:solidFill>
              <w14:schemeClr w14:val="tx1"/>
            </w14:solidFill>
          </w14:textFill>
        </w:rPr>
        <w:t>0</w:t>
      </w:r>
      <w:r>
        <w:rPr>
          <w:rFonts w:hint="eastAsia"/>
          <w:color w:val="000000" w:themeColor="text1"/>
          <w:spacing w:val="-4"/>
          <w:highlight w:val="none"/>
          <w14:textFill>
            <w14:solidFill>
              <w14:schemeClr w14:val="tx1"/>
            </w14:solidFill>
          </w14:textFill>
        </w:rPr>
        <w:t>5万m³，填方量</w:t>
      </w:r>
      <w:r>
        <w:rPr>
          <w:rFonts w:hint="eastAsia"/>
          <w:color w:val="000000" w:themeColor="text1"/>
          <w:spacing w:val="-4"/>
          <w:highlight w:val="none"/>
          <w:lang w:val="en-US" w:eastAsia="zh-CN"/>
          <w14:textFill>
            <w14:solidFill>
              <w14:schemeClr w14:val="tx1"/>
            </w14:solidFill>
          </w14:textFill>
        </w:rPr>
        <w:t>4</w:t>
      </w:r>
      <w:r>
        <w:rPr>
          <w:rFonts w:hint="eastAsia"/>
          <w:color w:val="000000" w:themeColor="text1"/>
          <w:spacing w:val="-4"/>
          <w:highlight w:val="none"/>
          <w14:textFill>
            <w14:solidFill>
              <w14:schemeClr w14:val="tx1"/>
            </w14:solidFill>
          </w14:textFill>
        </w:rPr>
        <w:t>.49万</w:t>
      </w:r>
      <w:bookmarkStart w:id="136" w:name="_GoBack"/>
      <w:bookmarkEnd w:id="136"/>
      <w:r>
        <w:rPr>
          <w:rFonts w:hint="eastAsia"/>
          <w:color w:val="000000" w:themeColor="text1"/>
          <w:spacing w:val="-4"/>
          <w:highlight w:val="none"/>
          <w14:textFill>
            <w14:solidFill>
              <w14:schemeClr w14:val="tx1"/>
            </w14:solidFill>
          </w14:textFill>
        </w:rPr>
        <w:t>m³，包括排洪沟建设 1012.27m，排洪沟建设分为改线后的排水箱涵主体工程、箱涵顶部的绿化工程和边坡防护工程</w:t>
      </w:r>
      <w:r>
        <w:rPr>
          <w:rFonts w:hint="eastAsia"/>
          <w:color w:val="000000" w:themeColor="text1"/>
          <w:spacing w:val="-4"/>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项目水保方案已编制正在上报审批，土方调运时序为202</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年</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月-</w:t>
      </w:r>
      <w:r>
        <w:rPr>
          <w:color w:val="000000" w:themeColor="text1"/>
          <w:highlight w:val="none"/>
          <w14:textFill>
            <w14:solidFill>
              <w14:schemeClr w14:val="tx1"/>
            </w14:solidFill>
          </w14:textFill>
        </w:rPr>
        <w:t>12</w:t>
      </w:r>
      <w:r>
        <w:rPr>
          <w:rFonts w:hint="eastAsia"/>
          <w:color w:val="000000" w:themeColor="text1"/>
          <w:highlight w:val="none"/>
          <w14:textFill>
            <w14:solidFill>
              <w14:schemeClr w14:val="tx1"/>
            </w14:solidFill>
          </w14:textFill>
        </w:rPr>
        <w:t>月，满足本项目余方运送的施工安排。</w:t>
      </w:r>
    </w:p>
    <w:p w14:paraId="0727BBEE">
      <w:pPr>
        <w:ind w:firstLine="472"/>
        <w:rPr>
          <w:color w:val="000000" w:themeColor="text1"/>
          <w:spacing w:val="-4"/>
          <w14:textFill>
            <w14:solidFill>
              <w14:schemeClr w14:val="tx1"/>
            </w14:solidFill>
          </w14:textFill>
        </w:rPr>
      </w:pPr>
      <w:r>
        <w:rPr>
          <w:color w:val="000000" w:themeColor="text1"/>
          <w:spacing w:val="-4"/>
          <w14:textFill>
            <w14:solidFill>
              <w14:schemeClr w14:val="tx1"/>
            </w14:solidFill>
          </w14:textFill>
        </w:rPr>
        <w:t>取土（石、砂） 场数量：经现场调查及踏勘，项目不设专门的取土场</w:t>
      </w:r>
      <w:r>
        <w:rPr>
          <w:rFonts w:hint="eastAsia"/>
          <w:color w:val="000000" w:themeColor="text1"/>
          <w:spacing w:val="-4"/>
          <w14:textFill>
            <w14:solidFill>
              <w14:schemeClr w14:val="tx1"/>
            </w14:solidFill>
          </w14:textFill>
        </w:rPr>
        <w:t>。</w:t>
      </w:r>
    </w:p>
    <w:p w14:paraId="1A615C60">
      <w:pPr>
        <w:ind w:firstLine="472"/>
        <w:rPr>
          <w:color w:val="000000" w:themeColor="text1"/>
          <w:spacing w:val="-4"/>
          <w14:textFill>
            <w14:solidFill>
              <w14:schemeClr w14:val="tx1"/>
            </w14:solidFill>
          </w14:textFill>
        </w:rPr>
      </w:pPr>
      <w:r>
        <w:rPr>
          <w:color w:val="000000" w:themeColor="text1"/>
          <w:spacing w:val="-4"/>
          <w14:textFill>
            <w14:solidFill>
              <w14:schemeClr w14:val="tx1"/>
            </w14:solidFill>
          </w14:textFill>
        </w:rPr>
        <w:t>弃土（渣）场数量</w:t>
      </w:r>
      <w:r>
        <w:rPr>
          <w:rFonts w:hint="eastAsia"/>
          <w:color w:val="000000" w:themeColor="text1"/>
          <w:spacing w:val="-4"/>
          <w14:textFill>
            <w14:solidFill>
              <w14:schemeClr w14:val="tx1"/>
            </w14:solidFill>
          </w14:textFill>
        </w:rPr>
        <w:t>：本项目不设置弃土场，减少了因弃渣场设置造成的占地和水土流失。</w:t>
      </w:r>
    </w:p>
    <w:bookmarkEnd w:id="10"/>
    <w:p w14:paraId="24218A38">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1.1.2</w:t>
      </w:r>
      <w:bookmarkStart w:id="16" w:name="_Hlk136421754"/>
      <w:r>
        <w:rPr>
          <w:rFonts w:hint="eastAsia"/>
          <w:color w:val="000000" w:themeColor="text1"/>
          <w14:textFill>
            <w14:solidFill>
              <w14:schemeClr w14:val="tx1"/>
            </w14:solidFill>
          </w14:textFill>
        </w:rPr>
        <w:t>项目前期工作及方案编制情况</w:t>
      </w:r>
    </w:p>
    <w:bookmarkEnd w:id="16"/>
    <w:p w14:paraId="35C05ACA">
      <w:pPr>
        <w:pStyle w:val="5"/>
        <w:spacing w:before="81"/>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.1.2.1</w:t>
      </w:r>
      <w:bookmarkStart w:id="17" w:name="_Hlk136421767"/>
      <w:r>
        <w:rPr>
          <w:rFonts w:hint="eastAsia"/>
          <w:color w:val="000000" w:themeColor="text1"/>
          <w14:textFill>
            <w14:solidFill>
              <w14:schemeClr w14:val="tx1"/>
            </w14:solidFill>
          </w14:textFill>
        </w:rPr>
        <w:t>前期工作进展情况</w:t>
      </w:r>
      <w:bookmarkEnd w:id="17"/>
    </w:p>
    <w:p w14:paraId="2F67C60F">
      <w:pPr>
        <w:ind w:firstLine="480"/>
        <w:rPr>
          <w:color w:val="000000" w:themeColor="text1"/>
          <w14:textFill>
            <w14:solidFill>
              <w14:schemeClr w14:val="tx1"/>
            </w14:solidFill>
          </w14:textFill>
        </w:rPr>
      </w:pPr>
      <w:bookmarkStart w:id="18" w:name="_Hlk136421818"/>
      <w:r>
        <w:rPr>
          <w:rFonts w:hint="eastAsia"/>
          <w:color w:val="000000" w:themeColor="text1"/>
          <w14:textFill>
            <w14:solidFill>
              <w14:schemeClr w14:val="tx1"/>
            </w14:solidFill>
          </w14:textFill>
        </w:rPr>
        <w:t>截至目前，本项目已完成的前期工作主要有：</w:t>
      </w:r>
    </w:p>
    <w:p w14:paraId="3B25FCA6">
      <w:pPr>
        <w:widowControl/>
        <w:autoSpaceDE w:val="0"/>
        <w:autoSpaceDN w:val="0"/>
        <w:spacing w:line="384" w:lineRule="auto"/>
        <w:ind w:firstLine="48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年1月15日，绵阳市自然资源和规划局颁发了本项目的建设用地规划许可证（地字第510700202100015号）。</w:t>
      </w:r>
    </w:p>
    <w:p w14:paraId="3B5A45EB">
      <w:pPr>
        <w:widowControl/>
        <w:autoSpaceDE w:val="0"/>
        <w:autoSpaceDN w:val="0"/>
        <w:spacing w:line="384" w:lineRule="auto"/>
        <w:ind w:firstLine="48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年2月3日，绵阳市自然资源和规划局颁发了本项目国有建设用地使用权证书（绵阳市不动产权第0003269号）。</w:t>
      </w:r>
    </w:p>
    <w:p w14:paraId="11392B81">
      <w:pPr>
        <w:pStyle w:val="66"/>
        <w:ind w:firstLine="480"/>
        <w:rPr>
          <w:color w:val="000000" w:themeColor="text1"/>
          <w14:textFill>
            <w14:solidFill>
              <w14:schemeClr w14:val="tx1"/>
            </w14:solidFill>
          </w14:textFill>
        </w:rPr>
      </w:pPr>
      <w:r>
        <w:rPr>
          <w:color w:val="000000" w:themeColor="text1"/>
          <w14:textFill>
            <w14:solidFill>
              <w14:schemeClr w14:val="tx1"/>
            </w14:solidFill>
          </w14:textFill>
        </w:rPr>
        <w:t>2021</w:t>
      </w:r>
      <w:r>
        <w:rPr>
          <w:rFonts w:hint="eastAsia"/>
          <w:color w:val="000000" w:themeColor="text1"/>
          <w14:textFill>
            <w14:solidFill>
              <w14:schemeClr w14:val="tx1"/>
            </w14:solidFill>
          </w14:textFill>
        </w:rPr>
        <w:t>年2月</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日，本项目取得绵阳市高新区经济发展局《关于高新区兆辉新能源工业园及基础设施配套项目可行性研究报告的批复》（绵高经发改【2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】163号）。</w:t>
      </w:r>
    </w:p>
    <w:p w14:paraId="5946B340">
      <w:pPr>
        <w:widowControl/>
        <w:autoSpaceDE w:val="0"/>
        <w:autoSpaceDN w:val="0"/>
        <w:spacing w:line="384" w:lineRule="auto"/>
        <w:ind w:firstLine="48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20</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3年</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月，中国工程物理研究院建筑设计院完成《高新区兆辉新能源工业园及基础设施配套项目方案设计》。</w:t>
      </w:r>
    </w:p>
    <w:p w14:paraId="085791B8">
      <w:pPr>
        <w:widowControl/>
        <w:autoSpaceDE w:val="0"/>
        <w:autoSpaceDN w:val="0"/>
        <w:spacing w:line="384" w:lineRule="auto"/>
        <w:ind w:firstLine="48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20</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3年5月，绵阳市自然资源和规划局颁发了本项目的建设工程规划许可证（建字第510700202300164号）。</w:t>
      </w:r>
    </w:p>
    <w:p w14:paraId="227DEFCD">
      <w:pPr>
        <w:ind w:firstLine="482"/>
        <w:rPr>
          <w:rFonts w:hint="eastAsia"/>
          <w:color w:val="000000" w:themeColor="text1"/>
          <w14:textFill>
            <w14:solidFill>
              <w14:schemeClr w14:val="tx1"/>
            </w14:solidFill>
          </w14:textFill>
        </w:rPr>
      </w:pPr>
      <w:r>
        <w:rPr>
          <w:rFonts w:hint="eastAsia"/>
          <w:b/>
          <w:bCs/>
          <w:color w:val="000000" w:themeColor="text1"/>
          <w14:textFill>
            <w14:solidFill>
              <w14:schemeClr w14:val="tx1"/>
            </w14:solidFill>
          </w14:textFill>
        </w:rPr>
        <w:t>本项目为补报水土保持方案，</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4年5月，受建设单位委托，四川乾蓉工程项目管理有限公司（以下简称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我公司</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）承担本项目</w:t>
      </w:r>
      <w:r>
        <w:rPr>
          <w:rFonts w:hint="eastAsia"/>
          <w:color w:val="000000" w:themeColor="text1"/>
          <w:lang w:eastAsia="zh-CN"/>
          <w14:textFill>
            <w14:solidFill>
              <w14:schemeClr w14:val="tx1"/>
            </w14:solidFill>
          </w14:textFill>
        </w:rPr>
        <w:t>水土保持方案报告表</w:t>
      </w:r>
      <w:r>
        <w:rPr>
          <w:rFonts w:hint="eastAsia"/>
          <w:color w:val="000000" w:themeColor="text1"/>
          <w14:textFill>
            <w14:solidFill>
              <w14:schemeClr w14:val="tx1"/>
            </w14:solidFill>
          </w14:textFill>
        </w:rPr>
        <w:t>的编制工作。接受委托后，我公司组成了本项目的</w:t>
      </w:r>
      <w:r>
        <w:rPr>
          <w:rFonts w:hint="eastAsia"/>
          <w:color w:val="000000" w:themeColor="text1"/>
          <w:lang w:eastAsia="zh-CN"/>
          <w14:textFill>
            <w14:solidFill>
              <w14:schemeClr w14:val="tx1"/>
            </w14:solidFill>
          </w14:textFill>
        </w:rPr>
        <w:t>水土保持方案报告表</w:t>
      </w:r>
      <w:r>
        <w:rPr>
          <w:rFonts w:hint="eastAsia"/>
          <w:color w:val="000000" w:themeColor="text1"/>
          <w14:textFill>
            <w14:solidFill>
              <w14:schemeClr w14:val="tx1"/>
            </w14:solidFill>
          </w14:textFill>
        </w:rPr>
        <w:t>编制工作组，在对项目前期工作进程和初步成果进行认真分析、研究的基础上，制定了详细的工作计划，于</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4年5月对本项目区进行了调查和实地踏勘，就项目的土地利用与规划情况、主体工程建设情况、水土保持状况以及工程建设与水土流失防治等相关问题进行了深入调查，并广泛收集了相关资料。在认真分析工程前期研究成果及现场工作的基础上，结合对临近区域同类工程的调查，通过内业设计，于</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4年7月编制完成《</w:t>
      </w:r>
      <w:r>
        <w:rPr>
          <w:rFonts w:hint="eastAsia"/>
          <w:color w:val="000000" w:themeColor="text1"/>
          <w:spacing w:val="-4"/>
          <w14:textFill>
            <w14:solidFill>
              <w14:schemeClr w14:val="tx1"/>
            </w14:solidFill>
          </w14:textFill>
        </w:rPr>
        <w:t>高新区兆辉新能源工业园及基础设施配套项目（二期）</w:t>
      </w:r>
      <w:r>
        <w:rPr>
          <w:rFonts w:hint="eastAsia"/>
          <w:color w:val="000000" w:themeColor="text1"/>
          <w:lang w:eastAsia="zh-CN"/>
          <w14:textFill>
            <w14:solidFill>
              <w14:schemeClr w14:val="tx1"/>
            </w14:solidFill>
          </w14:textFill>
        </w:rPr>
        <w:t>水土保持方案报告表</w:t>
      </w:r>
      <w:r>
        <w:rPr>
          <w:rFonts w:hint="eastAsia"/>
          <w:color w:val="000000" w:themeColor="text1"/>
          <w14:textFill>
            <w14:solidFill>
              <w14:schemeClr w14:val="tx1"/>
            </w14:solidFill>
          </w14:textFill>
        </w:rPr>
        <w:t>》（送审稿）。</w:t>
      </w:r>
    </w:p>
    <w:p w14:paraId="76A5E53A">
      <w:pPr>
        <w:widowControl/>
        <w:autoSpaceDE w:val="0"/>
        <w:autoSpaceDN w:val="0"/>
        <w:spacing w:line="384" w:lineRule="auto"/>
        <w:ind w:firstLine="480"/>
        <w:textAlignment w:val="baseline"/>
        <w:rPr>
          <w:rFonts w:hint="eastAsia"/>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202</w:t>
      </w:r>
      <w:r>
        <w:rPr>
          <w:rFonts w:hint="eastAsia"/>
          <w:color w:val="000000" w:themeColor="text1"/>
          <w:lang w:val="en-US" w:eastAsia="zh-CN"/>
          <w14:textFill>
            <w14:solidFill>
              <w14:schemeClr w14:val="tx1"/>
            </w14:solidFill>
          </w14:textFill>
        </w:rPr>
        <w:t>4年</w:t>
      </w:r>
      <w:r>
        <w:rPr>
          <w:rFonts w:hint="default"/>
          <w:color w:val="000000" w:themeColor="text1"/>
          <w:lang w:val="en-US" w:eastAsia="zh-CN"/>
          <w14:textFill>
            <w14:solidFill>
              <w14:schemeClr w14:val="tx1"/>
            </w14:solidFill>
          </w14:textFill>
        </w:rPr>
        <w:t>1</w:t>
      </w:r>
      <w:r>
        <w:rPr>
          <w:rFonts w:hint="eastAsia"/>
          <w:color w:val="000000" w:themeColor="text1"/>
          <w:lang w:val="en-US" w:eastAsia="zh-CN"/>
          <w14:textFill>
            <w14:solidFill>
              <w14:schemeClr w14:val="tx1"/>
            </w14:solidFill>
          </w14:textFill>
        </w:rPr>
        <w:t>0月邀请了1位省水利厅水土保持专家库专家进行技术审查，我单位根据专家意见完于</w:t>
      </w:r>
      <w:r>
        <w:rPr>
          <w:rFonts w:hint="default"/>
          <w:color w:val="000000" w:themeColor="text1"/>
          <w:lang w:val="en-US" w:eastAsia="zh-CN"/>
          <w14:textFill>
            <w14:solidFill>
              <w14:schemeClr w14:val="tx1"/>
            </w14:solidFill>
          </w14:textFill>
        </w:rPr>
        <w:t>202</w:t>
      </w:r>
      <w:r>
        <w:rPr>
          <w:rFonts w:hint="eastAsia"/>
          <w:color w:val="000000" w:themeColor="text1"/>
          <w:lang w:val="en-US" w:eastAsia="zh-CN"/>
          <w14:textFill>
            <w14:solidFill>
              <w14:schemeClr w14:val="tx1"/>
            </w14:solidFill>
          </w14:textFill>
        </w:rPr>
        <w:t>4年</w:t>
      </w:r>
      <w:r>
        <w:rPr>
          <w:rFonts w:hint="default"/>
          <w:color w:val="000000" w:themeColor="text1"/>
          <w:lang w:val="en-US" w:eastAsia="zh-CN"/>
          <w14:textFill>
            <w14:solidFill>
              <w14:schemeClr w14:val="tx1"/>
            </w14:solidFill>
          </w14:textFill>
        </w:rPr>
        <w:t>11</w:t>
      </w:r>
      <w:r>
        <w:rPr>
          <w:rFonts w:hint="eastAsia"/>
          <w:color w:val="000000" w:themeColor="text1"/>
          <w:lang w:val="en-US" w:eastAsia="zh-CN"/>
          <w14:textFill>
            <w14:solidFill>
              <w14:schemeClr w14:val="tx1"/>
            </w14:solidFill>
          </w14:textFill>
        </w:rPr>
        <w:t>月</w:t>
      </w:r>
      <w:r>
        <w:rPr>
          <w:rFonts w:hint="default"/>
          <w:color w:val="000000" w:themeColor="text1"/>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8日完成了《</w:t>
      </w:r>
      <w:r>
        <w:rPr>
          <w:rFonts w:hint="eastAsia"/>
          <w:color w:val="000000" w:themeColor="text1"/>
          <w:spacing w:val="-4"/>
          <w14:textFill>
            <w14:solidFill>
              <w14:schemeClr w14:val="tx1"/>
            </w14:solidFill>
          </w14:textFill>
        </w:rPr>
        <w:t>高新区兆辉新能源工业园及基础设施配套项目（二期）</w:t>
      </w:r>
      <w:r>
        <w:rPr>
          <w:rFonts w:hint="eastAsia"/>
          <w:color w:val="000000" w:themeColor="text1"/>
          <w:lang w:eastAsia="zh-CN"/>
          <w14:textFill>
            <w14:solidFill>
              <w14:schemeClr w14:val="tx1"/>
            </w14:solidFill>
          </w14:textFill>
        </w:rPr>
        <w:t>水土保持方案报告表</w:t>
      </w:r>
      <w:r>
        <w:rPr>
          <w:rFonts w:hint="eastAsia"/>
          <w:color w:val="000000" w:themeColor="text1"/>
          <w:lang w:val="en-US" w:eastAsia="zh-CN"/>
          <w14:textFill>
            <w14:solidFill>
              <w14:schemeClr w14:val="tx1"/>
            </w14:solidFill>
          </w14:textFill>
        </w:rPr>
        <w:t>》（报批稿）</w:t>
      </w:r>
      <w:r>
        <w:rPr>
          <w:rFonts w:hint="eastAsia"/>
          <w:color w:val="000000" w:themeColor="text1"/>
          <w14:textFill>
            <w14:solidFill>
              <w14:schemeClr w14:val="tx1"/>
            </w14:solidFill>
          </w14:textFill>
        </w:rPr>
        <w:t>。</w:t>
      </w:r>
    </w:p>
    <w:bookmarkEnd w:id="18"/>
    <w:p w14:paraId="5465488A">
      <w:pPr>
        <w:pStyle w:val="5"/>
        <w:spacing w:before="81"/>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.1.2.2</w:t>
      </w:r>
      <w:r>
        <w:rPr>
          <w:rFonts w:hint="eastAsia"/>
          <w:color w:val="000000" w:themeColor="text1"/>
          <w14:textFill>
            <w14:solidFill>
              <w14:schemeClr w14:val="tx1"/>
            </w14:solidFill>
          </w14:textFill>
        </w:rPr>
        <w:t>项目进展情况</w:t>
      </w:r>
    </w:p>
    <w:p w14:paraId="4C9CB165">
      <w:pPr>
        <w:ind w:firstLine="480"/>
        <w:rPr>
          <w:bCs/>
          <w:color w:val="000000" w:themeColor="text1"/>
          <w14:textFill>
            <w14:solidFill>
              <w14:schemeClr w14:val="tx1"/>
            </w14:solidFill>
          </w14:textFill>
        </w:rPr>
      </w:pPr>
      <w:r>
        <w:rPr>
          <w:rFonts w:hint="eastAsia"/>
          <w:color w:val="000000" w:themeColor="text1"/>
          <w14:textFill>
            <w14:solidFill>
              <w14:schemeClr w14:val="tx1"/>
            </w14:solidFill>
          </w14:textFill>
        </w:rPr>
        <w:t>项目已于2023年6月22日开工，截止2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4年5月，项目已完成</w:t>
      </w:r>
      <w:r>
        <w:rPr>
          <w:rFonts w:hint="eastAsia"/>
          <w:bCs/>
          <w:color w:val="000000" w:themeColor="text1"/>
          <w14:textFill>
            <w14:solidFill>
              <w14:schemeClr w14:val="tx1"/>
            </w14:solidFill>
          </w14:textFill>
        </w:rPr>
        <w:t>7号生产车间和配套用房。</w:t>
      </w:r>
    </w:p>
    <w:p w14:paraId="324E52AC">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项目区内的截水沟、临时排水沟和沉沙池已建成投入使用，地下工程区已完成基坑截水沟276.3</w:t>
      </w:r>
      <w:r>
        <w:rPr>
          <w:bCs/>
          <w:color w:val="000000" w:themeColor="text1"/>
          <w14:textFill>
            <w14:solidFill>
              <w14:schemeClr w14:val="tx1"/>
            </w14:solidFill>
          </w14:textFill>
        </w:rPr>
        <w:t>m</w:t>
      </w:r>
      <w:r>
        <w:rPr>
          <w:rFonts w:hint="eastAsia"/>
          <w:bCs/>
          <w:color w:val="000000" w:themeColor="text1"/>
          <w14:textFill>
            <w14:solidFill>
              <w14:schemeClr w14:val="tx1"/>
            </w14:solidFill>
          </w14:textFill>
        </w:rPr>
        <w:t>，沉沙池2个；建构筑物工程区已完成砖砌临时排水沟</w:t>
      </w:r>
      <w:r>
        <w:rPr>
          <w:rFonts w:hint="eastAsia"/>
          <w:snapToGrid w:val="0"/>
          <w:color w:val="000000" w:themeColor="text1"/>
          <w14:textFill>
            <w14:solidFill>
              <w14:schemeClr w14:val="tx1"/>
            </w14:solidFill>
          </w14:textFill>
        </w:rPr>
        <w:t>358m</w:t>
      </w:r>
      <w:r>
        <w:rPr>
          <w:rFonts w:hint="eastAsia"/>
          <w:bCs/>
          <w:color w:val="000000" w:themeColor="text1"/>
          <w14:textFill>
            <w14:solidFill>
              <w14:schemeClr w14:val="tx1"/>
            </w14:solidFill>
          </w14:textFill>
        </w:rPr>
        <w:t>，临时沉沙池4个，完成密目网苫盖1752</w:t>
      </w:r>
      <w:r>
        <w:rPr>
          <w:bCs/>
          <w:color w:val="000000" w:themeColor="text1"/>
          <w14:textFill>
            <w14:solidFill>
              <w14:schemeClr w14:val="tx1"/>
            </w14:solidFill>
          </w14:textFill>
        </w:rPr>
        <w:t>m</w:t>
      </w:r>
      <w:r>
        <w:rPr>
          <w:bCs/>
          <w:color w:val="000000" w:themeColor="text1"/>
          <w:vertAlign w:val="superscript"/>
          <w14:textFill>
            <w14:solidFill>
              <w14:schemeClr w14:val="tx1"/>
            </w14:solidFill>
          </w14:textFill>
        </w:rPr>
        <w:t>2</w:t>
      </w:r>
      <w:r>
        <w:rPr>
          <w:rFonts w:hint="eastAsia"/>
          <w:bCs/>
          <w:color w:val="000000" w:themeColor="text1"/>
          <w14:textFill>
            <w14:solidFill>
              <w14:schemeClr w14:val="tx1"/>
            </w14:solidFill>
          </w14:textFill>
        </w:rPr>
        <w:t>，</w:t>
      </w:r>
      <w:r>
        <w:rPr>
          <w:rFonts w:hint="eastAsia"/>
          <w:bCs/>
          <w:color w:val="000000" w:themeColor="text1"/>
          <w:lang w:eastAsia="zh-CN"/>
          <w14:textFill>
            <w14:solidFill>
              <w14:schemeClr w14:val="tx1"/>
            </w14:solidFill>
          </w14:textFill>
        </w:rPr>
        <w:t>表土剥离</w:t>
      </w:r>
      <w:r>
        <w:rPr>
          <w:rFonts w:hint="eastAsia"/>
          <w:bCs/>
          <w:color w:val="000000" w:themeColor="text1"/>
          <w:lang w:val="en-US" w:eastAsia="zh-CN"/>
          <w14:textFill>
            <w14:solidFill>
              <w14:schemeClr w14:val="tx1"/>
            </w14:solidFill>
          </w14:textFill>
        </w:rPr>
        <w:t>0.05万m</w:t>
      </w:r>
      <w:r>
        <w:rPr>
          <w:rFonts w:hint="eastAsia"/>
          <w:bCs/>
          <w:color w:val="000000" w:themeColor="text1"/>
          <w:vertAlign w:val="superscript"/>
          <w:lang w:val="en-US" w:eastAsia="zh-CN"/>
          <w14:textFill>
            <w14:solidFill>
              <w14:schemeClr w14:val="tx1"/>
            </w14:solidFill>
          </w14:textFill>
        </w:rPr>
        <w:t>3</w:t>
      </w:r>
      <w:r>
        <w:rPr>
          <w:rFonts w:hint="eastAsia"/>
          <w:bCs/>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场内道路及硬化工程区已完成洗车设施1套</w:t>
      </w:r>
      <w:r>
        <w:rPr>
          <w:rFonts w:hint="eastAsia"/>
          <w:bCs/>
          <w:color w:val="000000" w:themeColor="text1"/>
          <w14:textFill>
            <w14:solidFill>
              <w14:schemeClr w14:val="tx1"/>
            </w14:solidFill>
          </w14:textFill>
        </w:rPr>
        <w:t>，</w:t>
      </w:r>
      <w:r>
        <w:rPr>
          <w:rFonts w:hint="eastAsia"/>
          <w:bCs/>
          <w:color w:val="000000" w:themeColor="text1"/>
          <w:lang w:eastAsia="zh-CN"/>
          <w14:textFill>
            <w14:solidFill>
              <w14:schemeClr w14:val="tx1"/>
            </w14:solidFill>
          </w14:textFill>
        </w:rPr>
        <w:t>表土剥离</w:t>
      </w:r>
      <w:r>
        <w:rPr>
          <w:rFonts w:hint="eastAsia"/>
          <w:bCs/>
          <w:color w:val="000000" w:themeColor="text1"/>
          <w:lang w:val="en-US" w:eastAsia="zh-CN"/>
          <w14:textFill>
            <w14:solidFill>
              <w14:schemeClr w14:val="tx1"/>
            </w14:solidFill>
          </w14:textFill>
        </w:rPr>
        <w:t>0.05万m</w:t>
      </w:r>
      <w:r>
        <w:rPr>
          <w:rFonts w:hint="eastAsia"/>
          <w:bCs/>
          <w:color w:val="000000" w:themeColor="text1"/>
          <w:vertAlign w:val="superscript"/>
          <w:lang w:val="en-US" w:eastAsia="zh-CN"/>
          <w14:textFill>
            <w14:solidFill>
              <w14:schemeClr w14:val="tx1"/>
            </w14:solidFill>
          </w14:textFill>
        </w:rPr>
        <w:t>3</w:t>
      </w:r>
      <w:r>
        <w:rPr>
          <w:rFonts w:hint="eastAsia"/>
          <w:snapToGrid w:val="0"/>
          <w:color w:val="000000" w:themeColor="text1"/>
          <w14:textFill>
            <w14:solidFill>
              <w14:schemeClr w14:val="tx1"/>
            </w14:solidFill>
          </w14:textFill>
        </w:rPr>
        <w:t>。</w:t>
      </w:r>
    </w:p>
    <w:p w14:paraId="01C6684E">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1.1.3自然简况</w:t>
      </w:r>
    </w:p>
    <w:p w14:paraId="339C2751">
      <w:pPr>
        <w:autoSpaceDE w:val="0"/>
        <w:autoSpaceDN w:val="0"/>
        <w:ind w:firstLine="480"/>
        <w:rPr>
          <w:rFonts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地形地貌：该项目位于四川省绵阳市高新区，交通条件便利。拟建场地位于四川盆地东部丘陵区，属构造、侵蚀堆积丘陵地貌， 场地及周边以浅丘以缓坡圆顶为主，丘脊多向展布，枝状不一。丘间谷地开阔平坦，多开垦为农田，沟谷两侧斜坡自然坡角多变化在5～10°间。</w:t>
      </w:r>
    </w:p>
    <w:p w14:paraId="089D2400">
      <w:pPr>
        <w:autoSpaceDE w:val="0"/>
        <w:autoSpaceDN w:val="0"/>
        <w:ind w:firstLine="480"/>
        <w:rPr>
          <w:rFonts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地层岩性：据区域地质资料和现场钻探揭露，在拟建场地勘探深度范围内的地层主要由第四系全新统人工填土层（Q4ml）和白垩系下统窝头山组（K1w）组成，分别为素填土强风化砂质泥岩、中风化砂岩、中风化砂质泥岩。</w:t>
      </w:r>
    </w:p>
    <w:p w14:paraId="0F7AC8C1">
      <w:pPr>
        <w:autoSpaceDE w:val="0"/>
        <w:autoSpaceDN w:val="0"/>
        <w:ind w:firstLine="480"/>
        <w:rPr>
          <w:rFonts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不良地质：经对拟建场地进行工程地质调查、测绘，勘察范围内无断裂构造带、活动性断层、泥石流、崩塌等不良地质作用。</w:t>
      </w:r>
    </w:p>
    <w:p w14:paraId="747442CA">
      <w:pPr>
        <w:ind w:firstLine="480"/>
        <w:rPr>
          <w:bCs/>
          <w:color w:val="000000" w:themeColor="text1"/>
          <w14:textFill>
            <w14:solidFill>
              <w14:schemeClr w14:val="tx1"/>
            </w14:solidFill>
          </w14:textFill>
        </w:rPr>
      </w:pPr>
      <w:bookmarkStart w:id="19" w:name="_Hlk136423134"/>
      <w:r>
        <w:rPr>
          <w:rFonts w:hint="eastAsia"/>
          <w:bCs/>
          <w:color w:val="000000" w:themeColor="text1"/>
          <w14:textFill>
            <w14:solidFill>
              <w14:schemeClr w14:val="tx1"/>
            </w14:solidFill>
          </w14:textFill>
        </w:rPr>
        <w:t>气候与主要气象要素：</w:t>
      </w:r>
      <w:bookmarkEnd w:id="19"/>
      <w:r>
        <w:rPr>
          <w:rFonts w:hint="eastAsia"/>
          <w:bCs/>
          <w:color w:val="000000" w:themeColor="text1"/>
          <w14:textFill>
            <w14:solidFill>
              <w14:schemeClr w14:val="tx1"/>
            </w14:solidFill>
          </w14:textFill>
        </w:rPr>
        <w:t>项目区位于北亚热带湿润季风气候区，根据绵阳市气象局多年观测资料统计，多年平均气温 16.2℃，多年平均降雨量为963.2mm，年无霜期275天，年日照时数1306小时，年平均空气相对湿度79%。多年平均蒸发量789.4mm，≥10</w:t>
      </w:r>
      <w:r>
        <w:rPr>
          <w:bCs/>
          <w:color w:val="000000" w:themeColor="text1"/>
          <w14:textFill>
            <w14:solidFill>
              <w14:schemeClr w14:val="tx1"/>
            </w14:solidFill>
          </w14:textFill>
        </w:rPr>
        <w:t>º</w:t>
      </w:r>
      <w:r>
        <w:rPr>
          <w:rFonts w:hint="eastAsia"/>
          <w:bCs/>
          <w:color w:val="000000" w:themeColor="text1"/>
          <w14:textFill>
            <w14:solidFill>
              <w14:schemeClr w14:val="tx1"/>
            </w14:solidFill>
          </w14:textFill>
        </w:rPr>
        <w:t>年积温5320℃，大风日数7d，平均风速3.2m/s。</w:t>
      </w:r>
    </w:p>
    <w:p w14:paraId="2B3345CE">
      <w:pPr>
        <w:ind w:firstLine="480"/>
        <w:rPr>
          <w:rFonts w:hint="eastAsia" w:eastAsia="仿宋_GB2312"/>
          <w:bCs/>
          <w:color w:val="000000" w:themeColor="text1"/>
          <w:highlight w:val="none"/>
          <w:lang w:eastAsia="zh-CN"/>
          <w14:textFill>
            <w14:solidFill>
              <w14:schemeClr w14:val="tx1"/>
            </w14:solidFill>
          </w14:textFill>
        </w:rPr>
      </w:pPr>
      <w:r>
        <w:rPr>
          <w:rFonts w:hint="eastAsia"/>
          <w:bCs/>
          <w:color w:val="000000" w:themeColor="text1"/>
          <w:highlight w:val="none"/>
          <w14:textFill>
            <w14:solidFill>
              <w14:schemeClr w14:val="tx1"/>
            </w14:solidFill>
          </w14:textFill>
        </w:rPr>
        <w:t>土壤类型：项目区内土壤类型主要为紫色土，其次还有水稻土和黄壤土分布，系侏罗纪、白垩纪紫色砂岩、泥岩风化而成。该土壤内富含钾、磷、钙、镁、铁、锰等元素。工程区主要以黄壤土为主。项目</w:t>
      </w:r>
      <w:r>
        <w:rPr>
          <w:rFonts w:hint="eastAsia"/>
          <w:bCs/>
          <w:color w:val="000000" w:themeColor="text1"/>
          <w:highlight w:val="none"/>
          <w:lang w:val="en-US" w:eastAsia="zh-CN"/>
          <w14:textFill>
            <w14:solidFill>
              <w14:schemeClr w14:val="tx1"/>
            </w14:solidFill>
          </w14:textFill>
        </w:rPr>
        <w:t>区可剥离表土面积为0.4hm</w:t>
      </w:r>
      <w:r>
        <w:rPr>
          <w:rFonts w:hint="eastAsia"/>
          <w:bCs/>
          <w:color w:val="000000" w:themeColor="text1"/>
          <w:highlight w:val="none"/>
          <w:vertAlign w:val="superscript"/>
          <w:lang w:val="en-US" w:eastAsia="zh-CN"/>
          <w14:textFill>
            <w14:solidFill>
              <w14:schemeClr w14:val="tx1"/>
            </w14:solidFill>
          </w14:textFill>
        </w:rPr>
        <w:t>2</w:t>
      </w:r>
      <w:r>
        <w:rPr>
          <w:rFonts w:hint="eastAsia"/>
          <w:bCs/>
          <w:color w:val="000000" w:themeColor="text1"/>
          <w:highlight w:val="none"/>
          <w14:textFill>
            <w14:solidFill>
              <w14:schemeClr w14:val="tx1"/>
            </w14:solidFill>
          </w14:textFill>
        </w:rPr>
        <w:t>，</w:t>
      </w:r>
      <w:r>
        <w:rPr>
          <w:rFonts w:hint="eastAsia"/>
          <w:bCs/>
          <w:color w:val="000000" w:themeColor="text1"/>
          <w:highlight w:val="none"/>
          <w:lang w:eastAsia="zh-CN"/>
          <w14:textFill>
            <w14:solidFill>
              <w14:schemeClr w14:val="tx1"/>
            </w14:solidFill>
          </w14:textFill>
        </w:rPr>
        <w:t>可剥离表土厚度为</w:t>
      </w:r>
      <w:r>
        <w:rPr>
          <w:rFonts w:hint="eastAsia"/>
          <w:bCs/>
          <w:color w:val="000000" w:themeColor="text1"/>
          <w:highlight w:val="none"/>
          <w:lang w:val="en-US" w:eastAsia="zh-CN"/>
          <w14:textFill>
            <w14:solidFill>
              <w14:schemeClr w14:val="tx1"/>
            </w14:solidFill>
          </w14:textFill>
        </w:rPr>
        <w:t>0.2~0.3m</w:t>
      </w:r>
      <w:r>
        <w:rPr>
          <w:rFonts w:hint="eastAsia"/>
          <w:bCs/>
          <w:color w:val="000000" w:themeColor="text1"/>
          <w:highlight w:val="none"/>
          <w:lang w:eastAsia="zh-CN"/>
          <w14:textFill>
            <w14:solidFill>
              <w14:schemeClr w14:val="tx1"/>
            </w14:solidFill>
          </w14:textFill>
        </w:rPr>
        <w:t>。</w:t>
      </w:r>
    </w:p>
    <w:p w14:paraId="6909C494">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植被类型：工程区动工以前植被以自然生长植被为主，具有较好的水土保持作用</w:t>
      </w:r>
      <w:r>
        <w:rPr>
          <w:rFonts w:hint="eastAsia"/>
          <w:bCs/>
          <w:color w:val="000000" w:themeColor="text1"/>
          <w:lang w:eastAsia="zh-CN"/>
          <w14:textFill>
            <w14:solidFill>
              <w14:schemeClr w14:val="tx1"/>
            </w14:solidFill>
          </w14:textFill>
        </w:rPr>
        <w:t>，</w:t>
      </w:r>
      <w:r>
        <w:t>项目区</w:t>
      </w:r>
      <w:r>
        <w:rPr>
          <w:rFonts w:hint="eastAsia"/>
          <w:bCs/>
          <w:color w:val="000000" w:themeColor="text1"/>
          <w14:textFill>
            <w14:solidFill>
              <w14:schemeClr w14:val="tx1"/>
            </w14:solidFill>
          </w14:textFill>
        </w:rPr>
        <w:t>动工以前</w:t>
      </w:r>
      <w:r>
        <w:rPr>
          <w:rFonts w:hint="eastAsia"/>
        </w:rPr>
        <w:t>林草覆盖率约26%</w:t>
      </w:r>
      <w:r>
        <w:rPr>
          <w:rFonts w:hint="eastAsia"/>
          <w:bCs/>
          <w:color w:val="000000" w:themeColor="text1"/>
          <w14:textFill>
            <w14:solidFill>
              <w14:schemeClr w14:val="tx1"/>
            </w14:solidFill>
          </w14:textFill>
        </w:rPr>
        <w:t>。</w:t>
      </w:r>
    </w:p>
    <w:p w14:paraId="36C74C51">
      <w:pPr>
        <w:ind w:firstLine="480"/>
        <w:rPr>
          <w:bCs/>
          <w:color w:val="000000" w:themeColor="text1"/>
          <w14:textFill>
            <w14:solidFill>
              <w14:schemeClr w14:val="tx1"/>
            </w14:solidFill>
          </w14:textFill>
        </w:rPr>
      </w:pPr>
      <w:bookmarkStart w:id="20" w:name="_Hlk136423707"/>
      <w:r>
        <w:rPr>
          <w:rFonts w:hint="eastAsia"/>
          <w:bCs/>
          <w:color w:val="000000" w:themeColor="text1"/>
          <w14:textFill>
            <w14:solidFill>
              <w14:schemeClr w14:val="tx1"/>
            </w14:solidFill>
          </w14:textFill>
        </w:rPr>
        <w:t>根据《水利部办公厅印发&lt;全国水土保持规划国家级水士流失重点预防区和重点治理区复核划分成果&gt;的通知》（办水保〔2013〕188号），本项目所在的绵阳市高新区不属国家级重点预防区和重点治理区；根据《四川省水利厅关于印发&lt;四川省省级水土流失重点预防区和重点治理区划分成果&gt;的通知》（川水函〔201</w:t>
      </w:r>
      <w:r>
        <w:rPr>
          <w:bCs/>
          <w:color w:val="000000" w:themeColor="text1"/>
          <w14:textFill>
            <w14:solidFill>
              <w14:schemeClr w14:val="tx1"/>
            </w14:solidFill>
          </w14:textFill>
        </w:rPr>
        <w:t>7</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482</w:t>
      </w:r>
      <w:r>
        <w:rPr>
          <w:rFonts w:hint="eastAsia"/>
          <w:bCs/>
          <w:color w:val="000000" w:themeColor="text1"/>
          <w14:textFill>
            <w14:solidFill>
              <w14:schemeClr w14:val="tx1"/>
            </w14:solidFill>
          </w14:textFill>
        </w:rPr>
        <w:t>号），本项目所在的绵阳市高新区不属省级重点预防区和重点治理区。根据绵阳市水土保持规划，项目所在的绵阳市高新区永兴镇属于市级水土流失重点治理区。</w:t>
      </w:r>
    </w:p>
    <w:p w14:paraId="16C77E25">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根据《水利部办公厅关于印发&lt;全国水土保持区划（试行）&gt;的通知》（办水保〔2012〕512 号），高新区属于西南紫色土区，根据《土壤侵蚀分类分级标准》（SL190-2007），项目区位于西南土石山区，区域容许土壤流失量为 500t/km</w:t>
      </w:r>
      <w:r>
        <w:rPr>
          <w:rFonts w:hint="eastAsia"/>
          <w:bCs/>
          <w:color w:val="000000" w:themeColor="text1"/>
          <w:vertAlign w:val="superscript"/>
          <w14:textFill>
            <w14:solidFill>
              <w14:schemeClr w14:val="tx1"/>
            </w14:solidFill>
          </w14:textFill>
        </w:rPr>
        <w:t>2</w:t>
      </w:r>
      <w:bookmarkStart w:id="21" w:name="_Hlk100913288"/>
      <w:r>
        <w:rPr>
          <w:rFonts w:hint="cs"/>
          <w:bCs/>
          <w:color w:val="000000" w:themeColor="text1"/>
          <w14:textFill>
            <w14:solidFill>
              <w14:schemeClr w14:val="tx1"/>
            </w14:solidFill>
          </w14:textFill>
        </w:rPr>
        <w:t>•</w:t>
      </w:r>
      <w:bookmarkEnd w:id="21"/>
      <w:r>
        <w:rPr>
          <w:bCs/>
          <w:color w:val="000000" w:themeColor="text1"/>
          <w14:textFill>
            <w14:solidFill>
              <w14:schemeClr w14:val="tx1"/>
            </w14:solidFill>
          </w14:textFill>
        </w:rPr>
        <w:t>a</w:t>
      </w:r>
      <w:r>
        <w:rPr>
          <w:rFonts w:hint="eastAsia"/>
          <w:bCs/>
          <w:color w:val="000000" w:themeColor="text1"/>
          <w14:textFill>
            <w14:solidFill>
              <w14:schemeClr w14:val="tx1"/>
            </w14:solidFill>
          </w14:textFill>
        </w:rPr>
        <w:t>，工程区土壤侵蚀类型为水力侵蚀，土壤侵蚀强度为</w:t>
      </w:r>
      <w:r>
        <w:rPr>
          <w:rFonts w:hint="eastAsia"/>
          <w:bCs/>
          <w:color w:val="000000" w:themeColor="text1"/>
          <w:lang w:eastAsia="zh-CN"/>
          <w14:textFill>
            <w14:solidFill>
              <w14:schemeClr w14:val="tx1"/>
            </w14:solidFill>
          </w14:textFill>
        </w:rPr>
        <w:t>轻</w:t>
      </w:r>
      <w:r>
        <w:rPr>
          <w:rFonts w:hint="eastAsia"/>
          <w:bCs/>
          <w:color w:val="000000" w:themeColor="text1"/>
          <w14:textFill>
            <w14:solidFill>
              <w14:schemeClr w14:val="tx1"/>
            </w14:solidFill>
          </w14:textFill>
        </w:rPr>
        <w:t>度侵蚀，现状土壤侵蚀模数为</w:t>
      </w:r>
      <w:r>
        <w:rPr>
          <w:bCs/>
          <w:color w:val="000000" w:themeColor="text1"/>
          <w14:textFill>
            <w14:solidFill>
              <w14:schemeClr w14:val="tx1"/>
            </w14:solidFill>
          </w14:textFill>
        </w:rPr>
        <w:t>500</w:t>
      </w:r>
      <w:r>
        <w:rPr>
          <w:rFonts w:hint="eastAsia"/>
          <w:bCs/>
          <w:color w:val="000000" w:themeColor="text1"/>
          <w14:textFill>
            <w14:solidFill>
              <w14:schemeClr w14:val="tx1"/>
            </w14:solidFill>
          </w14:textFill>
        </w:rPr>
        <w:t>t/km</w:t>
      </w:r>
      <w:r>
        <w:rPr>
          <w:rFonts w:hint="eastAsia"/>
          <w:bCs/>
          <w:color w:val="000000" w:themeColor="text1"/>
          <w:vertAlign w:val="superscript"/>
          <w14:textFill>
            <w14:solidFill>
              <w14:schemeClr w14:val="tx1"/>
            </w14:solidFill>
          </w14:textFill>
        </w:rPr>
        <w:t>2</w:t>
      </w:r>
      <w:r>
        <w:rPr>
          <w:rFonts w:hint="cs"/>
          <w:bCs/>
          <w:color w:val="000000" w:themeColor="text1"/>
          <w14:textFill>
            <w14:solidFill>
              <w14:schemeClr w14:val="tx1"/>
            </w14:solidFill>
          </w14:textFill>
        </w:rPr>
        <w:t>•</w:t>
      </w:r>
      <w:r>
        <w:rPr>
          <w:rFonts w:hint="eastAsia"/>
          <w:bCs/>
          <w:color w:val="000000" w:themeColor="text1"/>
          <w14:textFill>
            <w14:solidFill>
              <w14:schemeClr w14:val="tx1"/>
            </w14:solidFill>
          </w14:textFill>
        </w:rPr>
        <w:t>a。</w:t>
      </w:r>
    </w:p>
    <w:p w14:paraId="7E3F0630">
      <w:pPr>
        <w:ind w:firstLine="480"/>
        <w:rPr>
          <w:color w:val="000000" w:themeColor="text1"/>
          <w:szCs w:val="22"/>
          <w14:textFill>
            <w14:solidFill>
              <w14:schemeClr w14:val="tx1"/>
            </w14:solidFill>
          </w14:textFill>
        </w:rPr>
      </w:pPr>
      <w:r>
        <w:rPr>
          <w:rFonts w:hint="eastAsia"/>
          <w:color w:val="000000" w:themeColor="text1"/>
          <w:szCs w:val="22"/>
          <w14:textFill>
            <w14:solidFill>
              <w14:schemeClr w14:val="tx1"/>
            </w14:solidFill>
          </w14:textFill>
        </w:rPr>
        <w:t>本项目不涉及饮用水水源保护区、水功能一级区的保护区和保留区、自然保护区、世界文化和自然遗产地、风景名胜区、重要湿地等水土保持敏感区；不涉及全国水土保持监测网路中的水土保持监测站点、重点试验区及国家确定的水土保持长期定位观测站；不涉及河流两岸、湖泊和水库周边的植物保护带。</w:t>
      </w:r>
      <w:bookmarkEnd w:id="20"/>
    </w:p>
    <w:p w14:paraId="52DD5AD8">
      <w:pPr>
        <w:pStyle w:val="3"/>
        <w:rPr>
          <w:color w:val="000000" w:themeColor="text1"/>
          <w14:textFill>
            <w14:solidFill>
              <w14:schemeClr w14:val="tx1"/>
            </w14:solidFill>
          </w14:textFill>
        </w:rPr>
      </w:pPr>
      <w:bookmarkStart w:id="22" w:name="_Toc7737"/>
      <w:r>
        <w:rPr>
          <w:rFonts w:hint="eastAsia"/>
          <w:color w:val="000000" w:themeColor="text1"/>
          <w14:textFill>
            <w14:solidFill>
              <w14:schemeClr w14:val="tx1"/>
            </w14:solidFill>
          </w14:textFill>
        </w:rPr>
        <w:t>1.2编制依据</w:t>
      </w:r>
      <w:bookmarkEnd w:id="22"/>
    </w:p>
    <w:p w14:paraId="10F2F09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1.2.1法律法规、部门规章、行政规范性文件</w:t>
      </w:r>
    </w:p>
    <w:p w14:paraId="11752F21">
      <w:pPr>
        <w:ind w:firstLine="480"/>
        <w:rPr>
          <w:rFonts w:cs="Times New Roman"/>
          <w:color w:val="000000" w:themeColor="text1"/>
          <w:highlight w:val="none"/>
          <w14:textFill>
            <w14:solidFill>
              <w14:schemeClr w14:val="tx1"/>
            </w14:solidFill>
          </w14:textFill>
        </w:rPr>
      </w:pPr>
      <w:bookmarkStart w:id="23" w:name="_Hlk136423865"/>
      <w:r>
        <w:rPr>
          <w:rFonts w:hint="eastAsia" w:cs="Times New Roman"/>
          <w:color w:val="000000" w:themeColor="text1"/>
          <w:highlight w:val="none"/>
          <w:lang w:val="en-US" w:eastAsia="zh-CN"/>
          <w14:textFill>
            <w14:solidFill>
              <w14:schemeClr w14:val="tx1"/>
            </w14:solidFill>
          </w14:textFill>
        </w:rPr>
        <w:t>1</w:t>
      </w:r>
      <w:r>
        <w:rPr>
          <w:rFonts w:hint="eastAsia" w:cs="Times New Roman"/>
          <w:color w:val="000000" w:themeColor="text1"/>
          <w:highlight w:val="none"/>
          <w14:textFill>
            <w14:solidFill>
              <w14:schemeClr w14:val="tx1"/>
            </w14:solidFill>
          </w14:textFill>
        </w:rPr>
        <w:t>、《水利部办公厅关于印发生产建设项目水土保持技术文件编写和印制格式规定(试行)的通知》（办水保〔2018〕135 号）；</w:t>
      </w:r>
    </w:p>
    <w:p w14:paraId="579DBD2F">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w:t>
      </w:r>
      <w:r>
        <w:rPr>
          <w:rFonts w:hint="eastAsia" w:cs="Times New Roman"/>
          <w:color w:val="000000" w:themeColor="text1"/>
          <w:highlight w:val="none"/>
          <w14:textFill>
            <w14:solidFill>
              <w14:schemeClr w14:val="tx1"/>
            </w14:solidFill>
          </w14:textFill>
        </w:rPr>
        <w:t>、《生产建设项目水土保持方案管理办法》（2023年1月17日水利部令第53号发布）；</w:t>
      </w:r>
    </w:p>
    <w:p w14:paraId="596F96C1">
      <w:pPr>
        <w:ind w:firstLine="480"/>
        <w:rPr>
          <w:rFonts w:ascii="仿宋_GB2312"/>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rFonts w:hint="eastAsia" w:ascii="仿宋_GB2312"/>
          <w:color w:val="000000" w:themeColor="text1"/>
          <w:highlight w:val="none"/>
          <w14:textFill>
            <w14:solidFill>
              <w14:schemeClr w14:val="tx1"/>
            </w14:solidFill>
          </w14:textFill>
        </w:rPr>
        <w:t>、《水利部办公厅关于印发生产建设项目水土保持方案审查要点的通知》（办水保〔</w:t>
      </w:r>
      <w:r>
        <w:rPr>
          <w:rFonts w:hint="eastAsia"/>
          <w:color w:val="000000" w:themeColor="text1"/>
          <w:highlight w:val="none"/>
          <w14:textFill>
            <w14:solidFill>
              <w14:schemeClr w14:val="tx1"/>
            </w14:solidFill>
          </w14:textFill>
        </w:rPr>
        <w:t>2023</w:t>
      </w:r>
      <w:r>
        <w:rPr>
          <w:rFonts w:hint="eastAsia" w:ascii="仿宋_GB2312"/>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177</w:t>
      </w:r>
      <w:r>
        <w:rPr>
          <w:rFonts w:hint="eastAsia" w:ascii="仿宋_GB2312"/>
          <w:color w:val="000000" w:themeColor="text1"/>
          <w:highlight w:val="none"/>
          <w14:textFill>
            <w14:solidFill>
              <w14:schemeClr w14:val="tx1"/>
            </w14:solidFill>
          </w14:textFill>
        </w:rPr>
        <w:t>号）；</w:t>
      </w:r>
    </w:p>
    <w:bookmarkEnd w:id="23"/>
    <w:p w14:paraId="323B8AB3">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1.2.2技术规范及标准</w:t>
      </w:r>
    </w:p>
    <w:p w14:paraId="3144C919">
      <w:pPr>
        <w:adjustRightInd/>
        <w:ind w:firstLine="472"/>
        <w:rPr>
          <w:color w:val="000000" w:themeColor="text1"/>
          <w:spacing w:val="-4"/>
          <w14:textFill>
            <w14:solidFill>
              <w14:schemeClr w14:val="tx1"/>
            </w14:solidFill>
          </w14:textFill>
        </w:rPr>
      </w:pPr>
      <w:bookmarkStart w:id="24" w:name="_Toc321747012"/>
      <w:bookmarkStart w:id="25" w:name="_Toc324778184"/>
      <w:bookmarkStart w:id="26" w:name="_Toc425380197"/>
      <w:bookmarkStart w:id="27" w:name="_Toc324779426"/>
      <w:bookmarkStart w:id="28" w:name="_Toc324777979"/>
      <w:bookmarkStart w:id="29" w:name="_Toc271880787"/>
      <w:bookmarkStart w:id="30" w:name="_Hlk136423961"/>
      <w:r>
        <w:rPr>
          <w:rFonts w:hint="eastAsia"/>
          <w:color w:val="000000" w:themeColor="text1"/>
          <w:spacing w:val="-4"/>
          <w14:textFill>
            <w14:solidFill>
              <w14:schemeClr w14:val="tx1"/>
            </w14:solidFill>
          </w14:textFill>
        </w:rPr>
        <w:t>（</w:t>
      </w:r>
      <w:r>
        <w:rPr>
          <w:color w:val="000000" w:themeColor="text1"/>
          <w:spacing w:val="-4"/>
          <w14:textFill>
            <w14:solidFill>
              <w14:schemeClr w14:val="tx1"/>
            </w14:solidFill>
          </w14:textFill>
        </w:rPr>
        <w:t>1</w:t>
      </w:r>
      <w:r>
        <w:rPr>
          <w:rFonts w:hint="eastAsia"/>
          <w:color w:val="000000" w:themeColor="text1"/>
          <w:spacing w:val="-4"/>
          <w14:textFill>
            <w14:solidFill>
              <w14:schemeClr w14:val="tx1"/>
            </w14:solidFill>
          </w14:textFill>
        </w:rPr>
        <w:t>）《生产建设项目水土保持技术标准》（</w:t>
      </w:r>
      <w:r>
        <w:rPr>
          <w:color w:val="000000" w:themeColor="text1"/>
          <w:spacing w:val="-4"/>
          <w14:textFill>
            <w14:solidFill>
              <w14:schemeClr w14:val="tx1"/>
            </w14:solidFill>
          </w14:textFill>
        </w:rPr>
        <w:t>GB 50433-2018</w:t>
      </w:r>
      <w:r>
        <w:rPr>
          <w:rFonts w:hint="eastAsia"/>
          <w:color w:val="000000" w:themeColor="text1"/>
          <w:spacing w:val="-4"/>
          <w14:textFill>
            <w14:solidFill>
              <w14:schemeClr w14:val="tx1"/>
            </w14:solidFill>
          </w14:textFill>
        </w:rPr>
        <w:t>）；</w:t>
      </w:r>
    </w:p>
    <w:p w14:paraId="36E39647">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color w:val="000000" w:themeColor="text1"/>
          <w:spacing w:val="-4"/>
          <w14:textFill>
            <w14:solidFill>
              <w14:schemeClr w14:val="tx1"/>
            </w14:solidFill>
          </w14:textFill>
        </w:rPr>
        <w:t>2</w:t>
      </w:r>
      <w:r>
        <w:rPr>
          <w:rFonts w:hint="eastAsia"/>
          <w:color w:val="000000" w:themeColor="text1"/>
          <w:spacing w:val="-4"/>
          <w14:textFill>
            <w14:solidFill>
              <w14:schemeClr w14:val="tx1"/>
            </w14:solidFill>
          </w14:textFill>
        </w:rPr>
        <w:t>）《生产建设项目水土流失防治标准》（</w:t>
      </w:r>
      <w:r>
        <w:rPr>
          <w:color w:val="000000" w:themeColor="text1"/>
          <w:spacing w:val="-4"/>
          <w14:textFill>
            <w14:solidFill>
              <w14:schemeClr w14:val="tx1"/>
            </w14:solidFill>
          </w14:textFill>
        </w:rPr>
        <w:t>GB/T 50434-2018</w:t>
      </w:r>
      <w:r>
        <w:rPr>
          <w:rFonts w:hint="eastAsia"/>
          <w:color w:val="000000" w:themeColor="text1"/>
          <w:spacing w:val="-4"/>
          <w14:textFill>
            <w14:solidFill>
              <w14:schemeClr w14:val="tx1"/>
            </w14:solidFill>
          </w14:textFill>
        </w:rPr>
        <w:t>）；</w:t>
      </w:r>
    </w:p>
    <w:p w14:paraId="79289652">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3</w:t>
      </w:r>
      <w:r>
        <w:rPr>
          <w:rFonts w:hint="eastAsia"/>
          <w:color w:val="000000" w:themeColor="text1"/>
          <w:spacing w:val="-4"/>
          <w14:textFill>
            <w14:solidFill>
              <w14:schemeClr w14:val="tx1"/>
            </w14:solidFill>
          </w14:textFill>
        </w:rPr>
        <w:t>）《土壤侵蚀分类分级标准》（</w:t>
      </w:r>
      <w:r>
        <w:rPr>
          <w:color w:val="000000" w:themeColor="text1"/>
          <w:spacing w:val="-4"/>
          <w14:textFill>
            <w14:solidFill>
              <w14:schemeClr w14:val="tx1"/>
            </w14:solidFill>
          </w14:textFill>
        </w:rPr>
        <w:t>SL190-2007</w:t>
      </w:r>
      <w:r>
        <w:rPr>
          <w:rFonts w:hint="eastAsia"/>
          <w:color w:val="000000" w:themeColor="text1"/>
          <w:spacing w:val="-4"/>
          <w14:textFill>
            <w14:solidFill>
              <w14:schemeClr w14:val="tx1"/>
            </w14:solidFill>
          </w14:textFill>
        </w:rPr>
        <w:t>）；</w:t>
      </w:r>
    </w:p>
    <w:p w14:paraId="251BBC88">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4</w:t>
      </w:r>
      <w:r>
        <w:rPr>
          <w:rFonts w:hint="eastAsia"/>
          <w:color w:val="000000" w:themeColor="text1"/>
          <w:spacing w:val="-4"/>
          <w14:textFill>
            <w14:solidFill>
              <w14:schemeClr w14:val="tx1"/>
            </w14:solidFill>
          </w14:textFill>
        </w:rPr>
        <w:t>）《土地利用现状分类标准》（</w:t>
      </w:r>
      <w:r>
        <w:rPr>
          <w:color w:val="000000" w:themeColor="text1"/>
          <w:spacing w:val="-4"/>
          <w14:textFill>
            <w14:solidFill>
              <w14:schemeClr w14:val="tx1"/>
            </w14:solidFill>
          </w14:textFill>
        </w:rPr>
        <w:t>GB/T 21010-2017</w:t>
      </w:r>
      <w:r>
        <w:rPr>
          <w:rFonts w:hint="eastAsia"/>
          <w:color w:val="000000" w:themeColor="text1"/>
          <w:spacing w:val="-4"/>
          <w14:textFill>
            <w14:solidFill>
              <w14:schemeClr w14:val="tx1"/>
            </w14:solidFill>
          </w14:textFill>
        </w:rPr>
        <w:t>）；</w:t>
      </w:r>
    </w:p>
    <w:p w14:paraId="341C60E2">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5</w:t>
      </w:r>
      <w:r>
        <w:rPr>
          <w:rFonts w:hint="eastAsia"/>
          <w:color w:val="000000" w:themeColor="text1"/>
          <w:spacing w:val="-4"/>
          <w14:textFill>
            <w14:solidFill>
              <w14:schemeClr w14:val="tx1"/>
            </w14:solidFill>
          </w14:textFill>
        </w:rPr>
        <w:t>）《水利水电工程制图水土保持图》（</w:t>
      </w:r>
      <w:r>
        <w:rPr>
          <w:color w:val="000000" w:themeColor="text1"/>
          <w:spacing w:val="-4"/>
          <w14:textFill>
            <w14:solidFill>
              <w14:schemeClr w14:val="tx1"/>
            </w14:solidFill>
          </w14:textFill>
        </w:rPr>
        <w:t>SL73.6-2015</w:t>
      </w:r>
      <w:r>
        <w:rPr>
          <w:rFonts w:hint="eastAsia"/>
          <w:color w:val="000000" w:themeColor="text1"/>
          <w:spacing w:val="-4"/>
          <w14:textFill>
            <w14:solidFill>
              <w14:schemeClr w14:val="tx1"/>
            </w14:solidFill>
          </w14:textFill>
        </w:rPr>
        <w:t>）；</w:t>
      </w:r>
    </w:p>
    <w:p w14:paraId="3FBD8FC6">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6</w:t>
      </w:r>
      <w:r>
        <w:rPr>
          <w:rFonts w:hint="eastAsia"/>
          <w:color w:val="000000" w:themeColor="text1"/>
          <w:spacing w:val="-4"/>
          <w14:textFill>
            <w14:solidFill>
              <w14:schemeClr w14:val="tx1"/>
            </w14:solidFill>
          </w14:textFill>
        </w:rPr>
        <w:t>）《四川省水利水电工程设计概（估）算编制规定》；</w:t>
      </w:r>
    </w:p>
    <w:p w14:paraId="66417851">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7</w:t>
      </w:r>
      <w:r>
        <w:rPr>
          <w:rFonts w:hint="eastAsia"/>
          <w:color w:val="000000" w:themeColor="text1"/>
          <w:spacing w:val="-4"/>
          <w14:textFill>
            <w14:solidFill>
              <w14:schemeClr w14:val="tx1"/>
            </w14:solidFill>
          </w14:textFill>
        </w:rPr>
        <w:t>）《生产建设项目土壤流失量测算导则》（</w:t>
      </w:r>
      <w:r>
        <w:rPr>
          <w:color w:val="000000" w:themeColor="text1"/>
          <w:spacing w:val="-4"/>
          <w14:textFill>
            <w14:solidFill>
              <w14:schemeClr w14:val="tx1"/>
            </w14:solidFill>
          </w14:textFill>
        </w:rPr>
        <w:t>SL773-2018</w:t>
      </w:r>
      <w:r>
        <w:rPr>
          <w:rFonts w:hint="eastAsia"/>
          <w:color w:val="000000" w:themeColor="text1"/>
          <w:spacing w:val="-4"/>
          <w14:textFill>
            <w14:solidFill>
              <w14:schemeClr w14:val="tx1"/>
            </w14:solidFill>
          </w14:textFill>
        </w:rPr>
        <w:t>）；</w:t>
      </w:r>
    </w:p>
    <w:bookmarkEnd w:id="24"/>
    <w:bookmarkEnd w:id="25"/>
    <w:bookmarkEnd w:id="26"/>
    <w:bookmarkEnd w:id="27"/>
    <w:bookmarkEnd w:id="28"/>
    <w:bookmarkEnd w:id="29"/>
    <w:p w14:paraId="78B1B003">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8</w:t>
      </w:r>
      <w:r>
        <w:rPr>
          <w:rFonts w:hint="eastAsia"/>
          <w:color w:val="000000" w:themeColor="text1"/>
          <w:spacing w:val="-4"/>
          <w14:textFill>
            <w14:solidFill>
              <w14:schemeClr w14:val="tx1"/>
            </w14:solidFill>
          </w14:textFill>
        </w:rPr>
        <w:t>）《生产建设项目水土保持监测与评价标准》（</w:t>
      </w:r>
      <w:r>
        <w:rPr>
          <w:color w:val="000000" w:themeColor="text1"/>
          <w:spacing w:val="-4"/>
          <w14:textFill>
            <w14:solidFill>
              <w14:schemeClr w14:val="tx1"/>
            </w14:solidFill>
          </w14:textFill>
        </w:rPr>
        <w:t>GB/T 51240-2018</w:t>
      </w:r>
      <w:r>
        <w:rPr>
          <w:rFonts w:hint="eastAsia"/>
          <w:color w:val="000000" w:themeColor="text1"/>
          <w:spacing w:val="-4"/>
          <w14:textFill>
            <w14:solidFill>
              <w14:schemeClr w14:val="tx1"/>
            </w14:solidFill>
          </w14:textFill>
        </w:rPr>
        <w:t>）；</w:t>
      </w:r>
    </w:p>
    <w:p w14:paraId="53BA5534">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9</w:t>
      </w:r>
      <w:r>
        <w:rPr>
          <w:rFonts w:hint="eastAsia"/>
          <w:color w:val="000000" w:themeColor="text1"/>
          <w:spacing w:val="-4"/>
          <w14:textFill>
            <w14:solidFill>
              <w14:schemeClr w14:val="tx1"/>
            </w14:solidFill>
          </w14:textFill>
        </w:rPr>
        <w:t>）《水土保持工程设计规范》（</w:t>
      </w:r>
      <w:r>
        <w:rPr>
          <w:color w:val="000000" w:themeColor="text1"/>
          <w:spacing w:val="-4"/>
          <w14:textFill>
            <w14:solidFill>
              <w14:schemeClr w14:val="tx1"/>
            </w14:solidFill>
          </w14:textFill>
        </w:rPr>
        <w:t>GB51018-2014</w:t>
      </w:r>
      <w:r>
        <w:rPr>
          <w:rFonts w:hint="eastAsia"/>
          <w:color w:val="000000" w:themeColor="text1"/>
          <w:spacing w:val="-4"/>
          <w14:textFill>
            <w14:solidFill>
              <w14:schemeClr w14:val="tx1"/>
            </w14:solidFill>
          </w14:textFill>
        </w:rPr>
        <w:t>）；</w:t>
      </w:r>
    </w:p>
    <w:p w14:paraId="2E639E4F">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（1</w:t>
      </w:r>
      <w:r>
        <w:rPr>
          <w:rFonts w:hint="eastAsia"/>
          <w:color w:val="000000" w:themeColor="text1"/>
          <w:spacing w:val="-4"/>
          <w:lang w:val="en-US" w:eastAsia="zh-CN"/>
          <w14:textFill>
            <w14:solidFill>
              <w14:schemeClr w14:val="tx1"/>
            </w14:solidFill>
          </w14:textFill>
        </w:rPr>
        <w:t>0</w:t>
      </w:r>
      <w:r>
        <w:rPr>
          <w:rFonts w:hint="eastAsia"/>
          <w:color w:val="000000" w:themeColor="text1"/>
          <w:spacing w:val="-4"/>
          <w14:textFill>
            <w14:solidFill>
              <w14:schemeClr w14:val="tx1"/>
            </w14:solidFill>
          </w14:textFill>
        </w:rPr>
        <w:t>）《水土保持工程调查与勘测标准》（GB/51297-2018）；</w:t>
      </w:r>
    </w:p>
    <w:p w14:paraId="737047D5">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（1</w:t>
      </w:r>
      <w:r>
        <w:rPr>
          <w:rFonts w:hint="eastAsia"/>
          <w:color w:val="000000" w:themeColor="text1"/>
          <w:spacing w:val="-4"/>
          <w:lang w:val="en-US" w:eastAsia="zh-CN"/>
          <w14:textFill>
            <w14:solidFill>
              <w14:schemeClr w14:val="tx1"/>
            </w14:solidFill>
          </w14:textFill>
        </w:rPr>
        <w:t>1</w:t>
      </w:r>
      <w:r>
        <w:rPr>
          <w:rFonts w:hint="eastAsia"/>
          <w:color w:val="000000" w:themeColor="text1"/>
          <w:spacing w:val="-4"/>
          <w14:textFill>
            <w14:solidFill>
              <w14:schemeClr w14:val="tx1"/>
            </w14:solidFill>
          </w14:textFill>
        </w:rPr>
        <w:t>）《室外排水设计规范》（GB50014-2006）(2016年版)；</w:t>
      </w:r>
    </w:p>
    <w:p w14:paraId="3580B2C3">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（1</w:t>
      </w:r>
      <w:r>
        <w:rPr>
          <w:rFonts w:hint="eastAsia"/>
          <w:color w:val="000000" w:themeColor="text1"/>
          <w:spacing w:val="-4"/>
          <w:lang w:val="en-US" w:eastAsia="zh-CN"/>
          <w14:textFill>
            <w14:solidFill>
              <w14:schemeClr w14:val="tx1"/>
            </w14:solidFill>
          </w14:textFill>
        </w:rPr>
        <w:t>2</w:t>
      </w:r>
      <w:r>
        <w:rPr>
          <w:rFonts w:hint="eastAsia"/>
          <w:color w:val="000000" w:themeColor="text1"/>
          <w:spacing w:val="-4"/>
          <w14:textFill>
            <w14:solidFill>
              <w14:schemeClr w14:val="tx1"/>
            </w14:solidFill>
          </w14:textFill>
        </w:rPr>
        <w:t>）《城镇给水排水技术规范》（GB50788-2012）；</w:t>
      </w:r>
    </w:p>
    <w:bookmarkEnd w:id="30"/>
    <w:p w14:paraId="2556AA6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1.2.3技术文件及资料</w:t>
      </w:r>
    </w:p>
    <w:p w14:paraId="08D3D071">
      <w:pPr>
        <w:tabs>
          <w:tab w:val="left" w:pos="3108"/>
        </w:tabs>
        <w:ind w:firstLine="480"/>
        <w:rPr>
          <w:color w:val="000000" w:themeColor="text1"/>
          <w14:textFill>
            <w14:solidFill>
              <w14:schemeClr w14:val="tx1"/>
            </w14:solidFill>
          </w14:textFill>
        </w:rPr>
      </w:pPr>
      <w:bookmarkStart w:id="31" w:name="_Hlk136424045"/>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）《高新区兆辉新能源工业园及基础设施配套项目施工图》（</w:t>
      </w:r>
      <w:r>
        <w:rPr>
          <w:rFonts w:hint="eastAsia" w:ascii="宋体" w:hAnsi="宋体" w:cs="宋体"/>
          <w:color w:val="000000" w:themeColor="text1"/>
          <w14:textFill>
            <w14:solidFill>
              <w14:schemeClr w14:val="tx1"/>
            </w14:solidFill>
          </w14:textFill>
        </w:rPr>
        <w:t>中国工程物理研究院建筑设计院</w:t>
      </w:r>
      <w:r>
        <w:rPr>
          <w:color w:val="000000" w:themeColor="text1"/>
          <w14:textFill>
            <w14:solidFill>
              <w14:schemeClr w14:val="tx1"/>
            </w14:solidFill>
          </w14:textFill>
        </w:rPr>
        <w:t>2022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0月）；</w:t>
      </w:r>
    </w:p>
    <w:p w14:paraId="40F03A2B">
      <w:pPr>
        <w:tabs>
          <w:tab w:val="left" w:pos="3108"/>
        </w:tabs>
        <w:ind w:firstLine="480"/>
        <w:rPr>
          <w:b/>
          <w:bCs/>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）《高新区兆辉新能源工业园及基础设施配套项目</w:t>
      </w:r>
      <w:r>
        <w:rPr>
          <w:rFonts w:hint="eastAsia"/>
          <w:bCs/>
          <w:color w:val="000000" w:themeColor="text1"/>
          <w14:textFill>
            <w14:solidFill>
              <w14:schemeClr w14:val="tx1"/>
            </w14:solidFill>
          </w14:textFill>
        </w:rPr>
        <w:t>岩土工程勘察报告</w:t>
      </w:r>
      <w:r>
        <w:rPr>
          <w:rFonts w:hint="eastAsia"/>
          <w:color w:val="000000" w:themeColor="text1"/>
          <w14:textFill>
            <w14:solidFill>
              <w14:schemeClr w14:val="tx1"/>
            </w14:solidFill>
          </w14:textFill>
        </w:rPr>
        <w:t>》（西昌大地勘察设计有限公司2</w:t>
      </w:r>
      <w:r>
        <w:rPr>
          <w:color w:val="000000" w:themeColor="text1"/>
          <w14:textFill>
            <w14:solidFill>
              <w14:schemeClr w14:val="tx1"/>
            </w14:solidFill>
          </w14:textFill>
        </w:rPr>
        <w:t>022</w:t>
      </w:r>
      <w:r>
        <w:rPr>
          <w:rFonts w:hint="eastAsia"/>
          <w:color w:val="000000" w:themeColor="text1"/>
          <w14:textFill>
            <w14:solidFill>
              <w14:schemeClr w14:val="tx1"/>
            </w14:solidFill>
          </w14:textFill>
        </w:rPr>
        <w:t>年9月）；</w:t>
      </w:r>
    </w:p>
    <w:p w14:paraId="5AF46986">
      <w:pPr>
        <w:tabs>
          <w:tab w:val="left" w:pos="3108"/>
        </w:tabs>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）《绵阳市水土保持规划》（</w:t>
      </w:r>
      <w:r>
        <w:rPr>
          <w:color w:val="000000" w:themeColor="text1"/>
          <w14:textFill>
            <w14:solidFill>
              <w14:schemeClr w14:val="tx1"/>
            </w14:solidFill>
          </w14:textFill>
        </w:rPr>
        <w:t>2015-2030</w:t>
      </w:r>
      <w:r>
        <w:rPr>
          <w:rFonts w:hint="eastAsia"/>
          <w:color w:val="000000" w:themeColor="text1"/>
          <w14:textFill>
            <w14:solidFill>
              <w14:schemeClr w14:val="tx1"/>
            </w14:solidFill>
          </w14:textFill>
        </w:rPr>
        <w:t>年）；</w:t>
      </w:r>
    </w:p>
    <w:p w14:paraId="6D8114B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）绵阳市高新区社会经济、土地利用、自然资源、水土保持总体规划等资料。</w:t>
      </w:r>
    </w:p>
    <w:bookmarkEnd w:id="31"/>
    <w:p w14:paraId="0C04A4EC">
      <w:pPr>
        <w:pStyle w:val="3"/>
        <w:rPr>
          <w:color w:val="000000" w:themeColor="text1"/>
          <w14:textFill>
            <w14:solidFill>
              <w14:schemeClr w14:val="tx1"/>
            </w14:solidFill>
          </w14:textFill>
        </w:rPr>
      </w:pPr>
      <w:bookmarkStart w:id="32" w:name="_Toc29000"/>
      <w:r>
        <w:rPr>
          <w:rFonts w:hint="eastAsia"/>
          <w:color w:val="000000" w:themeColor="text1"/>
          <w14:textFill>
            <w14:solidFill>
              <w14:schemeClr w14:val="tx1"/>
            </w14:solidFill>
          </w14:textFill>
        </w:rPr>
        <w:t>1.3设计水平年</w:t>
      </w:r>
      <w:bookmarkEnd w:id="32"/>
    </w:p>
    <w:p w14:paraId="2937AFB4">
      <w:pPr>
        <w:ind w:firstLine="480"/>
        <w:rPr>
          <w:color w:val="000000" w:themeColor="text1"/>
          <w14:textFill>
            <w14:solidFill>
              <w14:schemeClr w14:val="tx1"/>
            </w14:solidFill>
          </w14:textFill>
        </w:rPr>
      </w:pPr>
      <w:bookmarkStart w:id="33" w:name="_Hlk136424233"/>
      <w:r>
        <w:rPr>
          <w:rFonts w:hint="eastAsia"/>
          <w:color w:val="000000" w:themeColor="text1"/>
          <w14:textFill>
            <w14:solidFill>
              <w14:schemeClr w14:val="tx1"/>
            </w14:solidFill>
          </w14:textFill>
        </w:rPr>
        <w:t>本工程属于建设类项目，项目水土流失主要集中在工程建设期。根据《生产建设项目水土保持技术标准》（</w:t>
      </w:r>
      <w:r>
        <w:rPr>
          <w:color w:val="000000" w:themeColor="text1"/>
          <w14:textFill>
            <w14:solidFill>
              <w14:schemeClr w14:val="tx1"/>
            </w14:solidFill>
          </w14:textFill>
        </w:rPr>
        <w:t>GB50433-2018</w:t>
      </w:r>
      <w:r>
        <w:rPr>
          <w:rFonts w:hint="eastAsia"/>
          <w:color w:val="000000" w:themeColor="text1"/>
          <w14:textFill>
            <w14:solidFill>
              <w14:schemeClr w14:val="tx1"/>
            </w14:solidFill>
          </w14:textFill>
        </w:rPr>
        <w:t>）相关规定，建设类项目的水土保持方案设计水平年为项目完工后的当年或后一年，本项目已</w:t>
      </w:r>
      <w:r>
        <w:rPr>
          <w:rFonts w:hint="eastAsia"/>
          <w:color w:val="000000" w:themeColor="text1"/>
          <w:spacing w:val="-4"/>
          <w14:textFill>
            <w14:solidFill>
              <w14:schemeClr w14:val="tx1"/>
            </w14:solidFill>
          </w14:textFill>
        </w:rPr>
        <w:t>于</w:t>
      </w:r>
      <w:r>
        <w:rPr>
          <w:color w:val="000000" w:themeColor="text1"/>
          <w:spacing w:val="-4"/>
          <w14:textFill>
            <w14:solidFill>
              <w14:schemeClr w14:val="tx1"/>
            </w14:solidFill>
          </w14:textFill>
        </w:rPr>
        <w:t>202</w:t>
      </w:r>
      <w:r>
        <w:rPr>
          <w:rFonts w:hint="eastAsia"/>
          <w:color w:val="000000" w:themeColor="text1"/>
          <w:spacing w:val="-4"/>
          <w14:textFill>
            <w14:solidFill>
              <w14:schemeClr w14:val="tx1"/>
            </w14:solidFill>
          </w14:textFill>
        </w:rPr>
        <w:t>3年6月开工，计划于</w:t>
      </w:r>
      <w:r>
        <w:rPr>
          <w:color w:val="000000" w:themeColor="text1"/>
          <w:spacing w:val="-4"/>
          <w14:textFill>
            <w14:solidFill>
              <w14:schemeClr w14:val="tx1"/>
            </w14:solidFill>
          </w14:textFill>
        </w:rPr>
        <w:t>2024</w:t>
      </w:r>
      <w:r>
        <w:rPr>
          <w:rFonts w:hint="eastAsia"/>
          <w:color w:val="000000" w:themeColor="text1"/>
          <w:spacing w:val="-4"/>
          <w14:textFill>
            <w14:solidFill>
              <w14:schemeClr w14:val="tx1"/>
            </w14:solidFill>
          </w14:textFill>
        </w:rPr>
        <w:t>年</w:t>
      </w:r>
      <w:r>
        <w:rPr>
          <w:rFonts w:hint="eastAsia"/>
          <w:color w:val="000000" w:themeColor="text1"/>
          <w:spacing w:val="-4"/>
          <w:lang w:val="en-US" w:eastAsia="zh-CN"/>
          <w14:textFill>
            <w14:solidFill>
              <w14:schemeClr w14:val="tx1"/>
            </w14:solidFill>
          </w14:textFill>
        </w:rPr>
        <w:t>12</w:t>
      </w:r>
      <w:r>
        <w:rPr>
          <w:rFonts w:hint="eastAsia"/>
          <w:color w:val="000000" w:themeColor="text1"/>
          <w:spacing w:val="-4"/>
          <w14:textFill>
            <w14:solidFill>
              <w14:schemeClr w14:val="tx1"/>
            </w14:solidFill>
          </w14:textFill>
        </w:rPr>
        <w:t>月底完工</w:t>
      </w:r>
      <w:r>
        <w:rPr>
          <w:rFonts w:hint="eastAsia"/>
          <w:color w:val="000000" w:themeColor="text1"/>
          <w14:textFill>
            <w14:solidFill>
              <w14:schemeClr w14:val="tx1"/>
            </w14:solidFill>
          </w14:textFill>
        </w:rPr>
        <w:t>，结合施工期安排，本《方案》设计水平年为工程完工的后一年，即</w:t>
      </w:r>
      <w:r>
        <w:rPr>
          <w:color w:val="000000" w:themeColor="text1"/>
          <w14:textFill>
            <w14:solidFill>
              <w14:schemeClr w14:val="tx1"/>
            </w14:solidFill>
          </w14:textFill>
        </w:rPr>
        <w:t>2025</w:t>
      </w:r>
      <w:r>
        <w:rPr>
          <w:rFonts w:hint="eastAsia"/>
          <w:color w:val="000000" w:themeColor="text1"/>
          <w14:textFill>
            <w14:solidFill>
              <w14:schemeClr w14:val="tx1"/>
            </w14:solidFill>
          </w14:textFill>
        </w:rPr>
        <w:t>年。</w:t>
      </w:r>
    </w:p>
    <w:bookmarkEnd w:id="33"/>
    <w:p w14:paraId="585C482F">
      <w:pPr>
        <w:pStyle w:val="3"/>
        <w:rPr>
          <w:color w:val="000000" w:themeColor="text1"/>
          <w14:textFill>
            <w14:solidFill>
              <w14:schemeClr w14:val="tx1"/>
            </w14:solidFill>
          </w14:textFill>
        </w:rPr>
      </w:pPr>
      <w:bookmarkStart w:id="34" w:name="_Toc8721"/>
      <w:r>
        <w:rPr>
          <w:rFonts w:hint="eastAsia"/>
          <w:color w:val="000000" w:themeColor="text1"/>
          <w14:textFill>
            <w14:solidFill>
              <w14:schemeClr w14:val="tx1"/>
            </w14:solidFill>
          </w14:textFill>
        </w:rPr>
        <w:t>1.4</w:t>
      </w:r>
      <w:bookmarkStart w:id="35" w:name="_Hlk136424333"/>
      <w:r>
        <w:rPr>
          <w:rFonts w:hint="eastAsia"/>
          <w:color w:val="000000" w:themeColor="text1"/>
          <w14:textFill>
            <w14:solidFill>
              <w14:schemeClr w14:val="tx1"/>
            </w14:solidFill>
          </w14:textFill>
        </w:rPr>
        <w:t>水土流失防治责任范围</w:t>
      </w:r>
      <w:bookmarkEnd w:id="34"/>
    </w:p>
    <w:bookmarkEnd w:id="35"/>
    <w:p w14:paraId="674A0AF7">
      <w:pPr>
        <w:ind w:firstLine="480"/>
        <w:rPr>
          <w:color w:val="000000" w:themeColor="text1"/>
          <w14:textFill>
            <w14:solidFill>
              <w14:schemeClr w14:val="tx1"/>
            </w14:solidFill>
          </w14:textFill>
        </w:rPr>
      </w:pPr>
      <w:bookmarkStart w:id="36" w:name="_Hlk136424357"/>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防治责任范围为地上工程区、地下工程区2个一级分区，地上工程区又分为建构筑物工程区、场内道路及硬化工程区、景观绿化工程区3个二级分区，面积共计0.95hm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bookmarkEnd w:id="36"/>
    </w:p>
    <w:p w14:paraId="1E93820B">
      <w:pPr>
        <w:pStyle w:val="33"/>
        <w:jc w:val="center"/>
        <w:rPr>
          <w:color w:val="000000" w:themeColor="text1"/>
          <w14:textFill>
            <w14:solidFill>
              <w14:schemeClr w14:val="tx1"/>
            </w14:solidFill>
          </w14:textFill>
        </w:rPr>
      </w:pPr>
      <w:bookmarkStart w:id="37" w:name="_Hlk136424630"/>
      <w:r>
        <w:rPr>
          <w:rFonts w:hint="eastAsia"/>
          <w:color w:val="000000" w:themeColor="text1"/>
          <w14:textFill>
            <w14:solidFill>
              <w14:schemeClr w14:val="tx1"/>
            </w14:solidFill>
          </w14:textFill>
        </w:rPr>
        <w:t>表1.4-1                     水土流失防治责任范围表</w:t>
      </w:r>
    </w:p>
    <w:tbl>
      <w:tblPr>
        <w:tblStyle w:val="26"/>
        <w:tblW w:w="551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15" w:type="dxa"/>
          <w:left w:w="15" w:type="dxa"/>
          <w:bottom w:w="15" w:type="dxa"/>
          <w:right w:w="15" w:type="dxa"/>
        </w:tblCellMar>
      </w:tblPr>
      <w:tblGrid>
        <w:gridCol w:w="866"/>
        <w:gridCol w:w="1131"/>
        <w:gridCol w:w="1784"/>
        <w:gridCol w:w="1074"/>
        <w:gridCol w:w="890"/>
        <w:gridCol w:w="823"/>
        <w:gridCol w:w="2562"/>
      </w:tblGrid>
      <w:tr w14:paraId="6AAE4C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78" w:hRule="atLeast"/>
          <w:jc w:val="center"/>
        </w:trPr>
        <w:tc>
          <w:tcPr>
            <w:tcW w:w="474" w:type="pct"/>
            <w:vMerge w:val="restart"/>
            <w:tcBorders>
              <w:tl2br w:val="nil"/>
              <w:tr2bl w:val="nil"/>
            </w:tcBorders>
            <w:shd w:val="clear" w:color="auto" w:fill="auto"/>
            <w:vAlign w:val="center"/>
          </w:tcPr>
          <w:p w14:paraId="1BF0B172">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行政区</w:t>
            </w:r>
          </w:p>
        </w:tc>
        <w:tc>
          <w:tcPr>
            <w:tcW w:w="619" w:type="pct"/>
            <w:vMerge w:val="restart"/>
            <w:tcBorders>
              <w:right w:val="single" w:color="auto" w:sz="4" w:space="0"/>
              <w:tl2br w:val="nil"/>
              <w:tr2bl w:val="nil"/>
            </w:tcBorders>
            <w:shd w:val="clear" w:color="auto" w:fill="auto"/>
            <w:vAlign w:val="center"/>
          </w:tcPr>
          <w:p w14:paraId="7BD426E5">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一级防治分区</w:t>
            </w:r>
          </w:p>
        </w:tc>
        <w:tc>
          <w:tcPr>
            <w:tcW w:w="976" w:type="pct"/>
            <w:vMerge w:val="restart"/>
            <w:tcBorders>
              <w:left w:val="single" w:color="auto" w:sz="4" w:space="0"/>
              <w:tl2br w:val="nil"/>
              <w:tr2bl w:val="nil"/>
            </w:tcBorders>
            <w:shd w:val="clear" w:color="auto" w:fill="auto"/>
            <w:vAlign w:val="center"/>
          </w:tcPr>
          <w:p w14:paraId="14E52025">
            <w:pPr>
              <w:pStyle w:val="34"/>
              <w:ind w:left="261"/>
              <w:jc w:val="both"/>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二级防治分区</w:t>
            </w:r>
          </w:p>
        </w:tc>
        <w:tc>
          <w:tcPr>
            <w:tcW w:w="1526" w:type="pct"/>
            <w:gridSpan w:val="3"/>
            <w:tcBorders>
              <w:tl2br w:val="nil"/>
              <w:tr2bl w:val="nil"/>
            </w:tcBorders>
            <w:shd w:val="clear" w:color="auto" w:fill="auto"/>
            <w:vAlign w:val="center"/>
          </w:tcPr>
          <w:p w14:paraId="350EF625">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防治责任面积（hm²）</w:t>
            </w:r>
          </w:p>
        </w:tc>
        <w:tc>
          <w:tcPr>
            <w:tcW w:w="1402" w:type="pct"/>
            <w:vMerge w:val="restart"/>
            <w:tcBorders>
              <w:tl2br w:val="nil"/>
              <w:tr2bl w:val="nil"/>
            </w:tcBorders>
            <w:shd w:val="clear" w:color="auto" w:fill="auto"/>
            <w:vAlign w:val="center"/>
          </w:tcPr>
          <w:p w14:paraId="1A05C6F4">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备注</w:t>
            </w:r>
          </w:p>
        </w:tc>
      </w:tr>
      <w:tr w14:paraId="0E0B92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78" w:hRule="atLeast"/>
          <w:jc w:val="center"/>
        </w:trPr>
        <w:tc>
          <w:tcPr>
            <w:tcW w:w="474" w:type="pct"/>
            <w:vMerge w:val="continue"/>
            <w:tcBorders>
              <w:bottom w:val="single" w:color="auto" w:sz="4" w:space="0"/>
              <w:tl2br w:val="nil"/>
              <w:tr2bl w:val="nil"/>
            </w:tcBorders>
            <w:shd w:val="clear" w:color="auto" w:fill="auto"/>
            <w:vAlign w:val="center"/>
          </w:tcPr>
          <w:p w14:paraId="3BB94D0C">
            <w:pPr>
              <w:pStyle w:val="34"/>
              <w:rPr>
                <w:rFonts w:cs="Times New Roman"/>
                <w:color w:val="000000" w:themeColor="text1"/>
                <w:sz w:val="21"/>
                <w14:textFill>
                  <w14:solidFill>
                    <w14:schemeClr w14:val="tx1"/>
                  </w14:solidFill>
                </w14:textFill>
              </w:rPr>
            </w:pPr>
          </w:p>
        </w:tc>
        <w:tc>
          <w:tcPr>
            <w:tcW w:w="619" w:type="pct"/>
            <w:vMerge w:val="continue"/>
            <w:tcBorders>
              <w:bottom w:val="single" w:color="auto" w:sz="4" w:space="0"/>
              <w:right w:val="single" w:color="auto" w:sz="4" w:space="0"/>
              <w:tl2br w:val="nil"/>
              <w:tr2bl w:val="nil"/>
            </w:tcBorders>
            <w:shd w:val="clear" w:color="auto" w:fill="auto"/>
            <w:vAlign w:val="center"/>
          </w:tcPr>
          <w:p w14:paraId="4ECDA5F1">
            <w:pPr>
              <w:pStyle w:val="34"/>
              <w:rPr>
                <w:rFonts w:cs="Times New Roman"/>
                <w:color w:val="000000" w:themeColor="text1"/>
                <w:sz w:val="21"/>
                <w14:textFill>
                  <w14:solidFill>
                    <w14:schemeClr w14:val="tx1"/>
                  </w14:solidFill>
                </w14:textFill>
              </w:rPr>
            </w:pPr>
          </w:p>
        </w:tc>
        <w:tc>
          <w:tcPr>
            <w:tcW w:w="976" w:type="pct"/>
            <w:vMerge w:val="continue"/>
            <w:tcBorders>
              <w:left w:val="single" w:color="auto" w:sz="4" w:space="0"/>
              <w:tl2br w:val="nil"/>
              <w:tr2bl w:val="nil"/>
            </w:tcBorders>
            <w:shd w:val="clear" w:color="auto" w:fill="auto"/>
            <w:vAlign w:val="center"/>
          </w:tcPr>
          <w:p w14:paraId="4263ED8F">
            <w:pPr>
              <w:pStyle w:val="34"/>
              <w:rPr>
                <w:rFonts w:cs="Times New Roman"/>
                <w:color w:val="000000" w:themeColor="text1"/>
                <w:sz w:val="21"/>
                <w14:textFill>
                  <w14:solidFill>
                    <w14:schemeClr w14:val="tx1"/>
                  </w14:solidFill>
                </w14:textFill>
              </w:rPr>
            </w:pPr>
          </w:p>
        </w:tc>
        <w:tc>
          <w:tcPr>
            <w:tcW w:w="588" w:type="pct"/>
            <w:tcBorders>
              <w:tl2br w:val="nil"/>
              <w:tr2bl w:val="nil"/>
            </w:tcBorders>
            <w:shd w:val="clear" w:color="auto" w:fill="auto"/>
            <w:vAlign w:val="center"/>
          </w:tcPr>
          <w:p w14:paraId="0E9D6D14">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永久占地</w:t>
            </w:r>
          </w:p>
        </w:tc>
        <w:tc>
          <w:tcPr>
            <w:tcW w:w="487" w:type="pct"/>
            <w:tcBorders>
              <w:tl2br w:val="nil"/>
              <w:tr2bl w:val="nil"/>
            </w:tcBorders>
            <w:shd w:val="clear" w:color="auto" w:fill="auto"/>
            <w:vAlign w:val="center"/>
          </w:tcPr>
          <w:p w14:paraId="486E61D8">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临时占地</w:t>
            </w:r>
          </w:p>
        </w:tc>
        <w:tc>
          <w:tcPr>
            <w:tcW w:w="450" w:type="pct"/>
            <w:tcBorders>
              <w:tl2br w:val="nil"/>
              <w:tr2bl w:val="nil"/>
            </w:tcBorders>
            <w:shd w:val="clear" w:color="auto" w:fill="auto"/>
            <w:vAlign w:val="center"/>
          </w:tcPr>
          <w:p w14:paraId="4DAC838B">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合计</w:t>
            </w:r>
          </w:p>
        </w:tc>
        <w:tc>
          <w:tcPr>
            <w:tcW w:w="1402" w:type="pct"/>
            <w:vMerge w:val="continue"/>
            <w:tcBorders>
              <w:tl2br w:val="nil"/>
              <w:tr2bl w:val="nil"/>
            </w:tcBorders>
            <w:shd w:val="clear" w:color="auto" w:fill="auto"/>
            <w:vAlign w:val="center"/>
          </w:tcPr>
          <w:p w14:paraId="6E3F50CC">
            <w:pPr>
              <w:pStyle w:val="34"/>
              <w:rPr>
                <w:rFonts w:cs="Times New Roman"/>
                <w:color w:val="000000" w:themeColor="text1"/>
                <w:sz w:val="21"/>
                <w14:textFill>
                  <w14:solidFill>
                    <w14:schemeClr w14:val="tx1"/>
                  </w14:solidFill>
                </w14:textFill>
              </w:rPr>
            </w:pPr>
          </w:p>
        </w:tc>
      </w:tr>
      <w:tr w14:paraId="7F99A7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474" w:type="pct"/>
            <w:vMerge w:val="restart"/>
            <w:tcBorders>
              <w:top w:val="single" w:color="auto" w:sz="4" w:space="0"/>
              <w:tl2br w:val="nil"/>
              <w:tr2bl w:val="nil"/>
            </w:tcBorders>
            <w:shd w:val="clear" w:color="auto" w:fill="auto"/>
            <w:vAlign w:val="center"/>
          </w:tcPr>
          <w:p w14:paraId="6CF1C4BE">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绵阳高新区</w:t>
            </w:r>
          </w:p>
        </w:tc>
        <w:tc>
          <w:tcPr>
            <w:tcW w:w="619" w:type="pct"/>
            <w:tcBorders>
              <w:top w:val="single" w:color="auto" w:sz="4" w:space="0"/>
              <w:bottom w:val="single" w:color="auto" w:sz="4" w:space="0"/>
              <w:tl2br w:val="nil"/>
              <w:tr2bl w:val="nil"/>
            </w:tcBorders>
            <w:shd w:val="clear" w:color="auto" w:fill="auto"/>
            <w:vAlign w:val="center"/>
          </w:tcPr>
          <w:p w14:paraId="1215952D">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地下工程区</w:t>
            </w:r>
          </w:p>
        </w:tc>
        <w:tc>
          <w:tcPr>
            <w:tcW w:w="976" w:type="pct"/>
            <w:tcBorders>
              <w:tl2br w:val="nil"/>
              <w:tr2bl w:val="nil"/>
            </w:tcBorders>
            <w:shd w:val="clear" w:color="auto" w:fill="auto"/>
            <w:vAlign w:val="center"/>
          </w:tcPr>
          <w:p w14:paraId="6108A567">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地下建筑工程区</w:t>
            </w:r>
          </w:p>
        </w:tc>
        <w:tc>
          <w:tcPr>
            <w:tcW w:w="588" w:type="pct"/>
            <w:tcBorders>
              <w:tl2br w:val="nil"/>
              <w:tr2bl w:val="nil"/>
            </w:tcBorders>
            <w:shd w:val="clear" w:color="auto" w:fill="auto"/>
            <w:vAlign w:val="center"/>
          </w:tcPr>
          <w:p w14:paraId="23BE5A41">
            <w:pPr>
              <w:pStyle w:val="34"/>
              <w:rPr>
                <w:rFonts w:cs="Times New Roman"/>
                <w:color w:val="000000" w:themeColor="text1"/>
                <w:sz w:val="21"/>
                <w14:textFill>
                  <w14:solidFill>
                    <w14:schemeClr w14:val="tx1"/>
                  </w14:solidFill>
                </w14:textFill>
              </w:rPr>
            </w:pPr>
          </w:p>
        </w:tc>
        <w:tc>
          <w:tcPr>
            <w:tcW w:w="487" w:type="pct"/>
            <w:tcBorders>
              <w:tl2br w:val="nil"/>
              <w:tr2bl w:val="nil"/>
            </w:tcBorders>
            <w:shd w:val="clear" w:color="auto" w:fill="auto"/>
            <w:vAlign w:val="center"/>
          </w:tcPr>
          <w:p w14:paraId="5899306D">
            <w:pPr>
              <w:pStyle w:val="34"/>
              <w:rPr>
                <w:rFonts w:cs="Times New Roman"/>
                <w:color w:val="000000" w:themeColor="text1"/>
                <w:sz w:val="21"/>
                <w14:textFill>
                  <w14:solidFill>
                    <w14:schemeClr w14:val="tx1"/>
                  </w14:solidFill>
                </w14:textFill>
              </w:rPr>
            </w:pPr>
            <w:r>
              <w:rPr>
                <w:rFonts w:hint="eastAsia" w:cs="Times New Roman"/>
                <w:color w:val="000000" w:themeColor="text1"/>
                <w:spacing w:val="-1"/>
                <w:sz w:val="21"/>
                <w14:textFill>
                  <w14:solidFill>
                    <w14:schemeClr w14:val="tx1"/>
                  </w14:solidFill>
                </w14:textFill>
              </w:rPr>
              <w:t>0.44</w:t>
            </w:r>
            <w:r>
              <w:rPr>
                <w:rFonts w:cs="Times New Roman"/>
                <w:color w:val="000000" w:themeColor="text1"/>
                <w:spacing w:val="-1"/>
                <w:sz w:val="21"/>
                <w14:textFill>
                  <w14:solidFill>
                    <w14:schemeClr w14:val="tx1"/>
                  </w14:solidFill>
                </w14:textFill>
              </w:rPr>
              <w:t>*</w:t>
            </w:r>
          </w:p>
        </w:tc>
        <w:tc>
          <w:tcPr>
            <w:tcW w:w="450" w:type="pct"/>
            <w:tcBorders>
              <w:tl2br w:val="nil"/>
              <w:tr2bl w:val="nil"/>
            </w:tcBorders>
            <w:shd w:val="clear" w:color="auto" w:fill="auto"/>
            <w:vAlign w:val="center"/>
          </w:tcPr>
          <w:p w14:paraId="07E3A403">
            <w:pPr>
              <w:pStyle w:val="34"/>
              <w:rPr>
                <w:rFonts w:cs="Times New Roman"/>
                <w:color w:val="000000" w:themeColor="text1"/>
                <w:sz w:val="21"/>
                <w14:textFill>
                  <w14:solidFill>
                    <w14:schemeClr w14:val="tx1"/>
                  </w14:solidFill>
                </w14:textFill>
              </w:rPr>
            </w:pPr>
          </w:p>
        </w:tc>
        <w:tc>
          <w:tcPr>
            <w:tcW w:w="1402" w:type="pct"/>
            <w:tcBorders>
              <w:tl2br w:val="nil"/>
              <w:tr2bl w:val="nil"/>
            </w:tcBorders>
            <w:shd w:val="clear" w:color="auto" w:fill="auto"/>
            <w:vAlign w:val="center"/>
          </w:tcPr>
          <w:p w14:paraId="4317B578">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地下建筑占地包括在建、构筑物工程区范围内，不重复计算</w:t>
            </w:r>
          </w:p>
        </w:tc>
      </w:tr>
      <w:tr w14:paraId="3627F5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78" w:hRule="atLeast"/>
          <w:jc w:val="center"/>
        </w:trPr>
        <w:tc>
          <w:tcPr>
            <w:tcW w:w="474" w:type="pct"/>
            <w:vMerge w:val="continue"/>
            <w:tcBorders>
              <w:tl2br w:val="nil"/>
              <w:tr2bl w:val="nil"/>
            </w:tcBorders>
            <w:shd w:val="clear" w:color="auto" w:fill="auto"/>
            <w:vAlign w:val="center"/>
          </w:tcPr>
          <w:p w14:paraId="44ADF528">
            <w:pPr>
              <w:pStyle w:val="34"/>
              <w:rPr>
                <w:rFonts w:cs="Times New Roman"/>
                <w:color w:val="000000" w:themeColor="text1"/>
                <w:sz w:val="21"/>
                <w14:textFill>
                  <w14:solidFill>
                    <w14:schemeClr w14:val="tx1"/>
                  </w14:solidFill>
                </w14:textFill>
              </w:rPr>
            </w:pPr>
          </w:p>
        </w:tc>
        <w:tc>
          <w:tcPr>
            <w:tcW w:w="619" w:type="pct"/>
            <w:vMerge w:val="restart"/>
            <w:tcBorders>
              <w:top w:val="single" w:color="auto" w:sz="4" w:space="0"/>
              <w:tl2br w:val="nil"/>
              <w:tr2bl w:val="nil"/>
            </w:tcBorders>
            <w:shd w:val="clear" w:color="auto" w:fill="auto"/>
            <w:vAlign w:val="center"/>
          </w:tcPr>
          <w:p w14:paraId="60A2DAB8">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地上工程区</w:t>
            </w:r>
          </w:p>
        </w:tc>
        <w:tc>
          <w:tcPr>
            <w:tcW w:w="976" w:type="pct"/>
            <w:tcBorders>
              <w:tl2br w:val="nil"/>
              <w:tr2bl w:val="nil"/>
            </w:tcBorders>
            <w:shd w:val="clear" w:color="auto" w:fill="auto"/>
            <w:vAlign w:val="center"/>
          </w:tcPr>
          <w:p w14:paraId="62ADA0DB">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建、构筑物工程区</w:t>
            </w:r>
          </w:p>
        </w:tc>
        <w:tc>
          <w:tcPr>
            <w:tcW w:w="588" w:type="pct"/>
            <w:tcBorders>
              <w:tl2br w:val="nil"/>
              <w:tr2bl w:val="nil"/>
            </w:tcBorders>
            <w:shd w:val="clear" w:color="auto" w:fill="auto"/>
            <w:vAlign w:val="center"/>
          </w:tcPr>
          <w:p w14:paraId="3A00CD7F">
            <w:pPr>
              <w:pStyle w:val="34"/>
              <w:rPr>
                <w:rFonts w:cs="Times New Roman"/>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0.45</w:t>
            </w:r>
          </w:p>
        </w:tc>
        <w:tc>
          <w:tcPr>
            <w:tcW w:w="487" w:type="pct"/>
            <w:tcBorders>
              <w:tl2br w:val="nil"/>
              <w:tr2bl w:val="nil"/>
            </w:tcBorders>
            <w:shd w:val="clear" w:color="auto" w:fill="auto"/>
            <w:vAlign w:val="center"/>
          </w:tcPr>
          <w:p w14:paraId="4BD8561B">
            <w:pPr>
              <w:pStyle w:val="34"/>
              <w:rPr>
                <w:rFonts w:cs="Times New Roman"/>
                <w:color w:val="000000" w:themeColor="text1"/>
                <w:sz w:val="21"/>
                <w14:textFill>
                  <w14:solidFill>
                    <w14:schemeClr w14:val="tx1"/>
                  </w14:solidFill>
                </w14:textFill>
              </w:rPr>
            </w:pPr>
          </w:p>
        </w:tc>
        <w:tc>
          <w:tcPr>
            <w:tcW w:w="450" w:type="pct"/>
            <w:tcBorders>
              <w:tl2br w:val="nil"/>
              <w:tr2bl w:val="nil"/>
            </w:tcBorders>
            <w:shd w:val="clear" w:color="auto" w:fill="auto"/>
            <w:vAlign w:val="center"/>
          </w:tcPr>
          <w:p w14:paraId="456C22E6">
            <w:pPr>
              <w:pStyle w:val="34"/>
              <w:rPr>
                <w:rFonts w:cs="Times New Roman"/>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0.45</w:t>
            </w:r>
          </w:p>
        </w:tc>
        <w:tc>
          <w:tcPr>
            <w:tcW w:w="1402" w:type="pct"/>
            <w:tcBorders>
              <w:tl2br w:val="nil"/>
              <w:tr2bl w:val="nil"/>
            </w:tcBorders>
            <w:shd w:val="clear" w:color="auto" w:fill="auto"/>
            <w:vAlign w:val="center"/>
          </w:tcPr>
          <w:p w14:paraId="6083AA45">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生产厂房</w:t>
            </w:r>
            <w:r>
              <w:rPr>
                <w:rFonts w:hint="eastAsia" w:cs="Times New Roman"/>
                <w:color w:val="000000" w:themeColor="text1"/>
                <w:sz w:val="21"/>
                <w14:textFill>
                  <w14:solidFill>
                    <w14:schemeClr w14:val="tx1"/>
                  </w14:solidFill>
                </w14:textFill>
              </w:rPr>
              <w:t>及配套用房</w:t>
            </w:r>
          </w:p>
        </w:tc>
      </w:tr>
      <w:tr w14:paraId="486301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78" w:hRule="atLeast"/>
          <w:jc w:val="center"/>
        </w:trPr>
        <w:tc>
          <w:tcPr>
            <w:tcW w:w="474" w:type="pct"/>
            <w:vMerge w:val="continue"/>
            <w:tcBorders>
              <w:tl2br w:val="nil"/>
              <w:tr2bl w:val="nil"/>
            </w:tcBorders>
            <w:shd w:val="clear" w:color="auto" w:fill="auto"/>
            <w:vAlign w:val="center"/>
          </w:tcPr>
          <w:p w14:paraId="35FA7BD1">
            <w:pPr>
              <w:pStyle w:val="34"/>
              <w:rPr>
                <w:rFonts w:cs="Times New Roman"/>
                <w:color w:val="000000" w:themeColor="text1"/>
                <w:sz w:val="21"/>
                <w14:textFill>
                  <w14:solidFill>
                    <w14:schemeClr w14:val="tx1"/>
                  </w14:solidFill>
                </w14:textFill>
              </w:rPr>
            </w:pPr>
          </w:p>
        </w:tc>
        <w:tc>
          <w:tcPr>
            <w:tcW w:w="619" w:type="pct"/>
            <w:vMerge w:val="continue"/>
            <w:tcBorders>
              <w:tl2br w:val="nil"/>
              <w:tr2bl w:val="nil"/>
            </w:tcBorders>
            <w:shd w:val="clear" w:color="auto" w:fill="auto"/>
            <w:vAlign w:val="center"/>
          </w:tcPr>
          <w:p w14:paraId="656CC988">
            <w:pPr>
              <w:pStyle w:val="34"/>
              <w:rPr>
                <w:rFonts w:cs="Times New Roman"/>
                <w:color w:val="000000" w:themeColor="text1"/>
                <w:sz w:val="21"/>
                <w14:textFill>
                  <w14:solidFill>
                    <w14:schemeClr w14:val="tx1"/>
                  </w14:solidFill>
                </w14:textFill>
              </w:rPr>
            </w:pPr>
          </w:p>
        </w:tc>
        <w:tc>
          <w:tcPr>
            <w:tcW w:w="976" w:type="pct"/>
            <w:tcBorders>
              <w:tl2br w:val="nil"/>
              <w:tr2bl w:val="nil"/>
            </w:tcBorders>
            <w:shd w:val="clear" w:color="auto" w:fill="auto"/>
            <w:vAlign w:val="center"/>
          </w:tcPr>
          <w:p w14:paraId="197C409F">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场内道路及硬化工程区</w:t>
            </w:r>
          </w:p>
        </w:tc>
        <w:tc>
          <w:tcPr>
            <w:tcW w:w="588" w:type="pct"/>
            <w:tcBorders>
              <w:tl2br w:val="nil"/>
              <w:tr2bl w:val="nil"/>
            </w:tcBorders>
            <w:shd w:val="clear" w:color="auto" w:fill="auto"/>
            <w:vAlign w:val="center"/>
          </w:tcPr>
          <w:p w14:paraId="4EC7E1E9">
            <w:pPr>
              <w:pStyle w:val="34"/>
              <w:rPr>
                <w:rFonts w:cs="Times New Roman"/>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0.38</w:t>
            </w:r>
          </w:p>
        </w:tc>
        <w:tc>
          <w:tcPr>
            <w:tcW w:w="487" w:type="pct"/>
            <w:tcBorders>
              <w:tl2br w:val="nil"/>
              <w:tr2bl w:val="nil"/>
            </w:tcBorders>
            <w:shd w:val="clear" w:color="auto" w:fill="auto"/>
            <w:vAlign w:val="center"/>
          </w:tcPr>
          <w:p w14:paraId="653292CA">
            <w:pPr>
              <w:pStyle w:val="34"/>
              <w:rPr>
                <w:rFonts w:cs="Times New Roman"/>
                <w:color w:val="000000" w:themeColor="text1"/>
                <w:sz w:val="21"/>
                <w14:textFill>
                  <w14:solidFill>
                    <w14:schemeClr w14:val="tx1"/>
                  </w14:solidFill>
                </w14:textFill>
              </w:rPr>
            </w:pPr>
          </w:p>
        </w:tc>
        <w:tc>
          <w:tcPr>
            <w:tcW w:w="823" w:type="dxa"/>
            <w:tcBorders>
              <w:tl2br w:val="nil"/>
              <w:tr2bl w:val="nil"/>
            </w:tcBorders>
            <w:shd w:val="clear" w:color="auto" w:fill="auto"/>
            <w:vAlign w:val="center"/>
          </w:tcPr>
          <w:p w14:paraId="603645D8">
            <w:pPr>
              <w:pStyle w:val="34"/>
              <w:rPr>
                <w:rFonts w:cs="Times New Roman"/>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0.38</w:t>
            </w:r>
          </w:p>
        </w:tc>
        <w:tc>
          <w:tcPr>
            <w:tcW w:w="1402" w:type="pct"/>
            <w:tcBorders>
              <w:tl2br w:val="nil"/>
              <w:tr2bl w:val="nil"/>
            </w:tcBorders>
            <w:shd w:val="clear" w:color="auto" w:fill="auto"/>
            <w:vAlign w:val="center"/>
          </w:tcPr>
          <w:p w14:paraId="1D224FFB">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场内硬化道路及其他硬化区</w:t>
            </w:r>
          </w:p>
        </w:tc>
      </w:tr>
      <w:tr w14:paraId="73721E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78" w:hRule="atLeast"/>
          <w:jc w:val="center"/>
        </w:trPr>
        <w:tc>
          <w:tcPr>
            <w:tcW w:w="474" w:type="pct"/>
            <w:vMerge w:val="continue"/>
            <w:tcBorders>
              <w:tl2br w:val="nil"/>
              <w:tr2bl w:val="nil"/>
            </w:tcBorders>
            <w:shd w:val="clear" w:color="auto" w:fill="auto"/>
            <w:vAlign w:val="center"/>
          </w:tcPr>
          <w:p w14:paraId="194B3F2C">
            <w:pPr>
              <w:pStyle w:val="34"/>
              <w:rPr>
                <w:rFonts w:cs="Times New Roman"/>
                <w:color w:val="000000" w:themeColor="text1"/>
                <w:sz w:val="21"/>
                <w14:textFill>
                  <w14:solidFill>
                    <w14:schemeClr w14:val="tx1"/>
                  </w14:solidFill>
                </w14:textFill>
              </w:rPr>
            </w:pPr>
          </w:p>
        </w:tc>
        <w:tc>
          <w:tcPr>
            <w:tcW w:w="619" w:type="pct"/>
            <w:vMerge w:val="continue"/>
            <w:tcBorders>
              <w:tl2br w:val="nil"/>
              <w:tr2bl w:val="nil"/>
            </w:tcBorders>
            <w:shd w:val="clear" w:color="auto" w:fill="auto"/>
            <w:vAlign w:val="center"/>
          </w:tcPr>
          <w:p w14:paraId="76C34430">
            <w:pPr>
              <w:pStyle w:val="34"/>
              <w:rPr>
                <w:rFonts w:cs="Times New Roman"/>
                <w:color w:val="000000" w:themeColor="text1"/>
                <w:sz w:val="21"/>
                <w14:textFill>
                  <w14:solidFill>
                    <w14:schemeClr w14:val="tx1"/>
                  </w14:solidFill>
                </w14:textFill>
              </w:rPr>
            </w:pPr>
          </w:p>
        </w:tc>
        <w:tc>
          <w:tcPr>
            <w:tcW w:w="976" w:type="pct"/>
            <w:tcBorders>
              <w:tl2br w:val="nil"/>
              <w:tr2bl w:val="nil"/>
            </w:tcBorders>
            <w:shd w:val="clear" w:color="auto" w:fill="auto"/>
            <w:vAlign w:val="center"/>
          </w:tcPr>
          <w:p w14:paraId="3C1BD109">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景观绿化工程区</w:t>
            </w:r>
          </w:p>
        </w:tc>
        <w:tc>
          <w:tcPr>
            <w:tcW w:w="588" w:type="pct"/>
            <w:tcBorders>
              <w:tl2br w:val="nil"/>
              <w:tr2bl w:val="nil"/>
            </w:tcBorders>
            <w:shd w:val="clear" w:color="auto" w:fill="auto"/>
            <w:vAlign w:val="center"/>
          </w:tcPr>
          <w:p w14:paraId="122F19D1">
            <w:pPr>
              <w:pStyle w:val="34"/>
              <w:rPr>
                <w:rFonts w:cs="Times New Roman"/>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0.12</w:t>
            </w:r>
          </w:p>
        </w:tc>
        <w:tc>
          <w:tcPr>
            <w:tcW w:w="487" w:type="pct"/>
            <w:tcBorders>
              <w:tl2br w:val="nil"/>
              <w:tr2bl w:val="nil"/>
            </w:tcBorders>
            <w:shd w:val="clear" w:color="auto" w:fill="auto"/>
            <w:vAlign w:val="center"/>
          </w:tcPr>
          <w:p w14:paraId="33FE2EB5">
            <w:pPr>
              <w:pStyle w:val="34"/>
              <w:rPr>
                <w:rFonts w:cs="Times New Roman"/>
                <w:color w:val="000000" w:themeColor="text1"/>
                <w:sz w:val="21"/>
                <w14:textFill>
                  <w14:solidFill>
                    <w14:schemeClr w14:val="tx1"/>
                  </w14:solidFill>
                </w14:textFill>
              </w:rPr>
            </w:pPr>
          </w:p>
        </w:tc>
        <w:tc>
          <w:tcPr>
            <w:tcW w:w="823" w:type="dxa"/>
            <w:tcBorders>
              <w:tl2br w:val="nil"/>
              <w:tr2bl w:val="nil"/>
            </w:tcBorders>
            <w:shd w:val="clear" w:color="auto" w:fill="auto"/>
            <w:vAlign w:val="center"/>
          </w:tcPr>
          <w:p w14:paraId="3952B00B">
            <w:pPr>
              <w:pStyle w:val="34"/>
              <w:rPr>
                <w:rFonts w:cs="Times New Roman"/>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0.12</w:t>
            </w:r>
          </w:p>
        </w:tc>
        <w:tc>
          <w:tcPr>
            <w:tcW w:w="1402" w:type="pct"/>
            <w:tcBorders>
              <w:tl2br w:val="nil"/>
              <w:tr2bl w:val="nil"/>
            </w:tcBorders>
            <w:shd w:val="clear" w:color="auto" w:fill="auto"/>
            <w:vAlign w:val="center"/>
          </w:tcPr>
          <w:p w14:paraId="34386B1E">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建筑物周边绿化</w:t>
            </w:r>
          </w:p>
        </w:tc>
      </w:tr>
      <w:tr w14:paraId="47DC79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378" w:hRule="atLeast"/>
          <w:jc w:val="center"/>
        </w:trPr>
        <w:tc>
          <w:tcPr>
            <w:tcW w:w="474" w:type="pct"/>
            <w:vMerge w:val="continue"/>
            <w:tcBorders>
              <w:tl2br w:val="nil"/>
              <w:tr2bl w:val="nil"/>
            </w:tcBorders>
            <w:shd w:val="clear" w:color="auto" w:fill="auto"/>
            <w:vAlign w:val="center"/>
          </w:tcPr>
          <w:p w14:paraId="7C0B4AC8">
            <w:pPr>
              <w:pStyle w:val="34"/>
              <w:rPr>
                <w:rFonts w:cs="Times New Roman"/>
                <w:color w:val="000000" w:themeColor="text1"/>
                <w:sz w:val="21"/>
                <w14:textFill>
                  <w14:solidFill>
                    <w14:schemeClr w14:val="tx1"/>
                  </w14:solidFill>
                </w14:textFill>
              </w:rPr>
            </w:pPr>
          </w:p>
        </w:tc>
        <w:tc>
          <w:tcPr>
            <w:tcW w:w="1596" w:type="pct"/>
            <w:gridSpan w:val="2"/>
            <w:tcBorders>
              <w:top w:val="single" w:color="auto" w:sz="4" w:space="0"/>
              <w:tl2br w:val="nil"/>
              <w:tr2bl w:val="nil"/>
            </w:tcBorders>
            <w:shd w:val="clear" w:color="auto" w:fill="auto"/>
            <w:vAlign w:val="center"/>
          </w:tcPr>
          <w:p w14:paraId="5840DE27">
            <w:pPr>
              <w:pStyle w:val="34"/>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t>合计</w:t>
            </w:r>
          </w:p>
        </w:tc>
        <w:tc>
          <w:tcPr>
            <w:tcW w:w="588" w:type="pct"/>
            <w:tcBorders>
              <w:tl2br w:val="nil"/>
              <w:tr2bl w:val="nil"/>
            </w:tcBorders>
            <w:shd w:val="clear" w:color="auto" w:fill="auto"/>
            <w:vAlign w:val="center"/>
          </w:tcPr>
          <w:p w14:paraId="4B9775FA">
            <w:pPr>
              <w:pStyle w:val="34"/>
              <w:rPr>
                <w:rFonts w:cs="Times New Roman"/>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0.95</w:t>
            </w:r>
          </w:p>
        </w:tc>
        <w:tc>
          <w:tcPr>
            <w:tcW w:w="487" w:type="pct"/>
            <w:tcBorders>
              <w:tl2br w:val="nil"/>
              <w:tr2bl w:val="nil"/>
            </w:tcBorders>
            <w:shd w:val="clear" w:color="auto" w:fill="auto"/>
            <w:vAlign w:val="center"/>
          </w:tcPr>
          <w:p w14:paraId="0C95E2AC">
            <w:pPr>
              <w:pStyle w:val="34"/>
              <w:ind w:firstLine="210" w:firstLineChars="100"/>
              <w:jc w:val="both"/>
              <w:rPr>
                <w:rFonts w:cs="Times New Roman"/>
                <w:color w:val="000000" w:themeColor="text1"/>
                <w:sz w:val="21"/>
                <w14:textFill>
                  <w14:solidFill>
                    <w14:schemeClr w14:val="tx1"/>
                  </w14:solidFill>
                </w14:textFill>
              </w:rPr>
            </w:pPr>
          </w:p>
        </w:tc>
        <w:tc>
          <w:tcPr>
            <w:tcW w:w="450" w:type="pct"/>
            <w:tcBorders>
              <w:tl2br w:val="nil"/>
              <w:tr2bl w:val="nil"/>
            </w:tcBorders>
            <w:shd w:val="clear" w:color="auto" w:fill="auto"/>
            <w:vAlign w:val="center"/>
          </w:tcPr>
          <w:p w14:paraId="6D2594B5">
            <w:pPr>
              <w:pStyle w:val="34"/>
              <w:rPr>
                <w:rFonts w:cs="Times New Roman"/>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0.95</w:t>
            </w:r>
          </w:p>
        </w:tc>
        <w:tc>
          <w:tcPr>
            <w:tcW w:w="1402" w:type="pct"/>
            <w:tcBorders>
              <w:tl2br w:val="nil"/>
              <w:tr2bl w:val="nil"/>
            </w:tcBorders>
            <w:shd w:val="clear" w:color="auto" w:fill="auto"/>
            <w:vAlign w:val="center"/>
          </w:tcPr>
          <w:p w14:paraId="55C6D4BF">
            <w:pPr>
              <w:pStyle w:val="34"/>
              <w:rPr>
                <w:rFonts w:cs="Times New Roman"/>
                <w:color w:val="000000" w:themeColor="text1"/>
                <w:sz w:val="21"/>
                <w14:textFill>
                  <w14:solidFill>
                    <w14:schemeClr w14:val="tx1"/>
                  </w14:solidFill>
                </w14:textFill>
              </w:rPr>
            </w:pPr>
          </w:p>
        </w:tc>
      </w:tr>
    </w:tbl>
    <w:p w14:paraId="703E716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备注： *表示该区域占地位于主体工程占地范围内，不重复计算其面积。</w:t>
      </w:r>
    </w:p>
    <w:bookmarkEnd w:id="37"/>
    <w:p w14:paraId="26927E3A">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表1.4-2                 水土流失防治责任范围坐标表</w:t>
      </w:r>
    </w:p>
    <w:tbl>
      <w:tblPr>
        <w:tblStyle w:val="26"/>
        <w:tblW w:w="66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8"/>
        <w:gridCol w:w="1700"/>
        <w:gridCol w:w="1778"/>
        <w:gridCol w:w="1622"/>
      </w:tblGrid>
      <w:tr w14:paraId="78F7A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568" w:type="dxa"/>
            <w:vMerge w:val="restart"/>
            <w:shd w:val="clear" w:color="auto" w:fill="auto"/>
            <w:noWrap/>
            <w:vAlign w:val="center"/>
          </w:tcPr>
          <w:p w14:paraId="5D0134E2">
            <w:pPr>
              <w:widowControl/>
              <w:adjustRightInd/>
              <w:snapToGrid/>
              <w:spacing w:line="240" w:lineRule="auto"/>
              <w:ind w:firstLine="0" w:firstLineChars="0"/>
              <w:jc w:val="center"/>
              <w:rPr>
                <w:rFonts w:hint="eastAsia" w:ascii="仿宋_GB2312" w:hAnsi="宋体" w:cs="宋体"/>
                <w:b/>
                <w:bCs/>
                <w:color w:val="000000" w:themeColor="text1"/>
                <w:kern w:val="0"/>
                <w14:textFill>
                  <w14:solidFill>
                    <w14:schemeClr w14:val="tx1"/>
                  </w14:solidFill>
                </w14:textFill>
              </w:rPr>
            </w:pPr>
            <w:r>
              <w:rPr>
                <w:rFonts w:hint="eastAsia" w:ascii="仿宋_GB2312" w:hAnsi="宋体" w:cs="宋体"/>
                <w:b/>
                <w:bCs/>
                <w:color w:val="000000" w:themeColor="text1"/>
                <w:kern w:val="0"/>
                <w14:textFill>
                  <w14:solidFill>
                    <w14:schemeClr w14:val="tx1"/>
                  </w14:solidFill>
                </w14:textFill>
              </w:rPr>
              <w:t>序 号</w:t>
            </w:r>
          </w:p>
        </w:tc>
        <w:tc>
          <w:tcPr>
            <w:tcW w:w="1700" w:type="dxa"/>
            <w:vMerge w:val="restart"/>
            <w:shd w:val="clear" w:color="auto" w:fill="auto"/>
            <w:noWrap/>
            <w:vAlign w:val="center"/>
          </w:tcPr>
          <w:p w14:paraId="1256BCB0">
            <w:pPr>
              <w:widowControl/>
              <w:adjustRightInd/>
              <w:snapToGrid/>
              <w:spacing w:line="240" w:lineRule="auto"/>
              <w:ind w:firstLine="0" w:firstLineChars="0"/>
              <w:jc w:val="center"/>
              <w:rPr>
                <w:rFonts w:hint="eastAsia" w:ascii="仿宋_GB2312" w:hAnsi="宋体" w:cs="宋体"/>
                <w:b/>
                <w:bCs/>
                <w:color w:val="000000" w:themeColor="text1"/>
                <w:kern w:val="0"/>
                <w14:textFill>
                  <w14:solidFill>
                    <w14:schemeClr w14:val="tx1"/>
                  </w14:solidFill>
                </w14:textFill>
              </w:rPr>
            </w:pPr>
            <w:r>
              <w:rPr>
                <w:rFonts w:hint="eastAsia" w:ascii="仿宋_GB2312" w:hAnsi="宋体" w:cs="宋体"/>
                <w:b/>
                <w:bCs/>
                <w:color w:val="000000" w:themeColor="text1"/>
                <w:kern w:val="0"/>
                <w14:textFill>
                  <w14:solidFill>
                    <w14:schemeClr w14:val="tx1"/>
                  </w14:solidFill>
                </w14:textFill>
              </w:rPr>
              <w:t>点 号</w:t>
            </w:r>
          </w:p>
        </w:tc>
        <w:tc>
          <w:tcPr>
            <w:tcW w:w="3400" w:type="dxa"/>
            <w:gridSpan w:val="2"/>
            <w:shd w:val="clear" w:color="auto" w:fill="auto"/>
            <w:noWrap/>
            <w:vAlign w:val="center"/>
          </w:tcPr>
          <w:p w14:paraId="249165B6">
            <w:pPr>
              <w:widowControl/>
              <w:adjustRightInd/>
              <w:snapToGrid/>
              <w:spacing w:line="240" w:lineRule="auto"/>
              <w:ind w:firstLine="0" w:firstLineChars="0"/>
              <w:jc w:val="center"/>
              <w:rPr>
                <w:rFonts w:hint="eastAsia" w:ascii="仿宋_GB2312" w:hAnsi="宋体" w:cs="宋体"/>
                <w:b/>
                <w:bCs/>
                <w:color w:val="000000" w:themeColor="text1"/>
                <w:kern w:val="0"/>
                <w14:textFill>
                  <w14:solidFill>
                    <w14:schemeClr w14:val="tx1"/>
                  </w14:solidFill>
                </w14:textFill>
              </w:rPr>
            </w:pPr>
            <w:r>
              <w:rPr>
                <w:rFonts w:hint="eastAsia" w:ascii="仿宋_GB2312" w:hAnsi="宋体" w:cs="宋体"/>
                <w:b/>
                <w:bCs/>
                <w:color w:val="000000" w:themeColor="text1"/>
                <w:kern w:val="0"/>
                <w14:textFill>
                  <w14:solidFill>
                    <w14:schemeClr w14:val="tx1"/>
                  </w14:solidFill>
                </w14:textFill>
              </w:rPr>
              <w:t>坐 标</w:t>
            </w:r>
          </w:p>
        </w:tc>
      </w:tr>
      <w:tr w14:paraId="4BB8D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568" w:type="dxa"/>
            <w:vMerge w:val="continue"/>
            <w:vAlign w:val="center"/>
          </w:tcPr>
          <w:p w14:paraId="509A77EA">
            <w:pPr>
              <w:widowControl/>
              <w:adjustRightInd/>
              <w:snapToGrid/>
              <w:spacing w:line="240" w:lineRule="auto"/>
              <w:ind w:firstLine="0" w:firstLineChars="0"/>
              <w:jc w:val="left"/>
              <w:rPr>
                <w:rFonts w:hint="eastAsia" w:ascii="仿宋_GB2312" w:hAnsi="宋体" w:cs="宋体"/>
                <w:b/>
                <w:bCs/>
                <w:color w:val="000000" w:themeColor="text1"/>
                <w:kern w:val="0"/>
                <w14:textFill>
                  <w14:solidFill>
                    <w14:schemeClr w14:val="tx1"/>
                  </w14:solidFill>
                </w14:textFill>
              </w:rPr>
            </w:pPr>
          </w:p>
        </w:tc>
        <w:tc>
          <w:tcPr>
            <w:tcW w:w="1700" w:type="dxa"/>
            <w:vMerge w:val="continue"/>
            <w:vAlign w:val="center"/>
          </w:tcPr>
          <w:p w14:paraId="50F739C7">
            <w:pPr>
              <w:widowControl/>
              <w:adjustRightInd/>
              <w:snapToGrid/>
              <w:spacing w:line="240" w:lineRule="auto"/>
              <w:ind w:firstLine="0" w:firstLineChars="0"/>
              <w:jc w:val="left"/>
              <w:rPr>
                <w:rFonts w:hint="eastAsia" w:ascii="仿宋_GB2312" w:hAnsi="宋体" w:cs="宋体"/>
                <w:b/>
                <w:bCs/>
                <w:color w:val="000000" w:themeColor="text1"/>
                <w:kern w:val="0"/>
                <w14:textFill>
                  <w14:solidFill>
                    <w14:schemeClr w14:val="tx1"/>
                  </w14:solidFill>
                </w14:textFill>
              </w:rPr>
            </w:pPr>
          </w:p>
        </w:tc>
        <w:tc>
          <w:tcPr>
            <w:tcW w:w="1778" w:type="dxa"/>
            <w:shd w:val="clear" w:color="auto" w:fill="auto"/>
            <w:noWrap/>
            <w:vAlign w:val="center"/>
          </w:tcPr>
          <w:p w14:paraId="3770651B">
            <w:pPr>
              <w:widowControl/>
              <w:adjustRightInd/>
              <w:snapToGrid/>
              <w:spacing w:line="240" w:lineRule="auto"/>
              <w:ind w:firstLine="0" w:firstLineChars="0"/>
              <w:jc w:val="center"/>
              <w:rPr>
                <w:rFonts w:hint="eastAsia" w:ascii="仿宋_GB2312" w:hAnsi="宋体" w:cs="宋体"/>
                <w:b/>
                <w:bCs/>
                <w:color w:val="000000" w:themeColor="text1"/>
                <w:kern w:val="0"/>
                <w14:textFill>
                  <w14:solidFill>
                    <w14:schemeClr w14:val="tx1"/>
                  </w14:solidFill>
                </w14:textFill>
              </w:rPr>
            </w:pPr>
            <w:r>
              <w:rPr>
                <w:rFonts w:hint="eastAsia" w:ascii="仿宋_GB2312" w:hAnsi="宋体" w:cs="宋体"/>
                <w:b/>
                <w:bCs/>
                <w:color w:val="000000" w:themeColor="text1"/>
                <w:kern w:val="0"/>
                <w14:textFill>
                  <w14:solidFill>
                    <w14:schemeClr w14:val="tx1"/>
                  </w14:solidFill>
                </w14:textFill>
              </w:rPr>
              <w:t>x(m)</w:t>
            </w:r>
          </w:p>
        </w:tc>
        <w:tc>
          <w:tcPr>
            <w:tcW w:w="1622" w:type="dxa"/>
            <w:shd w:val="clear" w:color="auto" w:fill="auto"/>
            <w:noWrap/>
            <w:vAlign w:val="center"/>
          </w:tcPr>
          <w:p w14:paraId="6DE3802B">
            <w:pPr>
              <w:widowControl/>
              <w:adjustRightInd/>
              <w:snapToGrid/>
              <w:spacing w:line="240" w:lineRule="auto"/>
              <w:ind w:firstLine="0" w:firstLineChars="0"/>
              <w:jc w:val="center"/>
              <w:rPr>
                <w:rFonts w:hint="eastAsia" w:ascii="仿宋_GB2312" w:hAnsi="宋体" w:cs="宋体"/>
                <w:b/>
                <w:bCs/>
                <w:color w:val="000000" w:themeColor="text1"/>
                <w:kern w:val="0"/>
                <w14:textFill>
                  <w14:solidFill>
                    <w14:schemeClr w14:val="tx1"/>
                  </w14:solidFill>
                </w14:textFill>
              </w:rPr>
            </w:pPr>
            <w:r>
              <w:rPr>
                <w:rFonts w:hint="eastAsia" w:ascii="仿宋_GB2312" w:hAnsi="宋体" w:cs="宋体"/>
                <w:b/>
                <w:bCs/>
                <w:color w:val="000000" w:themeColor="text1"/>
                <w:kern w:val="0"/>
                <w14:textFill>
                  <w14:solidFill>
                    <w14:schemeClr w14:val="tx1"/>
                  </w14:solidFill>
                </w14:textFill>
              </w:rPr>
              <w:t>y(m)</w:t>
            </w:r>
          </w:p>
        </w:tc>
      </w:tr>
      <w:tr w14:paraId="2EA21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exact"/>
          <w:jc w:val="center"/>
        </w:trPr>
        <w:tc>
          <w:tcPr>
            <w:tcW w:w="1568" w:type="dxa"/>
            <w:vMerge w:val="restart"/>
            <w:shd w:val="clear" w:color="auto" w:fill="auto"/>
            <w:noWrap/>
            <w:vAlign w:val="center"/>
          </w:tcPr>
          <w:p w14:paraId="0D144C2A">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1</w:t>
            </w:r>
          </w:p>
        </w:tc>
        <w:tc>
          <w:tcPr>
            <w:tcW w:w="1700" w:type="dxa"/>
            <w:vMerge w:val="restart"/>
            <w:shd w:val="clear" w:color="auto" w:fill="auto"/>
            <w:noWrap/>
            <w:vAlign w:val="center"/>
          </w:tcPr>
          <w:p w14:paraId="5EBA9FC1">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J1</w:t>
            </w:r>
          </w:p>
        </w:tc>
        <w:tc>
          <w:tcPr>
            <w:tcW w:w="1778" w:type="dxa"/>
            <w:vMerge w:val="restart"/>
            <w:shd w:val="clear" w:color="auto" w:fill="auto"/>
            <w:noWrap/>
            <w:vAlign w:val="center"/>
          </w:tcPr>
          <w:p w14:paraId="388F874E">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3483209.277</w:t>
            </w:r>
          </w:p>
        </w:tc>
        <w:tc>
          <w:tcPr>
            <w:tcW w:w="1622" w:type="dxa"/>
            <w:vMerge w:val="restart"/>
            <w:shd w:val="clear" w:color="auto" w:fill="auto"/>
            <w:noWrap/>
            <w:vAlign w:val="center"/>
          </w:tcPr>
          <w:p w14:paraId="75468D28">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461228.505</w:t>
            </w:r>
          </w:p>
        </w:tc>
      </w:tr>
      <w:tr w14:paraId="6A449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exact"/>
          <w:jc w:val="center"/>
        </w:trPr>
        <w:tc>
          <w:tcPr>
            <w:tcW w:w="1568" w:type="dxa"/>
            <w:vMerge w:val="continue"/>
            <w:vAlign w:val="center"/>
          </w:tcPr>
          <w:p w14:paraId="1C86A3FB">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00" w:type="dxa"/>
            <w:vMerge w:val="continue"/>
            <w:vAlign w:val="center"/>
          </w:tcPr>
          <w:p w14:paraId="744DA7A7">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78" w:type="dxa"/>
            <w:vMerge w:val="continue"/>
            <w:vAlign w:val="center"/>
          </w:tcPr>
          <w:p w14:paraId="622598D8">
            <w:pPr>
              <w:widowControl/>
              <w:adjustRightInd/>
              <w:snapToGrid/>
              <w:spacing w:line="240" w:lineRule="auto"/>
              <w:ind w:firstLine="0" w:firstLineChars="0"/>
              <w:jc w:val="left"/>
              <w:rPr>
                <w:rFonts w:cs="Times New Roman"/>
                <w:color w:val="000000" w:themeColor="text1"/>
                <w:kern w:val="0"/>
                <w:sz w:val="18"/>
                <w:szCs w:val="18"/>
                <w14:textFill>
                  <w14:solidFill>
                    <w14:schemeClr w14:val="tx1"/>
                  </w14:solidFill>
                </w14:textFill>
              </w:rPr>
            </w:pPr>
          </w:p>
        </w:tc>
        <w:tc>
          <w:tcPr>
            <w:tcW w:w="1622" w:type="dxa"/>
            <w:vMerge w:val="continue"/>
            <w:vAlign w:val="center"/>
          </w:tcPr>
          <w:p w14:paraId="576574F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r>
      <w:tr w14:paraId="3C0CB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exact"/>
          <w:jc w:val="center"/>
        </w:trPr>
        <w:tc>
          <w:tcPr>
            <w:tcW w:w="1568" w:type="dxa"/>
            <w:vMerge w:val="restart"/>
            <w:shd w:val="clear" w:color="auto" w:fill="auto"/>
            <w:noWrap/>
            <w:vAlign w:val="center"/>
          </w:tcPr>
          <w:p w14:paraId="6362B31F">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2</w:t>
            </w:r>
          </w:p>
        </w:tc>
        <w:tc>
          <w:tcPr>
            <w:tcW w:w="1700" w:type="dxa"/>
            <w:vMerge w:val="restart"/>
            <w:shd w:val="clear" w:color="auto" w:fill="auto"/>
            <w:noWrap/>
            <w:vAlign w:val="center"/>
          </w:tcPr>
          <w:p w14:paraId="5C7E91B7">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J2</w:t>
            </w:r>
          </w:p>
        </w:tc>
        <w:tc>
          <w:tcPr>
            <w:tcW w:w="1778" w:type="dxa"/>
            <w:vMerge w:val="restart"/>
            <w:shd w:val="clear" w:color="auto" w:fill="auto"/>
            <w:noWrap/>
            <w:vAlign w:val="center"/>
          </w:tcPr>
          <w:p w14:paraId="7EA8F111">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3483170.842</w:t>
            </w:r>
          </w:p>
        </w:tc>
        <w:tc>
          <w:tcPr>
            <w:tcW w:w="1622" w:type="dxa"/>
            <w:vMerge w:val="restart"/>
            <w:shd w:val="clear" w:color="auto" w:fill="auto"/>
            <w:noWrap/>
            <w:vAlign w:val="center"/>
          </w:tcPr>
          <w:p w14:paraId="32352658">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46</w:t>
            </w:r>
            <w:r>
              <w:rPr>
                <w:rFonts w:hint="eastAsia" w:cs="Times New Roman"/>
                <w:color w:val="000000" w:themeColor="text1"/>
                <w:kern w:val="0"/>
                <w:sz w:val="18"/>
                <w:szCs w:val="18"/>
                <w14:textFill>
                  <w14:solidFill>
                    <w14:schemeClr w14:val="tx1"/>
                  </w14:solidFill>
                </w14:textFill>
              </w:rPr>
              <w:t>1288.605</w:t>
            </w:r>
          </w:p>
        </w:tc>
      </w:tr>
      <w:tr w14:paraId="600C2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exact"/>
          <w:jc w:val="center"/>
        </w:trPr>
        <w:tc>
          <w:tcPr>
            <w:tcW w:w="1568" w:type="dxa"/>
            <w:vMerge w:val="continue"/>
            <w:shd w:val="clear" w:color="auto" w:fill="auto"/>
            <w:noWrap/>
            <w:vAlign w:val="center"/>
          </w:tcPr>
          <w:p w14:paraId="4F36A61E">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00" w:type="dxa"/>
            <w:vMerge w:val="continue"/>
            <w:shd w:val="clear" w:color="auto" w:fill="auto"/>
            <w:noWrap/>
            <w:vAlign w:val="center"/>
          </w:tcPr>
          <w:p w14:paraId="7E8FB592">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78" w:type="dxa"/>
            <w:vMerge w:val="continue"/>
            <w:shd w:val="clear" w:color="auto" w:fill="auto"/>
            <w:noWrap/>
            <w:vAlign w:val="center"/>
          </w:tcPr>
          <w:p w14:paraId="6A3598B9">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622" w:type="dxa"/>
            <w:vMerge w:val="continue"/>
            <w:shd w:val="clear" w:color="auto" w:fill="auto"/>
            <w:noWrap/>
            <w:vAlign w:val="center"/>
          </w:tcPr>
          <w:p w14:paraId="2530E69F">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r>
      <w:tr w14:paraId="6DA0D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 w:hRule="exact"/>
          <w:jc w:val="center"/>
        </w:trPr>
        <w:tc>
          <w:tcPr>
            <w:tcW w:w="1568" w:type="dxa"/>
            <w:vMerge w:val="continue"/>
            <w:shd w:val="clear" w:color="auto" w:fill="auto"/>
            <w:noWrap/>
            <w:vAlign w:val="center"/>
          </w:tcPr>
          <w:p w14:paraId="4E380D0F">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00" w:type="dxa"/>
            <w:vMerge w:val="continue"/>
            <w:shd w:val="clear" w:color="auto" w:fill="auto"/>
            <w:noWrap/>
            <w:vAlign w:val="center"/>
          </w:tcPr>
          <w:p w14:paraId="5759DD7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78" w:type="dxa"/>
            <w:vMerge w:val="continue"/>
            <w:shd w:val="clear" w:color="auto" w:fill="auto"/>
            <w:noWrap/>
            <w:vAlign w:val="center"/>
          </w:tcPr>
          <w:p w14:paraId="2D917F49">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622" w:type="dxa"/>
            <w:vMerge w:val="continue"/>
            <w:shd w:val="clear" w:color="auto" w:fill="auto"/>
            <w:noWrap/>
            <w:vAlign w:val="center"/>
          </w:tcPr>
          <w:p w14:paraId="41CCECAF">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r>
      <w:tr w14:paraId="66C23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exact"/>
          <w:jc w:val="center"/>
        </w:trPr>
        <w:tc>
          <w:tcPr>
            <w:tcW w:w="1568" w:type="dxa"/>
            <w:vMerge w:val="restart"/>
            <w:shd w:val="clear" w:color="auto" w:fill="auto"/>
            <w:noWrap/>
            <w:vAlign w:val="center"/>
          </w:tcPr>
          <w:p w14:paraId="4E221D17">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3</w:t>
            </w:r>
            <w:r>
              <w:rPr>
                <w:rFonts w:hint="eastAsia" w:cs="Times New Roman"/>
                <w:color w:val="000000" w:themeColor="text1"/>
                <w:kern w:val="0"/>
                <w:sz w:val="18"/>
                <w:szCs w:val="18"/>
                <w14:textFill>
                  <w14:solidFill>
                    <w14:schemeClr w14:val="tx1"/>
                  </w14:solidFill>
                </w14:textFill>
              </w:rPr>
              <w:t xml:space="preserve"> </w:t>
            </w:r>
            <w:r>
              <w:rPr>
                <w:rFonts w:cs="Times New Roman"/>
                <w:color w:val="000000" w:themeColor="text1"/>
                <w:kern w:val="0"/>
                <w:sz w:val="18"/>
                <w:szCs w:val="18"/>
                <w14:textFill>
                  <w14:solidFill>
                    <w14:schemeClr w14:val="tx1"/>
                  </w14:solidFill>
                </w14:textFill>
              </w:rPr>
              <w:t xml:space="preserve">              </w:t>
            </w:r>
          </w:p>
        </w:tc>
        <w:tc>
          <w:tcPr>
            <w:tcW w:w="1700" w:type="dxa"/>
            <w:vMerge w:val="restart"/>
            <w:shd w:val="clear" w:color="auto" w:fill="auto"/>
            <w:noWrap/>
            <w:vAlign w:val="center"/>
          </w:tcPr>
          <w:p w14:paraId="0DC2EC93">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J</w:t>
            </w:r>
            <w:r>
              <w:rPr>
                <w:rFonts w:cs="Times New Roman"/>
                <w:color w:val="000000" w:themeColor="text1"/>
                <w:kern w:val="0"/>
                <w:sz w:val="18"/>
                <w:szCs w:val="18"/>
                <w14:textFill>
                  <w14:solidFill>
                    <w14:schemeClr w14:val="tx1"/>
                  </w14:solidFill>
                </w14:textFill>
              </w:rPr>
              <w:t>3</w:t>
            </w:r>
          </w:p>
        </w:tc>
        <w:tc>
          <w:tcPr>
            <w:tcW w:w="1778" w:type="dxa"/>
            <w:vMerge w:val="restart"/>
            <w:shd w:val="clear" w:color="auto" w:fill="auto"/>
            <w:noWrap/>
            <w:vAlign w:val="center"/>
          </w:tcPr>
          <w:p w14:paraId="09FA887D">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3483276.831</w:t>
            </w:r>
          </w:p>
        </w:tc>
        <w:tc>
          <w:tcPr>
            <w:tcW w:w="1622" w:type="dxa"/>
            <w:vMerge w:val="restart"/>
            <w:shd w:val="clear" w:color="auto" w:fill="auto"/>
            <w:noWrap/>
            <w:vAlign w:val="center"/>
          </w:tcPr>
          <w:p w14:paraId="6B52E90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4</w:t>
            </w:r>
            <w:r>
              <w:rPr>
                <w:rFonts w:cs="Times New Roman"/>
                <w:color w:val="000000" w:themeColor="text1"/>
                <w:kern w:val="0"/>
                <w:sz w:val="18"/>
                <w:szCs w:val="18"/>
                <w14:textFill>
                  <w14:solidFill>
                    <w14:schemeClr w14:val="tx1"/>
                  </w14:solidFill>
                </w14:textFill>
              </w:rPr>
              <w:t>613</w:t>
            </w:r>
            <w:r>
              <w:rPr>
                <w:rFonts w:hint="eastAsia" w:cs="Times New Roman"/>
                <w:color w:val="000000" w:themeColor="text1"/>
                <w:kern w:val="0"/>
                <w:sz w:val="18"/>
                <w:szCs w:val="18"/>
                <w14:textFill>
                  <w14:solidFill>
                    <w14:schemeClr w14:val="tx1"/>
                  </w14:solidFill>
                </w14:textFill>
              </w:rPr>
              <w:t>65.722</w:t>
            </w:r>
          </w:p>
        </w:tc>
      </w:tr>
      <w:tr w14:paraId="570F1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exact"/>
          <w:jc w:val="center"/>
        </w:trPr>
        <w:tc>
          <w:tcPr>
            <w:tcW w:w="1568" w:type="dxa"/>
            <w:vMerge w:val="continue"/>
            <w:vAlign w:val="center"/>
          </w:tcPr>
          <w:p w14:paraId="4371F5A5">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00" w:type="dxa"/>
            <w:vMerge w:val="continue"/>
            <w:vAlign w:val="center"/>
          </w:tcPr>
          <w:p w14:paraId="05E9971B">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78" w:type="dxa"/>
            <w:vMerge w:val="continue"/>
            <w:vAlign w:val="center"/>
          </w:tcPr>
          <w:p w14:paraId="6D56AA51">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622" w:type="dxa"/>
            <w:vMerge w:val="continue"/>
            <w:vAlign w:val="center"/>
          </w:tcPr>
          <w:p w14:paraId="30D0D88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r>
      <w:tr w14:paraId="0E885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 w:hRule="exact"/>
          <w:jc w:val="center"/>
        </w:trPr>
        <w:tc>
          <w:tcPr>
            <w:tcW w:w="1568" w:type="dxa"/>
            <w:vMerge w:val="continue"/>
            <w:vAlign w:val="center"/>
          </w:tcPr>
          <w:p w14:paraId="795D526A">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00" w:type="dxa"/>
            <w:vMerge w:val="continue"/>
            <w:vAlign w:val="center"/>
          </w:tcPr>
          <w:p w14:paraId="0C2FAC4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78" w:type="dxa"/>
            <w:vMerge w:val="continue"/>
            <w:vAlign w:val="center"/>
          </w:tcPr>
          <w:p w14:paraId="1BF054A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622" w:type="dxa"/>
            <w:vMerge w:val="continue"/>
            <w:vAlign w:val="center"/>
          </w:tcPr>
          <w:p w14:paraId="6DEBEA4C">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r>
      <w:tr w14:paraId="26891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exact"/>
          <w:jc w:val="center"/>
        </w:trPr>
        <w:tc>
          <w:tcPr>
            <w:tcW w:w="1568" w:type="dxa"/>
            <w:vMerge w:val="restart"/>
            <w:shd w:val="clear" w:color="auto" w:fill="auto"/>
            <w:noWrap/>
            <w:vAlign w:val="center"/>
          </w:tcPr>
          <w:p w14:paraId="1F04CD5A">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4</w:t>
            </w:r>
          </w:p>
        </w:tc>
        <w:tc>
          <w:tcPr>
            <w:tcW w:w="1700" w:type="dxa"/>
            <w:vMerge w:val="restart"/>
            <w:shd w:val="clear" w:color="auto" w:fill="auto"/>
            <w:noWrap/>
            <w:vAlign w:val="center"/>
          </w:tcPr>
          <w:p w14:paraId="1646A74D">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J4</w:t>
            </w:r>
          </w:p>
        </w:tc>
        <w:tc>
          <w:tcPr>
            <w:tcW w:w="1778" w:type="dxa"/>
            <w:vMerge w:val="restart"/>
            <w:shd w:val="clear" w:color="auto" w:fill="auto"/>
            <w:noWrap/>
            <w:vAlign w:val="center"/>
          </w:tcPr>
          <w:p w14:paraId="2F8CF1E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3483325.652</w:t>
            </w:r>
          </w:p>
        </w:tc>
        <w:tc>
          <w:tcPr>
            <w:tcW w:w="1622" w:type="dxa"/>
            <w:vMerge w:val="restart"/>
            <w:shd w:val="clear" w:color="auto" w:fill="auto"/>
            <w:noWrap/>
            <w:vAlign w:val="center"/>
          </w:tcPr>
          <w:p w14:paraId="4D288527">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hint="eastAsia" w:cs="Times New Roman"/>
                <w:color w:val="000000" w:themeColor="text1"/>
                <w:kern w:val="0"/>
                <w:sz w:val="18"/>
                <w:szCs w:val="18"/>
                <w14:textFill>
                  <w14:solidFill>
                    <w14:schemeClr w14:val="tx1"/>
                  </w14:solidFill>
                </w14:textFill>
              </w:rPr>
              <w:t>4</w:t>
            </w:r>
            <w:r>
              <w:rPr>
                <w:rFonts w:cs="Times New Roman"/>
                <w:color w:val="000000" w:themeColor="text1"/>
                <w:kern w:val="0"/>
                <w:sz w:val="18"/>
                <w:szCs w:val="18"/>
                <w14:textFill>
                  <w14:solidFill>
                    <w14:schemeClr w14:val="tx1"/>
                  </w14:solidFill>
                </w14:textFill>
              </w:rPr>
              <w:t>613</w:t>
            </w:r>
            <w:r>
              <w:rPr>
                <w:rFonts w:hint="eastAsia" w:cs="Times New Roman"/>
                <w:color w:val="000000" w:themeColor="text1"/>
                <w:kern w:val="0"/>
                <w:sz w:val="18"/>
                <w:szCs w:val="18"/>
                <w14:textFill>
                  <w14:solidFill>
                    <w14:schemeClr w14:val="tx1"/>
                  </w14:solidFill>
                </w14:textFill>
              </w:rPr>
              <w:t>22.203</w:t>
            </w:r>
          </w:p>
        </w:tc>
      </w:tr>
      <w:tr w14:paraId="40BB2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exact"/>
          <w:jc w:val="center"/>
        </w:trPr>
        <w:tc>
          <w:tcPr>
            <w:tcW w:w="1568" w:type="dxa"/>
            <w:vMerge w:val="continue"/>
            <w:shd w:val="clear" w:color="auto" w:fill="auto"/>
            <w:noWrap/>
            <w:vAlign w:val="center"/>
          </w:tcPr>
          <w:p w14:paraId="73E0176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00" w:type="dxa"/>
            <w:vMerge w:val="continue"/>
            <w:shd w:val="clear" w:color="auto" w:fill="auto"/>
            <w:noWrap/>
            <w:vAlign w:val="center"/>
          </w:tcPr>
          <w:p w14:paraId="76EE5A13">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78" w:type="dxa"/>
            <w:vMerge w:val="continue"/>
            <w:shd w:val="clear" w:color="auto" w:fill="auto"/>
            <w:noWrap/>
            <w:vAlign w:val="center"/>
          </w:tcPr>
          <w:p w14:paraId="310289C2">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622" w:type="dxa"/>
            <w:vMerge w:val="continue"/>
            <w:shd w:val="clear" w:color="auto" w:fill="auto"/>
            <w:noWrap/>
            <w:vAlign w:val="center"/>
          </w:tcPr>
          <w:p w14:paraId="496B9EE2">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r>
      <w:tr w14:paraId="3C8D8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exact"/>
          <w:jc w:val="center"/>
        </w:trPr>
        <w:tc>
          <w:tcPr>
            <w:tcW w:w="1568" w:type="dxa"/>
            <w:vMerge w:val="continue"/>
            <w:vAlign w:val="center"/>
          </w:tcPr>
          <w:p w14:paraId="6610D15E">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00" w:type="dxa"/>
            <w:vMerge w:val="continue"/>
            <w:vAlign w:val="center"/>
          </w:tcPr>
          <w:p w14:paraId="2E3CE84E">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778" w:type="dxa"/>
            <w:vMerge w:val="continue"/>
            <w:vAlign w:val="center"/>
          </w:tcPr>
          <w:p w14:paraId="71A8B40D">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c>
          <w:tcPr>
            <w:tcW w:w="1622" w:type="dxa"/>
            <w:vMerge w:val="continue"/>
            <w:vAlign w:val="center"/>
          </w:tcPr>
          <w:p w14:paraId="70104E02">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p>
        </w:tc>
      </w:tr>
    </w:tbl>
    <w:p w14:paraId="1BED8D0B">
      <w:pPr>
        <w:pStyle w:val="3"/>
        <w:rPr>
          <w:color w:val="000000" w:themeColor="text1"/>
          <w14:textFill>
            <w14:solidFill>
              <w14:schemeClr w14:val="tx1"/>
            </w14:solidFill>
          </w14:textFill>
        </w:rPr>
      </w:pPr>
      <w:bookmarkStart w:id="38" w:name="_Toc4356"/>
      <w:r>
        <w:rPr>
          <w:rFonts w:hint="eastAsia"/>
          <w:color w:val="000000" w:themeColor="text1"/>
          <w14:textFill>
            <w14:solidFill>
              <w14:schemeClr w14:val="tx1"/>
            </w14:solidFill>
          </w14:textFill>
        </w:rPr>
        <w:t>1.5水土流失防治目标</w:t>
      </w:r>
      <w:bookmarkEnd w:id="38"/>
    </w:p>
    <w:p w14:paraId="0348ADF9">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1.5.1执行标准等级</w:t>
      </w:r>
    </w:p>
    <w:p w14:paraId="1646EE2B">
      <w:pPr>
        <w:ind w:firstLine="472"/>
        <w:rPr>
          <w:color w:val="000000" w:themeColor="text1"/>
          <w:spacing w:val="-4"/>
          <w14:textFill>
            <w14:solidFill>
              <w14:schemeClr w14:val="tx1"/>
            </w14:solidFill>
          </w14:textFill>
        </w:rPr>
      </w:pPr>
      <w:bookmarkStart w:id="39" w:name="_Hlk136424811"/>
      <w:r>
        <w:rPr>
          <w:rFonts w:hint="eastAsia"/>
          <w:color w:val="000000" w:themeColor="text1"/>
          <w:spacing w:val="-4"/>
          <w14:textFill>
            <w14:solidFill>
              <w14:schemeClr w14:val="tx1"/>
            </w14:solidFill>
          </w14:textFill>
        </w:rPr>
        <w:t>根据《水利部办公厅印发&lt;全国水土保持规划国家级水士流失重点预防区和重点治理区复核划分成果&gt;的通知》（办水保〔2013〕188号），本项目所在的绵阳市高新区不属国家级重点预防区和重点治理区；根据《四川省水利厅关于印发&lt;四川省省级水土流失重点预防区和重点治理区划分成果&gt;的通知》（川水函〔2017〕482号），本项目所在的绵阳市高新区不属省级重点预防区和重点治理区。</w:t>
      </w:r>
    </w:p>
    <w:p w14:paraId="3A2BB0C1">
      <w:pPr>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根据绵阳市水土保持规划，项目所在的绵阳市高新区属于市级水土流失重点治理区，根据《生产建设项目水土流失防治标准》（GB/T50434-2018），确定本项目水土流失防治标准执行西南紫色土区建设类项目水土流失防治一级标准。</w:t>
      </w:r>
    </w:p>
    <w:bookmarkEnd w:id="39"/>
    <w:p w14:paraId="3928B162">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1.5.2防治目标值</w:t>
      </w:r>
    </w:p>
    <w:p w14:paraId="6929CB33">
      <w:pPr>
        <w:pStyle w:val="5"/>
        <w:spacing w:before="81"/>
        <w:rPr>
          <w:color w:val="000000" w:themeColor="text1"/>
          <w14:textFill>
            <w14:solidFill>
              <w14:schemeClr w14:val="tx1"/>
            </w14:solidFill>
          </w14:textFill>
        </w:rPr>
      </w:pPr>
      <w:r>
        <w:rPr>
          <w:rFonts w:hint="eastAsia"/>
          <w:color w:val="000000" w:themeColor="text1"/>
          <w14:textFill>
            <w14:solidFill>
              <w14:schemeClr w14:val="tx1"/>
            </w14:solidFill>
          </w14:textFill>
        </w:rPr>
        <w:t>1.5.2.1防治基本目标</w:t>
      </w:r>
    </w:p>
    <w:p w14:paraId="03655220">
      <w:pPr>
        <w:pStyle w:val="8"/>
        <w:ind w:firstLine="480"/>
        <w:rPr>
          <w:color w:val="000000" w:themeColor="text1"/>
          <w14:textFill>
            <w14:solidFill>
              <w14:schemeClr w14:val="tx1"/>
            </w14:solidFill>
          </w14:textFill>
        </w:rPr>
      </w:pPr>
      <w:bookmarkStart w:id="40" w:name="_Hlk136425441"/>
      <w:r>
        <w:rPr>
          <w:color w:val="000000" w:themeColor="text1"/>
          <w14:textFill>
            <w14:solidFill>
              <w14:schemeClr w14:val="tx1"/>
            </w14:solidFill>
          </w14:textFill>
        </w:rPr>
        <w:t>（1）</w:t>
      </w:r>
      <w:r>
        <w:rPr>
          <w:rFonts w:hint="eastAsia"/>
          <w:color w:val="000000" w:themeColor="text1"/>
          <w14:textFill>
            <w14:solidFill>
              <w14:schemeClr w14:val="tx1"/>
            </w14:solidFill>
          </w14:textFill>
        </w:rPr>
        <w:t>项目建设范围内的新增水土流失应得到有效控制，原有水土流失得到治理；</w:t>
      </w:r>
    </w:p>
    <w:p w14:paraId="610C4CFF">
      <w:pPr>
        <w:pStyle w:val="8"/>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（2）水土保持设施应安全有效；</w:t>
      </w:r>
    </w:p>
    <w:p w14:paraId="2FF2B565">
      <w:pPr>
        <w:pStyle w:val="8"/>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（3）水土资源、林草植被应得到最大限度的保护与恢复。</w:t>
      </w:r>
    </w:p>
    <w:p w14:paraId="0D25A69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（4）水土流失治理度、土壤流失控制比、渣土防护率、林草植被恢复率、林草覆盖率六项指标应符合现行国家标准《生产建设项目水土流失防治标准》（GB50434-2018）的规定。</w:t>
      </w:r>
    </w:p>
    <w:bookmarkEnd w:id="40"/>
    <w:p w14:paraId="787543A6">
      <w:pPr>
        <w:pStyle w:val="5"/>
        <w:spacing w:before="81"/>
        <w:rPr>
          <w:color w:val="000000" w:themeColor="text1"/>
          <w14:textFill>
            <w14:solidFill>
              <w14:schemeClr w14:val="tx1"/>
            </w14:solidFill>
          </w14:textFill>
        </w:rPr>
      </w:pPr>
      <w:r>
        <w:rPr>
          <w:rFonts w:hint="eastAsia"/>
          <w:color w:val="000000" w:themeColor="text1"/>
          <w14:textFill>
            <w14:solidFill>
              <w14:schemeClr w14:val="tx1"/>
            </w14:solidFill>
          </w14:textFill>
        </w:rPr>
        <w:t>1.5.2.2水土流失防治指标值</w:t>
      </w:r>
    </w:p>
    <w:p w14:paraId="45B1321D">
      <w:pPr>
        <w:ind w:firstLine="480"/>
        <w:rPr>
          <w:rFonts w:cs="Times New Roman"/>
          <w:color w:val="000000" w:themeColor="text1"/>
          <w14:textFill>
            <w14:solidFill>
              <w14:schemeClr w14:val="tx1"/>
            </w14:solidFill>
          </w14:textFill>
        </w:rPr>
      </w:pPr>
      <w:bookmarkStart w:id="41" w:name="_Hlk136425565"/>
      <w:r>
        <w:rPr>
          <w:rFonts w:hint="eastAsia" w:cs="Times New Roman"/>
          <w:color w:val="000000" w:themeColor="text1"/>
          <w14:textFill>
            <w14:solidFill>
              <w14:schemeClr w14:val="tx1"/>
            </w14:solidFill>
          </w14:textFill>
        </w:rPr>
        <w:t>根据《全国水土保持区划（试行）》，本项目位于</w:t>
      </w:r>
      <w:r>
        <w:rPr>
          <w:rFonts w:hint="eastAsia"/>
          <w:color w:val="000000" w:themeColor="text1"/>
          <w14:textFill>
            <w14:solidFill>
              <w14:schemeClr w14:val="tx1"/>
            </w14:solidFill>
          </w14:textFill>
        </w:rPr>
        <w:t>西南紫色土区，</w:t>
      </w:r>
      <w:r>
        <w:rPr>
          <w:rFonts w:cs="Times New Roman"/>
          <w:color w:val="000000" w:themeColor="text1"/>
          <w14:textFill>
            <w14:solidFill>
              <w14:schemeClr w14:val="tx1"/>
            </w14:solidFill>
          </w14:textFill>
        </w:rPr>
        <w:t>根据该项目所在地的气候、地形、水土流失状况、工程类型等特点，</w:t>
      </w:r>
      <w:r>
        <w:rPr>
          <w:rFonts w:hint="eastAsia" w:cs="Times New Roman"/>
          <w:color w:val="000000" w:themeColor="text1"/>
          <w14:textFill>
            <w14:solidFill>
              <w14:schemeClr w14:val="tx1"/>
            </w14:solidFill>
          </w14:textFill>
        </w:rPr>
        <w:t>本方案</w:t>
      </w:r>
      <w:r>
        <w:rPr>
          <w:rFonts w:cs="Times New Roman"/>
          <w:color w:val="000000" w:themeColor="text1"/>
          <w14:textFill>
            <w14:solidFill>
              <w14:schemeClr w14:val="tx1"/>
            </w14:solidFill>
          </w14:textFill>
        </w:rPr>
        <w:t>对</w:t>
      </w:r>
      <w:r>
        <w:rPr>
          <w:rFonts w:hint="eastAsia" w:cs="Times New Roman"/>
          <w:color w:val="000000" w:themeColor="text1"/>
          <w14:textFill>
            <w14:solidFill>
              <w14:schemeClr w14:val="tx1"/>
            </w14:solidFill>
          </w14:textFill>
        </w:rPr>
        <w:t>水土流失防治一级标准的</w:t>
      </w:r>
      <w:r>
        <w:rPr>
          <w:rFonts w:cs="Times New Roman"/>
          <w:color w:val="000000" w:themeColor="text1"/>
          <w14:textFill>
            <w14:solidFill>
              <w14:schemeClr w14:val="tx1"/>
            </w14:solidFill>
          </w14:textFill>
        </w:rPr>
        <w:t>防治目标值进行修正。</w:t>
      </w:r>
    </w:p>
    <w:p w14:paraId="39DC5149">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（1）土壤侵蚀强度修正值</w:t>
      </w:r>
    </w:p>
    <w:p w14:paraId="542733B0">
      <w:pPr>
        <w:ind w:firstLine="468"/>
        <w:rPr>
          <w:rFonts w:cs="Times New Roman"/>
          <w:color w:val="000000" w:themeColor="text1"/>
          <w14:textFill>
            <w14:solidFill>
              <w14:schemeClr w14:val="tx1"/>
            </w14:solidFill>
          </w14:textFill>
        </w:rPr>
      </w:pPr>
      <w:r>
        <w:rPr>
          <w:rFonts w:cs="Times New Roman"/>
          <w:color w:val="000000" w:themeColor="text1"/>
          <w:spacing w:val="-6"/>
          <w:szCs w:val="21"/>
          <w14:textFill>
            <w14:solidFill>
              <w14:schemeClr w14:val="tx1"/>
            </w14:solidFill>
          </w14:textFill>
        </w:rPr>
        <w:t>项目区土壤侵蚀以</w:t>
      </w:r>
      <w:r>
        <w:rPr>
          <w:rFonts w:hint="eastAsia" w:cs="Times New Roman"/>
          <w:color w:val="000000" w:themeColor="text1"/>
          <w:spacing w:val="-6"/>
          <w:szCs w:val="21"/>
          <w14:textFill>
            <w14:solidFill>
              <w14:schemeClr w14:val="tx1"/>
            </w14:solidFill>
          </w14:textFill>
        </w:rPr>
        <w:t>轻度</w:t>
      </w:r>
      <w:r>
        <w:rPr>
          <w:rFonts w:cs="Times New Roman"/>
          <w:color w:val="000000" w:themeColor="text1"/>
          <w:spacing w:val="-6"/>
          <w:szCs w:val="21"/>
          <w14:textFill>
            <w14:solidFill>
              <w14:schemeClr w14:val="tx1"/>
            </w14:solidFill>
          </w14:textFill>
        </w:rPr>
        <w:t>为主，</w:t>
      </w:r>
      <w:r>
        <w:rPr>
          <w:rFonts w:cs="Times New Roman"/>
          <w:color w:val="000000" w:themeColor="text1"/>
          <w14:textFill>
            <w14:solidFill>
              <w14:schemeClr w14:val="tx1"/>
            </w14:solidFill>
          </w14:textFill>
        </w:rPr>
        <w:t>土壤流失控制比</w:t>
      </w:r>
      <w:r>
        <w:rPr>
          <w:rFonts w:hint="eastAsia" w:cs="Times New Roman"/>
          <w:color w:val="000000" w:themeColor="text1"/>
          <w14:textFill>
            <w14:solidFill>
              <w14:schemeClr w14:val="tx1"/>
            </w14:solidFill>
          </w14:textFill>
        </w:rPr>
        <w:t>应不小于1，本项目在西南紫色土区一级标准规定值基础上增加0.</w:t>
      </w:r>
      <w:r>
        <w:rPr>
          <w:rFonts w:cs="Times New Roman"/>
          <w:color w:val="000000" w:themeColor="text1"/>
          <w14:textFill>
            <w14:solidFill>
              <w14:schemeClr w14:val="tx1"/>
            </w14:solidFill>
          </w14:textFill>
        </w:rPr>
        <w:t>15</w:t>
      </w:r>
      <w:r>
        <w:rPr>
          <w:rFonts w:hint="eastAsia" w:cs="Times New Roman"/>
          <w:color w:val="000000" w:themeColor="text1"/>
          <w14:textFill>
            <w14:solidFill>
              <w14:schemeClr w14:val="tx1"/>
            </w14:solidFill>
          </w14:textFill>
        </w:rPr>
        <w:t>。</w:t>
      </w:r>
    </w:p>
    <w:p w14:paraId="7EF6BC6D">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（2）城市区修正</w:t>
      </w:r>
    </w:p>
    <w:p w14:paraId="5AA7AB77">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本项目位于城市区，渣土防护率</w:t>
      </w:r>
      <w:r>
        <w:rPr>
          <w:rFonts w:hint="eastAsia" w:cs="Times New Roman"/>
          <w:color w:val="000000" w:themeColor="text1"/>
          <w14:textFill>
            <w14:solidFill>
              <w14:schemeClr w14:val="tx1"/>
            </w14:solidFill>
          </w14:textFill>
        </w:rPr>
        <w:t>在一级标准基础上</w:t>
      </w:r>
      <w:r>
        <w:rPr>
          <w:rFonts w:cs="Times New Roman"/>
          <w:color w:val="000000" w:themeColor="text1"/>
          <w14:textFill>
            <w14:solidFill>
              <w14:schemeClr w14:val="tx1"/>
            </w14:solidFill>
          </w14:textFill>
        </w:rPr>
        <w:t>提高2%</w:t>
      </w:r>
      <w:r>
        <w:rPr>
          <w:rFonts w:hint="eastAsia" w:cs="Times New Roman"/>
          <w:color w:val="000000" w:themeColor="text1"/>
          <w14:textFill>
            <w14:solidFill>
              <w14:schemeClr w14:val="tx1"/>
            </w14:solidFill>
          </w14:textFill>
        </w:rPr>
        <w:t>。</w:t>
      </w:r>
    </w:p>
    <w:p w14:paraId="6D69D676">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w:t>
      </w:r>
      <w:r>
        <w:rPr>
          <w:rFonts w:hint="eastAsia"/>
          <w:color w:val="000000" w:themeColor="text1"/>
          <w14:textFill>
            <w14:solidFill>
              <w14:schemeClr w14:val="tx1"/>
            </w14:solidFill>
          </w14:textFill>
        </w:rPr>
        <w:t>工业用地</w:t>
      </w:r>
      <w:r>
        <w:rPr>
          <w:rFonts w:hint="eastAsia" w:cs="Times New Roman"/>
          <w:color w:val="000000" w:themeColor="text1"/>
          <w14:textFill>
            <w14:solidFill>
              <w14:schemeClr w14:val="tx1"/>
            </w14:solidFill>
          </w14:textFill>
        </w:rPr>
        <w:t>修正</w:t>
      </w:r>
    </w:p>
    <w:p w14:paraId="10554BB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本项目用地用途属于工业用地，根据《城市绿地规划标准》（GB/T 51346-2019）第5.4.4条，工业用地和物流仓储用地的绿地率不宜大于20％，根据《生产建设项目水土流失防治标准》（GB50433-2018）4.0.10节：“对林草植被有限制的项目，林草覆盖率可按照相关规定适当调整”</w:t>
      </w:r>
      <w:r>
        <w:rPr>
          <w:rFonts w:hint="eastAsia"/>
          <w:color w:val="000000" w:themeColor="text1"/>
          <w:lang w:eastAsia="zh-CN"/>
          <w14:textFill>
            <w14:solidFill>
              <w14:schemeClr w14:val="tx1"/>
            </w14:solidFill>
          </w14:textFill>
        </w:rPr>
        <w:t>，根据</w:t>
      </w:r>
      <w:r>
        <w:rPr>
          <w:rFonts w:hint="eastAsia"/>
          <w:color w:val="000000" w:themeColor="text1"/>
          <w14:textFill>
            <w14:solidFill>
              <w14:schemeClr w14:val="tx1"/>
            </w14:solidFill>
          </w14:textFill>
        </w:rPr>
        <w:t>项目主体工程设计方案的绿地率为1</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%，水保方案根据主体设计方案将林草覆盖率</w:t>
      </w:r>
      <w:r>
        <w:rPr>
          <w:rFonts w:hint="eastAsia"/>
          <w:color w:val="000000" w:themeColor="text1"/>
          <w:lang w:eastAsia="zh-CN"/>
          <w14:textFill>
            <w14:solidFill>
              <w14:schemeClr w14:val="tx1"/>
            </w14:solidFill>
          </w14:textFill>
        </w:rPr>
        <w:t>定</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w:t>
      </w:r>
    </w:p>
    <w:p w14:paraId="3346F6E9">
      <w:pPr>
        <w:ind w:firstLine="48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修正后</w:t>
      </w:r>
      <w:r>
        <w:rPr>
          <w:color w:val="000000" w:themeColor="text1"/>
          <w14:textFill>
            <w14:solidFill>
              <w14:schemeClr w14:val="tx1"/>
            </w14:solidFill>
          </w14:textFill>
        </w:rPr>
        <w:t>至设计水平年，本工程水土流失防治标准目标值为：</w:t>
      </w:r>
      <w:r>
        <w:rPr>
          <w:rFonts w:hint="eastAsia"/>
          <w:color w:val="000000" w:themeColor="text1"/>
          <w14:textFill>
            <w14:solidFill>
              <w14:schemeClr w14:val="tx1"/>
            </w14:solidFill>
          </w14:textFill>
        </w:rPr>
        <w:t>水土流失治理度97</w:t>
      </w:r>
      <w:r>
        <w:rPr>
          <w:color w:val="000000" w:themeColor="text1"/>
          <w14:textFill>
            <w14:solidFill>
              <w14:schemeClr w14:val="tx1"/>
            </w14:solidFill>
          </w14:textFill>
        </w:rPr>
        <w:t>%，土壤流失控制比为1.0，</w:t>
      </w:r>
      <w:r>
        <w:rPr>
          <w:rFonts w:hint="eastAsia"/>
          <w:color w:val="000000" w:themeColor="text1"/>
          <w14:textFill>
            <w14:solidFill>
              <w14:schemeClr w14:val="tx1"/>
            </w14:solidFill>
          </w14:textFill>
        </w:rPr>
        <w:t>渣土防护率94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，表土保护率92%，</w:t>
      </w:r>
      <w:r>
        <w:rPr>
          <w:color w:val="000000" w:themeColor="text1"/>
          <w14:textFill>
            <w14:solidFill>
              <w14:schemeClr w14:val="tx1"/>
            </w14:solidFill>
          </w14:textFill>
        </w:rPr>
        <w:t>林草植被恢复率为9</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，林草覆盖率13%。</w:t>
      </w:r>
    </w:p>
    <w:bookmarkEnd w:id="41"/>
    <w:p w14:paraId="447B2867">
      <w:pPr>
        <w:pStyle w:val="33"/>
        <w:jc w:val="center"/>
        <w:rPr>
          <w:color w:val="000000" w:themeColor="text1"/>
          <w14:textFill>
            <w14:solidFill>
              <w14:schemeClr w14:val="tx1"/>
            </w14:solidFill>
          </w14:textFill>
        </w:rPr>
      </w:pPr>
      <w:bookmarkStart w:id="42" w:name="_Hlk136425658"/>
      <w:r>
        <w:rPr>
          <w:rFonts w:hint="eastAsia"/>
          <w:color w:val="000000" w:themeColor="text1"/>
          <w14:textFill>
            <w14:solidFill>
              <w14:schemeClr w14:val="tx1"/>
            </w14:solidFill>
          </w14:textFill>
        </w:rPr>
        <w:t>表1.5-1                          防治目标值计算表</w:t>
      </w:r>
    </w:p>
    <w:tbl>
      <w:tblPr>
        <w:tblStyle w:val="26"/>
        <w:tblW w:w="8316" w:type="dxa"/>
        <w:tblInd w:w="-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3" w:type="dxa"/>
          <w:bottom w:w="0" w:type="dxa"/>
          <w:right w:w="23" w:type="dxa"/>
        </w:tblCellMar>
      </w:tblPr>
      <w:tblGrid>
        <w:gridCol w:w="1861"/>
        <w:gridCol w:w="1192"/>
        <w:gridCol w:w="1276"/>
        <w:gridCol w:w="986"/>
        <w:gridCol w:w="770"/>
        <w:gridCol w:w="663"/>
        <w:gridCol w:w="744"/>
        <w:gridCol w:w="824"/>
      </w:tblGrid>
      <w:tr w14:paraId="748497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trPr>
        <w:tc>
          <w:tcPr>
            <w:tcW w:w="1861" w:type="dxa"/>
            <w:vMerge w:val="restart"/>
            <w:tcBorders>
              <w:tl2br w:val="nil"/>
              <w:tr2bl w:val="nil"/>
            </w:tcBorders>
            <w:tcMar>
              <w:top w:w="0" w:type="dxa"/>
              <w:left w:w="0" w:type="dxa"/>
              <w:bottom w:w="0" w:type="dxa"/>
              <w:right w:w="0" w:type="dxa"/>
            </w:tcMar>
            <w:vAlign w:val="center"/>
          </w:tcPr>
          <w:p w14:paraId="43C9D68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防治标准</w:t>
            </w:r>
          </w:p>
        </w:tc>
        <w:tc>
          <w:tcPr>
            <w:tcW w:w="2468" w:type="dxa"/>
            <w:gridSpan w:val="2"/>
            <w:tcBorders>
              <w:tl2br w:val="nil"/>
              <w:tr2bl w:val="nil"/>
            </w:tcBorders>
            <w:tcMar>
              <w:top w:w="0" w:type="dxa"/>
              <w:left w:w="0" w:type="dxa"/>
              <w:bottom w:w="0" w:type="dxa"/>
              <w:right w:w="0" w:type="dxa"/>
            </w:tcMar>
            <w:vAlign w:val="center"/>
          </w:tcPr>
          <w:p w14:paraId="3136D99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西南紫色土区一</w:t>
            </w:r>
            <w:r>
              <w:rPr>
                <w:color w:val="000000" w:themeColor="text1"/>
                <w14:textFill>
                  <w14:solidFill>
                    <w14:schemeClr w14:val="tx1"/>
                  </w14:solidFill>
                </w14:textFill>
              </w:rPr>
              <w:t>级标准规定值</w:t>
            </w:r>
          </w:p>
        </w:tc>
        <w:tc>
          <w:tcPr>
            <w:tcW w:w="2419" w:type="dxa"/>
            <w:gridSpan w:val="3"/>
            <w:tcBorders>
              <w:tl2br w:val="nil"/>
              <w:tr2bl w:val="nil"/>
            </w:tcBorders>
            <w:tcMar>
              <w:top w:w="0" w:type="dxa"/>
              <w:left w:w="0" w:type="dxa"/>
              <w:bottom w:w="0" w:type="dxa"/>
              <w:right w:w="0" w:type="dxa"/>
            </w:tcMar>
            <w:vAlign w:val="center"/>
          </w:tcPr>
          <w:p w14:paraId="2046880B">
            <w:pPr>
              <w:pStyle w:val="34"/>
              <w:rPr>
                <w:color w:val="000000" w:themeColor="text1"/>
                <w14:textFill>
                  <w14:solidFill>
                    <w14:schemeClr w14:val="tx1"/>
                  </w14:solidFill>
                </w14:textFill>
              </w:rPr>
            </w:pPr>
            <w:r>
              <w:rPr>
                <w:color w:val="000000" w:themeColor="text1"/>
                <w14:textFill>
                  <w14:solidFill>
                    <w14:schemeClr w14:val="tx1"/>
                  </w14:solidFill>
                </w14:textFill>
              </w:rPr>
              <w:t>修正值</w:t>
            </w:r>
          </w:p>
        </w:tc>
        <w:tc>
          <w:tcPr>
            <w:tcW w:w="1568" w:type="dxa"/>
            <w:gridSpan w:val="2"/>
            <w:tcBorders>
              <w:tl2br w:val="nil"/>
              <w:tr2bl w:val="nil"/>
            </w:tcBorders>
            <w:tcMar>
              <w:top w:w="0" w:type="dxa"/>
              <w:left w:w="0" w:type="dxa"/>
              <w:bottom w:w="0" w:type="dxa"/>
              <w:right w:w="0" w:type="dxa"/>
            </w:tcMar>
            <w:vAlign w:val="center"/>
          </w:tcPr>
          <w:p w14:paraId="4CDDD015">
            <w:pPr>
              <w:pStyle w:val="34"/>
              <w:rPr>
                <w:color w:val="000000" w:themeColor="text1"/>
                <w14:textFill>
                  <w14:solidFill>
                    <w14:schemeClr w14:val="tx1"/>
                  </w14:solidFill>
                </w14:textFill>
              </w:rPr>
            </w:pPr>
            <w:r>
              <w:rPr>
                <w:color w:val="000000" w:themeColor="text1"/>
                <w14:textFill>
                  <w14:solidFill>
                    <w14:schemeClr w14:val="tx1"/>
                  </w14:solidFill>
                </w14:textFill>
              </w:rPr>
              <w:t>采用标准值</w:t>
            </w:r>
          </w:p>
        </w:tc>
      </w:tr>
      <w:tr w14:paraId="1D324C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trPr>
        <w:tc>
          <w:tcPr>
            <w:tcW w:w="1861" w:type="dxa"/>
            <w:vMerge w:val="continue"/>
            <w:tcBorders>
              <w:tl2br w:val="nil"/>
              <w:tr2bl w:val="nil"/>
            </w:tcBorders>
            <w:tcMar>
              <w:top w:w="0" w:type="dxa"/>
              <w:left w:w="0" w:type="dxa"/>
              <w:bottom w:w="0" w:type="dxa"/>
              <w:right w:w="0" w:type="dxa"/>
            </w:tcMar>
            <w:vAlign w:val="center"/>
          </w:tcPr>
          <w:p w14:paraId="1DB1728F">
            <w:pPr>
              <w:pStyle w:val="34"/>
              <w:rPr>
                <w:color w:val="000000" w:themeColor="text1"/>
                <w14:textFill>
                  <w14:solidFill>
                    <w14:schemeClr w14:val="tx1"/>
                  </w14:solidFill>
                </w14:textFill>
              </w:rPr>
            </w:pPr>
          </w:p>
        </w:tc>
        <w:tc>
          <w:tcPr>
            <w:tcW w:w="1192" w:type="dxa"/>
            <w:tcBorders>
              <w:tl2br w:val="nil"/>
              <w:tr2bl w:val="nil"/>
            </w:tcBorders>
            <w:tcMar>
              <w:top w:w="0" w:type="dxa"/>
              <w:left w:w="0" w:type="dxa"/>
              <w:bottom w:w="0" w:type="dxa"/>
              <w:right w:w="0" w:type="dxa"/>
            </w:tcMar>
            <w:vAlign w:val="center"/>
          </w:tcPr>
          <w:p w14:paraId="3B84A281">
            <w:pPr>
              <w:pStyle w:val="34"/>
              <w:rPr>
                <w:color w:val="000000" w:themeColor="text1"/>
                <w14:textFill>
                  <w14:solidFill>
                    <w14:schemeClr w14:val="tx1"/>
                  </w14:solidFill>
                </w14:textFill>
              </w:rPr>
            </w:pPr>
            <w:r>
              <w:rPr>
                <w:color w:val="000000" w:themeColor="text1"/>
                <w14:textFill>
                  <w14:solidFill>
                    <w14:schemeClr w14:val="tx1"/>
                  </w14:solidFill>
                </w14:textFill>
              </w:rPr>
              <w:t>施工期</w:t>
            </w:r>
          </w:p>
        </w:tc>
        <w:tc>
          <w:tcPr>
            <w:tcW w:w="1276" w:type="dxa"/>
            <w:tcBorders>
              <w:tl2br w:val="nil"/>
              <w:tr2bl w:val="nil"/>
            </w:tcBorders>
            <w:tcMar>
              <w:top w:w="0" w:type="dxa"/>
              <w:left w:w="0" w:type="dxa"/>
              <w:bottom w:w="0" w:type="dxa"/>
              <w:right w:w="0" w:type="dxa"/>
            </w:tcMar>
            <w:vAlign w:val="center"/>
          </w:tcPr>
          <w:p w14:paraId="6A5AFE6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设计水平年</w:t>
            </w:r>
          </w:p>
        </w:tc>
        <w:tc>
          <w:tcPr>
            <w:tcW w:w="986" w:type="dxa"/>
            <w:tcBorders>
              <w:tl2br w:val="nil"/>
              <w:tr2bl w:val="nil"/>
            </w:tcBorders>
            <w:tcMar>
              <w:top w:w="0" w:type="dxa"/>
              <w:left w:w="0" w:type="dxa"/>
              <w:bottom w:w="0" w:type="dxa"/>
              <w:right w:w="0" w:type="dxa"/>
            </w:tcMar>
            <w:vAlign w:val="center"/>
          </w:tcPr>
          <w:p w14:paraId="3FDFE4C8">
            <w:pPr>
              <w:pStyle w:val="34"/>
              <w:rPr>
                <w:color w:val="000000" w:themeColor="text1"/>
                <w14:textFill>
                  <w14:solidFill>
                    <w14:schemeClr w14:val="tx1"/>
                  </w14:solidFill>
                </w14:textFill>
              </w:rPr>
            </w:pPr>
            <w:r>
              <w:rPr>
                <w:color w:val="000000" w:themeColor="text1"/>
                <w14:textFill>
                  <w14:solidFill>
                    <w14:schemeClr w14:val="tx1"/>
                  </w14:solidFill>
                </w14:textFill>
              </w:rPr>
              <w:t>土壤侵蚀强度修正值</w:t>
            </w:r>
          </w:p>
        </w:tc>
        <w:tc>
          <w:tcPr>
            <w:tcW w:w="770" w:type="dxa"/>
            <w:tcBorders>
              <w:tl2br w:val="nil"/>
              <w:tr2bl w:val="nil"/>
            </w:tcBorders>
            <w:tcMar>
              <w:top w:w="0" w:type="dxa"/>
              <w:left w:w="0" w:type="dxa"/>
              <w:bottom w:w="0" w:type="dxa"/>
              <w:right w:w="0" w:type="dxa"/>
            </w:tcMar>
            <w:vAlign w:val="center"/>
          </w:tcPr>
          <w:p w14:paraId="0B589B2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城市区项目</w:t>
            </w:r>
            <w:r>
              <w:rPr>
                <w:color w:val="000000" w:themeColor="text1"/>
                <w14:textFill>
                  <w14:solidFill>
                    <w14:schemeClr w14:val="tx1"/>
                  </w14:solidFill>
                </w14:textFill>
              </w:rPr>
              <w:t>修正值</w:t>
            </w:r>
          </w:p>
        </w:tc>
        <w:tc>
          <w:tcPr>
            <w:tcW w:w="663" w:type="dxa"/>
            <w:tcBorders>
              <w:tl2br w:val="nil"/>
              <w:tr2bl w:val="nil"/>
            </w:tcBorders>
            <w:tcMar>
              <w:top w:w="0" w:type="dxa"/>
              <w:left w:w="0" w:type="dxa"/>
              <w:bottom w:w="0" w:type="dxa"/>
              <w:right w:w="0" w:type="dxa"/>
            </w:tcMar>
            <w:vAlign w:val="center"/>
          </w:tcPr>
          <w:p w14:paraId="61461B5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规划条件</w:t>
            </w:r>
            <w:r>
              <w:rPr>
                <w:rFonts w:hint="eastAsia" w:cs="Times New Roman"/>
                <w:color w:val="000000" w:themeColor="text1"/>
                <w:szCs w:val="24"/>
                <w14:textFill>
                  <w14:solidFill>
                    <w14:schemeClr w14:val="tx1"/>
                  </w14:solidFill>
                </w14:textFill>
              </w:rPr>
              <w:t>修正</w:t>
            </w:r>
          </w:p>
        </w:tc>
        <w:tc>
          <w:tcPr>
            <w:tcW w:w="744" w:type="dxa"/>
            <w:tcBorders>
              <w:tl2br w:val="nil"/>
              <w:tr2bl w:val="nil"/>
            </w:tcBorders>
            <w:tcMar>
              <w:top w:w="0" w:type="dxa"/>
              <w:left w:w="0" w:type="dxa"/>
              <w:bottom w:w="0" w:type="dxa"/>
              <w:right w:w="0" w:type="dxa"/>
            </w:tcMar>
            <w:vAlign w:val="center"/>
          </w:tcPr>
          <w:p w14:paraId="59939419">
            <w:pPr>
              <w:pStyle w:val="34"/>
              <w:rPr>
                <w:color w:val="000000" w:themeColor="text1"/>
                <w14:textFill>
                  <w14:solidFill>
                    <w14:schemeClr w14:val="tx1"/>
                  </w14:solidFill>
                </w14:textFill>
              </w:rPr>
            </w:pPr>
            <w:r>
              <w:rPr>
                <w:color w:val="000000" w:themeColor="text1"/>
                <w14:textFill>
                  <w14:solidFill>
                    <w14:schemeClr w14:val="tx1"/>
                  </w14:solidFill>
                </w14:textFill>
              </w:rPr>
              <w:t>施工期</w:t>
            </w:r>
          </w:p>
        </w:tc>
        <w:tc>
          <w:tcPr>
            <w:tcW w:w="824" w:type="dxa"/>
            <w:tcBorders>
              <w:tl2br w:val="nil"/>
              <w:tr2bl w:val="nil"/>
            </w:tcBorders>
            <w:tcMar>
              <w:top w:w="0" w:type="dxa"/>
              <w:left w:w="0" w:type="dxa"/>
              <w:bottom w:w="0" w:type="dxa"/>
              <w:right w:w="0" w:type="dxa"/>
            </w:tcMar>
            <w:vAlign w:val="center"/>
          </w:tcPr>
          <w:p w14:paraId="0DA5657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设计水平年</w:t>
            </w:r>
          </w:p>
        </w:tc>
      </w:tr>
      <w:tr w14:paraId="451A86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trPr>
        <w:tc>
          <w:tcPr>
            <w:tcW w:w="1861" w:type="dxa"/>
            <w:tcBorders>
              <w:tl2br w:val="nil"/>
              <w:tr2bl w:val="nil"/>
            </w:tcBorders>
            <w:tcMar>
              <w:top w:w="0" w:type="dxa"/>
              <w:left w:w="0" w:type="dxa"/>
              <w:bottom w:w="0" w:type="dxa"/>
              <w:right w:w="0" w:type="dxa"/>
            </w:tcMar>
            <w:vAlign w:val="center"/>
          </w:tcPr>
          <w:p w14:paraId="2DB3E5B5">
            <w:pPr>
              <w:pStyle w:val="34"/>
              <w:rPr>
                <w:color w:val="000000" w:themeColor="text1"/>
                <w14:textFill>
                  <w14:solidFill>
                    <w14:schemeClr w14:val="tx1"/>
                  </w14:solidFill>
                </w14:textFill>
              </w:rPr>
            </w:pPr>
            <w:r>
              <w:rPr>
                <w:color w:val="000000" w:themeColor="text1"/>
                <w14:textFill>
                  <w14:solidFill>
                    <w14:schemeClr w14:val="tx1"/>
                  </w14:solidFill>
                </w14:textFill>
              </w:rPr>
              <w:t>水土流失治理度（％）</w:t>
            </w:r>
          </w:p>
        </w:tc>
        <w:tc>
          <w:tcPr>
            <w:tcW w:w="1192" w:type="dxa"/>
            <w:tcBorders>
              <w:tl2br w:val="nil"/>
              <w:tr2bl w:val="nil"/>
            </w:tcBorders>
            <w:tcMar>
              <w:top w:w="0" w:type="dxa"/>
              <w:left w:w="0" w:type="dxa"/>
              <w:bottom w:w="0" w:type="dxa"/>
              <w:right w:w="0" w:type="dxa"/>
            </w:tcMar>
            <w:vAlign w:val="center"/>
          </w:tcPr>
          <w:p w14:paraId="69802353">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w:t>
            </w:r>
          </w:p>
        </w:tc>
        <w:tc>
          <w:tcPr>
            <w:tcW w:w="1276" w:type="dxa"/>
            <w:tcBorders>
              <w:tl2br w:val="nil"/>
              <w:tr2bl w:val="nil"/>
            </w:tcBorders>
            <w:tcMar>
              <w:top w:w="0" w:type="dxa"/>
              <w:left w:w="0" w:type="dxa"/>
              <w:bottom w:w="0" w:type="dxa"/>
              <w:right w:w="0" w:type="dxa"/>
            </w:tcMar>
            <w:vAlign w:val="center"/>
          </w:tcPr>
          <w:p w14:paraId="73D8076F">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97</w:t>
            </w:r>
          </w:p>
        </w:tc>
        <w:tc>
          <w:tcPr>
            <w:tcW w:w="986" w:type="dxa"/>
            <w:tcBorders>
              <w:tl2br w:val="nil"/>
              <w:tr2bl w:val="nil"/>
            </w:tcBorders>
            <w:tcMar>
              <w:top w:w="0" w:type="dxa"/>
              <w:left w:w="0" w:type="dxa"/>
              <w:bottom w:w="0" w:type="dxa"/>
              <w:right w:w="0" w:type="dxa"/>
            </w:tcMar>
            <w:vAlign w:val="center"/>
          </w:tcPr>
          <w:p w14:paraId="41A216D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70" w:type="dxa"/>
            <w:tcBorders>
              <w:tl2br w:val="nil"/>
              <w:tr2bl w:val="nil"/>
            </w:tcBorders>
            <w:tcMar>
              <w:top w:w="0" w:type="dxa"/>
              <w:left w:w="0" w:type="dxa"/>
              <w:bottom w:w="0" w:type="dxa"/>
              <w:right w:w="0" w:type="dxa"/>
            </w:tcMar>
            <w:vAlign w:val="center"/>
          </w:tcPr>
          <w:p w14:paraId="02526CE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63" w:type="dxa"/>
            <w:tcBorders>
              <w:tl2br w:val="nil"/>
              <w:tr2bl w:val="nil"/>
            </w:tcBorders>
            <w:tcMar>
              <w:top w:w="0" w:type="dxa"/>
              <w:left w:w="0" w:type="dxa"/>
              <w:bottom w:w="0" w:type="dxa"/>
              <w:right w:w="0" w:type="dxa"/>
            </w:tcMar>
            <w:vAlign w:val="center"/>
          </w:tcPr>
          <w:p w14:paraId="2F28A200">
            <w:pPr>
              <w:pStyle w:val="34"/>
              <w:rPr>
                <w:color w:val="000000" w:themeColor="text1"/>
                <w14:textFill>
                  <w14:solidFill>
                    <w14:schemeClr w14:val="tx1"/>
                  </w14:solidFill>
                </w14:textFill>
              </w:rPr>
            </w:pPr>
          </w:p>
        </w:tc>
        <w:tc>
          <w:tcPr>
            <w:tcW w:w="744" w:type="dxa"/>
            <w:tcBorders>
              <w:tl2br w:val="nil"/>
              <w:tr2bl w:val="nil"/>
            </w:tcBorders>
            <w:tcMar>
              <w:top w:w="0" w:type="dxa"/>
              <w:left w:w="0" w:type="dxa"/>
              <w:bottom w:w="0" w:type="dxa"/>
              <w:right w:w="0" w:type="dxa"/>
            </w:tcMar>
            <w:vAlign w:val="center"/>
          </w:tcPr>
          <w:p w14:paraId="44DBA9C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24" w:type="dxa"/>
            <w:tcBorders>
              <w:tl2br w:val="nil"/>
              <w:tr2bl w:val="nil"/>
            </w:tcBorders>
            <w:tcMar>
              <w:top w:w="0" w:type="dxa"/>
              <w:left w:w="0" w:type="dxa"/>
              <w:bottom w:w="0" w:type="dxa"/>
              <w:right w:w="0" w:type="dxa"/>
            </w:tcMar>
            <w:vAlign w:val="center"/>
          </w:tcPr>
          <w:p w14:paraId="3A0DF91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97</w:t>
            </w:r>
          </w:p>
        </w:tc>
      </w:tr>
      <w:tr w14:paraId="2271E2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trPr>
        <w:tc>
          <w:tcPr>
            <w:tcW w:w="1861" w:type="dxa"/>
            <w:tcBorders>
              <w:tl2br w:val="nil"/>
              <w:tr2bl w:val="nil"/>
            </w:tcBorders>
            <w:tcMar>
              <w:top w:w="0" w:type="dxa"/>
              <w:left w:w="0" w:type="dxa"/>
              <w:bottom w:w="0" w:type="dxa"/>
              <w:right w:w="0" w:type="dxa"/>
            </w:tcMar>
            <w:vAlign w:val="center"/>
          </w:tcPr>
          <w:p w14:paraId="25ABB810">
            <w:pPr>
              <w:pStyle w:val="34"/>
              <w:rPr>
                <w:color w:val="000000" w:themeColor="text1"/>
                <w14:textFill>
                  <w14:solidFill>
                    <w14:schemeClr w14:val="tx1"/>
                  </w14:solidFill>
                </w14:textFill>
              </w:rPr>
            </w:pPr>
            <w:r>
              <w:rPr>
                <w:color w:val="000000" w:themeColor="text1"/>
                <w14:textFill>
                  <w14:solidFill>
                    <w14:schemeClr w14:val="tx1"/>
                  </w14:solidFill>
                </w14:textFill>
              </w:rPr>
              <w:t>土壤流失控制比</w:t>
            </w:r>
          </w:p>
        </w:tc>
        <w:tc>
          <w:tcPr>
            <w:tcW w:w="1192" w:type="dxa"/>
            <w:tcBorders>
              <w:tl2br w:val="nil"/>
              <w:tr2bl w:val="nil"/>
            </w:tcBorders>
            <w:tcMar>
              <w:top w:w="0" w:type="dxa"/>
              <w:left w:w="0" w:type="dxa"/>
              <w:bottom w:w="0" w:type="dxa"/>
              <w:right w:w="0" w:type="dxa"/>
            </w:tcMar>
            <w:vAlign w:val="center"/>
          </w:tcPr>
          <w:p w14:paraId="47C11507">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w:t>
            </w:r>
          </w:p>
        </w:tc>
        <w:tc>
          <w:tcPr>
            <w:tcW w:w="1276" w:type="dxa"/>
            <w:tcBorders>
              <w:tl2br w:val="nil"/>
              <w:tr2bl w:val="nil"/>
            </w:tcBorders>
            <w:tcMar>
              <w:top w:w="0" w:type="dxa"/>
              <w:left w:w="0" w:type="dxa"/>
              <w:bottom w:w="0" w:type="dxa"/>
              <w:right w:w="0" w:type="dxa"/>
            </w:tcMar>
            <w:vAlign w:val="center"/>
          </w:tcPr>
          <w:p w14:paraId="555097DE">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0.85</w:t>
            </w:r>
          </w:p>
        </w:tc>
        <w:tc>
          <w:tcPr>
            <w:tcW w:w="986" w:type="dxa"/>
            <w:tcBorders>
              <w:tl2br w:val="nil"/>
              <w:tr2bl w:val="nil"/>
            </w:tcBorders>
            <w:tcMar>
              <w:top w:w="0" w:type="dxa"/>
              <w:left w:w="0" w:type="dxa"/>
              <w:bottom w:w="0" w:type="dxa"/>
              <w:right w:w="0" w:type="dxa"/>
            </w:tcMar>
            <w:vAlign w:val="center"/>
          </w:tcPr>
          <w:p w14:paraId="0FDEEFD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15</w:t>
            </w:r>
          </w:p>
        </w:tc>
        <w:tc>
          <w:tcPr>
            <w:tcW w:w="770" w:type="dxa"/>
            <w:tcBorders>
              <w:tl2br w:val="nil"/>
              <w:tr2bl w:val="nil"/>
            </w:tcBorders>
            <w:tcMar>
              <w:top w:w="0" w:type="dxa"/>
              <w:left w:w="0" w:type="dxa"/>
              <w:bottom w:w="0" w:type="dxa"/>
              <w:right w:w="0" w:type="dxa"/>
            </w:tcMar>
            <w:vAlign w:val="center"/>
          </w:tcPr>
          <w:p w14:paraId="76A332C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63" w:type="dxa"/>
            <w:tcBorders>
              <w:tl2br w:val="nil"/>
              <w:tr2bl w:val="nil"/>
            </w:tcBorders>
            <w:tcMar>
              <w:top w:w="0" w:type="dxa"/>
              <w:left w:w="0" w:type="dxa"/>
              <w:bottom w:w="0" w:type="dxa"/>
              <w:right w:w="0" w:type="dxa"/>
            </w:tcMar>
            <w:vAlign w:val="center"/>
          </w:tcPr>
          <w:p w14:paraId="6DDF5D1F">
            <w:pPr>
              <w:pStyle w:val="34"/>
              <w:rPr>
                <w:color w:val="000000" w:themeColor="text1"/>
                <w14:textFill>
                  <w14:solidFill>
                    <w14:schemeClr w14:val="tx1"/>
                  </w14:solidFill>
                </w14:textFill>
              </w:rPr>
            </w:pPr>
          </w:p>
        </w:tc>
        <w:tc>
          <w:tcPr>
            <w:tcW w:w="744" w:type="dxa"/>
            <w:tcBorders>
              <w:tl2br w:val="nil"/>
              <w:tr2bl w:val="nil"/>
            </w:tcBorders>
            <w:tcMar>
              <w:top w:w="0" w:type="dxa"/>
              <w:left w:w="0" w:type="dxa"/>
              <w:bottom w:w="0" w:type="dxa"/>
              <w:right w:w="0" w:type="dxa"/>
            </w:tcMar>
            <w:vAlign w:val="center"/>
          </w:tcPr>
          <w:p w14:paraId="2D0458E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24" w:type="dxa"/>
            <w:tcBorders>
              <w:tl2br w:val="nil"/>
              <w:tr2bl w:val="nil"/>
            </w:tcBorders>
            <w:tcMar>
              <w:top w:w="0" w:type="dxa"/>
              <w:left w:w="0" w:type="dxa"/>
              <w:bottom w:w="0" w:type="dxa"/>
              <w:right w:w="0" w:type="dxa"/>
            </w:tcMar>
            <w:vAlign w:val="center"/>
          </w:tcPr>
          <w:p w14:paraId="1AD2C23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75180D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trPr>
        <w:tc>
          <w:tcPr>
            <w:tcW w:w="1861" w:type="dxa"/>
            <w:tcBorders>
              <w:tl2br w:val="nil"/>
              <w:tr2bl w:val="nil"/>
            </w:tcBorders>
            <w:tcMar>
              <w:top w:w="0" w:type="dxa"/>
              <w:left w:w="0" w:type="dxa"/>
              <w:bottom w:w="0" w:type="dxa"/>
              <w:right w:w="0" w:type="dxa"/>
            </w:tcMar>
            <w:vAlign w:val="center"/>
          </w:tcPr>
          <w:p w14:paraId="06118B6C">
            <w:pPr>
              <w:pStyle w:val="34"/>
              <w:rPr>
                <w:color w:val="000000" w:themeColor="text1"/>
                <w14:textFill>
                  <w14:solidFill>
                    <w14:schemeClr w14:val="tx1"/>
                  </w14:solidFill>
                </w14:textFill>
              </w:rPr>
            </w:pPr>
            <w:r>
              <w:rPr>
                <w:color w:val="000000" w:themeColor="text1"/>
                <w14:textFill>
                  <w14:solidFill>
                    <w14:schemeClr w14:val="tx1"/>
                  </w14:solidFill>
                </w14:textFill>
              </w:rPr>
              <w:t>渣土防护率（％）</w:t>
            </w:r>
          </w:p>
        </w:tc>
        <w:tc>
          <w:tcPr>
            <w:tcW w:w="1192" w:type="dxa"/>
            <w:tcBorders>
              <w:tl2br w:val="nil"/>
              <w:tr2bl w:val="nil"/>
            </w:tcBorders>
            <w:tcMar>
              <w:top w:w="0" w:type="dxa"/>
              <w:left w:w="0" w:type="dxa"/>
              <w:bottom w:w="0" w:type="dxa"/>
              <w:right w:w="0" w:type="dxa"/>
            </w:tcMar>
            <w:vAlign w:val="center"/>
          </w:tcPr>
          <w:p w14:paraId="6A1E64C8">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90</w:t>
            </w:r>
          </w:p>
        </w:tc>
        <w:tc>
          <w:tcPr>
            <w:tcW w:w="1276" w:type="dxa"/>
            <w:tcBorders>
              <w:tl2br w:val="nil"/>
              <w:tr2bl w:val="nil"/>
            </w:tcBorders>
            <w:tcMar>
              <w:top w:w="0" w:type="dxa"/>
              <w:left w:w="0" w:type="dxa"/>
              <w:bottom w:w="0" w:type="dxa"/>
              <w:right w:w="0" w:type="dxa"/>
            </w:tcMar>
            <w:vAlign w:val="center"/>
          </w:tcPr>
          <w:p w14:paraId="2B0D2F7D">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92</w:t>
            </w:r>
          </w:p>
        </w:tc>
        <w:tc>
          <w:tcPr>
            <w:tcW w:w="986" w:type="dxa"/>
            <w:tcBorders>
              <w:tl2br w:val="nil"/>
              <w:tr2bl w:val="nil"/>
            </w:tcBorders>
            <w:tcMar>
              <w:top w:w="0" w:type="dxa"/>
              <w:left w:w="0" w:type="dxa"/>
              <w:bottom w:w="0" w:type="dxa"/>
              <w:right w:w="0" w:type="dxa"/>
            </w:tcMar>
            <w:vAlign w:val="center"/>
          </w:tcPr>
          <w:p w14:paraId="33E3984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70" w:type="dxa"/>
            <w:tcBorders>
              <w:tl2br w:val="nil"/>
              <w:tr2bl w:val="nil"/>
            </w:tcBorders>
            <w:tcMar>
              <w:top w:w="0" w:type="dxa"/>
              <w:left w:w="0" w:type="dxa"/>
              <w:bottom w:w="0" w:type="dxa"/>
              <w:right w:w="0" w:type="dxa"/>
            </w:tcMar>
            <w:vAlign w:val="center"/>
          </w:tcPr>
          <w:p w14:paraId="3D562C7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63" w:type="dxa"/>
            <w:tcBorders>
              <w:tl2br w:val="nil"/>
              <w:tr2bl w:val="nil"/>
            </w:tcBorders>
            <w:tcMar>
              <w:top w:w="0" w:type="dxa"/>
              <w:left w:w="0" w:type="dxa"/>
              <w:bottom w:w="0" w:type="dxa"/>
              <w:right w:w="0" w:type="dxa"/>
            </w:tcMar>
            <w:vAlign w:val="center"/>
          </w:tcPr>
          <w:p w14:paraId="2DF4CC6A">
            <w:pPr>
              <w:pStyle w:val="34"/>
              <w:rPr>
                <w:color w:val="000000" w:themeColor="text1"/>
                <w14:textFill>
                  <w14:solidFill>
                    <w14:schemeClr w14:val="tx1"/>
                  </w14:solidFill>
                </w14:textFill>
              </w:rPr>
            </w:pPr>
          </w:p>
        </w:tc>
        <w:tc>
          <w:tcPr>
            <w:tcW w:w="744" w:type="dxa"/>
            <w:tcBorders>
              <w:tl2br w:val="nil"/>
              <w:tr2bl w:val="nil"/>
            </w:tcBorders>
            <w:tcMar>
              <w:top w:w="0" w:type="dxa"/>
              <w:left w:w="0" w:type="dxa"/>
              <w:bottom w:w="0" w:type="dxa"/>
              <w:right w:w="0" w:type="dxa"/>
            </w:tcMar>
            <w:vAlign w:val="center"/>
          </w:tcPr>
          <w:p w14:paraId="2352C9AA">
            <w:pPr>
              <w:pStyle w:val="34"/>
              <w:rPr>
                <w:color w:val="000000" w:themeColor="text1"/>
                <w14:textFill>
                  <w14:solidFill>
                    <w14:schemeClr w14:val="tx1"/>
                  </w14:solidFill>
                </w14:textFill>
              </w:rPr>
            </w:pPr>
            <w:r>
              <w:rPr>
                <w:color w:val="000000" w:themeColor="text1"/>
                <w14:textFill>
                  <w14:solidFill>
                    <w14:schemeClr w14:val="tx1"/>
                  </w14:solidFill>
                </w14:textFill>
              </w:rPr>
              <w:t>92</w:t>
            </w:r>
          </w:p>
        </w:tc>
        <w:tc>
          <w:tcPr>
            <w:tcW w:w="824" w:type="dxa"/>
            <w:tcBorders>
              <w:tl2br w:val="nil"/>
              <w:tr2bl w:val="nil"/>
            </w:tcBorders>
            <w:tcMar>
              <w:top w:w="0" w:type="dxa"/>
              <w:left w:w="0" w:type="dxa"/>
              <w:bottom w:w="0" w:type="dxa"/>
              <w:right w:w="0" w:type="dxa"/>
            </w:tcMar>
            <w:vAlign w:val="center"/>
          </w:tcPr>
          <w:p w14:paraId="3A0F395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94</w:t>
            </w:r>
          </w:p>
        </w:tc>
      </w:tr>
      <w:tr w14:paraId="5D3BE1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trPr>
        <w:tc>
          <w:tcPr>
            <w:tcW w:w="1861" w:type="dxa"/>
            <w:tcBorders>
              <w:tl2br w:val="nil"/>
              <w:tr2bl w:val="nil"/>
            </w:tcBorders>
            <w:tcMar>
              <w:top w:w="0" w:type="dxa"/>
              <w:left w:w="0" w:type="dxa"/>
              <w:bottom w:w="0" w:type="dxa"/>
              <w:right w:w="0" w:type="dxa"/>
            </w:tcMar>
            <w:vAlign w:val="center"/>
          </w:tcPr>
          <w:p w14:paraId="36BE9599">
            <w:pPr>
              <w:pStyle w:val="34"/>
              <w:rPr>
                <w:color w:val="000000" w:themeColor="text1"/>
                <w14:textFill>
                  <w14:solidFill>
                    <w14:schemeClr w14:val="tx1"/>
                  </w14:solidFill>
                </w14:textFill>
              </w:rPr>
            </w:pPr>
            <w:r>
              <w:rPr>
                <w:color w:val="000000" w:themeColor="text1"/>
                <w14:textFill>
                  <w14:solidFill>
                    <w14:schemeClr w14:val="tx1"/>
                  </w14:solidFill>
                </w14:textFill>
              </w:rPr>
              <w:t>表土保护率（％）</w:t>
            </w:r>
          </w:p>
        </w:tc>
        <w:tc>
          <w:tcPr>
            <w:tcW w:w="1192" w:type="dxa"/>
            <w:tcBorders>
              <w:tl2br w:val="nil"/>
              <w:tr2bl w:val="nil"/>
            </w:tcBorders>
            <w:tcMar>
              <w:top w:w="0" w:type="dxa"/>
              <w:left w:w="0" w:type="dxa"/>
              <w:bottom w:w="0" w:type="dxa"/>
              <w:right w:w="0" w:type="dxa"/>
            </w:tcMar>
            <w:vAlign w:val="center"/>
          </w:tcPr>
          <w:p w14:paraId="487DDA09">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92</w:t>
            </w:r>
          </w:p>
        </w:tc>
        <w:tc>
          <w:tcPr>
            <w:tcW w:w="1276" w:type="dxa"/>
            <w:tcBorders>
              <w:tl2br w:val="nil"/>
              <w:tr2bl w:val="nil"/>
            </w:tcBorders>
            <w:tcMar>
              <w:top w:w="0" w:type="dxa"/>
              <w:left w:w="0" w:type="dxa"/>
              <w:bottom w:w="0" w:type="dxa"/>
              <w:right w:w="0" w:type="dxa"/>
            </w:tcMar>
            <w:vAlign w:val="center"/>
          </w:tcPr>
          <w:p w14:paraId="1F2261BD">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92</w:t>
            </w:r>
          </w:p>
        </w:tc>
        <w:tc>
          <w:tcPr>
            <w:tcW w:w="986" w:type="dxa"/>
            <w:tcBorders>
              <w:tl2br w:val="nil"/>
              <w:tr2bl w:val="nil"/>
            </w:tcBorders>
            <w:tcMar>
              <w:top w:w="0" w:type="dxa"/>
              <w:left w:w="0" w:type="dxa"/>
              <w:bottom w:w="0" w:type="dxa"/>
              <w:right w:w="0" w:type="dxa"/>
            </w:tcMar>
            <w:vAlign w:val="center"/>
          </w:tcPr>
          <w:p w14:paraId="050C5AA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70" w:type="dxa"/>
            <w:tcBorders>
              <w:tl2br w:val="nil"/>
              <w:tr2bl w:val="nil"/>
            </w:tcBorders>
            <w:tcMar>
              <w:top w:w="0" w:type="dxa"/>
              <w:left w:w="0" w:type="dxa"/>
              <w:bottom w:w="0" w:type="dxa"/>
              <w:right w:w="0" w:type="dxa"/>
            </w:tcMar>
            <w:vAlign w:val="center"/>
          </w:tcPr>
          <w:p w14:paraId="45FEFEC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63" w:type="dxa"/>
            <w:tcBorders>
              <w:tl2br w:val="nil"/>
              <w:tr2bl w:val="nil"/>
            </w:tcBorders>
            <w:tcMar>
              <w:top w:w="0" w:type="dxa"/>
              <w:left w:w="0" w:type="dxa"/>
              <w:bottom w:w="0" w:type="dxa"/>
              <w:right w:w="0" w:type="dxa"/>
            </w:tcMar>
            <w:vAlign w:val="center"/>
          </w:tcPr>
          <w:p w14:paraId="6280FC05">
            <w:pPr>
              <w:pStyle w:val="34"/>
              <w:rPr>
                <w:color w:val="000000" w:themeColor="text1"/>
                <w14:textFill>
                  <w14:solidFill>
                    <w14:schemeClr w14:val="tx1"/>
                  </w14:solidFill>
                </w14:textFill>
              </w:rPr>
            </w:pPr>
          </w:p>
        </w:tc>
        <w:tc>
          <w:tcPr>
            <w:tcW w:w="744" w:type="dxa"/>
            <w:tcBorders>
              <w:tl2br w:val="nil"/>
              <w:tr2bl w:val="nil"/>
            </w:tcBorders>
            <w:tcMar>
              <w:top w:w="0" w:type="dxa"/>
              <w:left w:w="0" w:type="dxa"/>
              <w:bottom w:w="0" w:type="dxa"/>
              <w:right w:w="0" w:type="dxa"/>
            </w:tcMar>
            <w:vAlign w:val="center"/>
          </w:tcPr>
          <w:p w14:paraId="095142F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24" w:type="dxa"/>
            <w:tcBorders>
              <w:tl2br w:val="nil"/>
              <w:tr2bl w:val="nil"/>
            </w:tcBorders>
            <w:tcMar>
              <w:top w:w="0" w:type="dxa"/>
              <w:left w:w="0" w:type="dxa"/>
              <w:bottom w:w="0" w:type="dxa"/>
              <w:right w:w="0" w:type="dxa"/>
            </w:tcMar>
            <w:vAlign w:val="center"/>
          </w:tcPr>
          <w:p w14:paraId="0D825D2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42B7F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trPr>
        <w:tc>
          <w:tcPr>
            <w:tcW w:w="1861" w:type="dxa"/>
            <w:tcBorders>
              <w:tl2br w:val="nil"/>
              <w:tr2bl w:val="nil"/>
            </w:tcBorders>
            <w:tcMar>
              <w:top w:w="0" w:type="dxa"/>
              <w:left w:w="0" w:type="dxa"/>
              <w:bottom w:w="0" w:type="dxa"/>
              <w:right w:w="0" w:type="dxa"/>
            </w:tcMar>
            <w:vAlign w:val="center"/>
          </w:tcPr>
          <w:p w14:paraId="5D34B729">
            <w:pPr>
              <w:pStyle w:val="34"/>
              <w:rPr>
                <w:color w:val="000000" w:themeColor="text1"/>
                <w14:textFill>
                  <w14:solidFill>
                    <w14:schemeClr w14:val="tx1"/>
                  </w14:solidFill>
                </w14:textFill>
              </w:rPr>
            </w:pPr>
            <w:r>
              <w:rPr>
                <w:color w:val="000000" w:themeColor="text1"/>
                <w14:textFill>
                  <w14:solidFill>
                    <w14:schemeClr w14:val="tx1"/>
                  </w14:solidFill>
                </w14:textFill>
              </w:rPr>
              <w:t>林草植被恢复率（％）</w:t>
            </w:r>
          </w:p>
        </w:tc>
        <w:tc>
          <w:tcPr>
            <w:tcW w:w="1192" w:type="dxa"/>
            <w:tcBorders>
              <w:tl2br w:val="nil"/>
              <w:tr2bl w:val="nil"/>
            </w:tcBorders>
            <w:tcMar>
              <w:top w:w="0" w:type="dxa"/>
              <w:left w:w="0" w:type="dxa"/>
              <w:bottom w:w="0" w:type="dxa"/>
              <w:right w:w="0" w:type="dxa"/>
            </w:tcMar>
            <w:vAlign w:val="center"/>
          </w:tcPr>
          <w:p w14:paraId="4A639622">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w:t>
            </w:r>
          </w:p>
        </w:tc>
        <w:tc>
          <w:tcPr>
            <w:tcW w:w="1276" w:type="dxa"/>
            <w:tcBorders>
              <w:tl2br w:val="nil"/>
              <w:tr2bl w:val="nil"/>
            </w:tcBorders>
            <w:tcMar>
              <w:top w:w="0" w:type="dxa"/>
              <w:left w:w="0" w:type="dxa"/>
              <w:bottom w:w="0" w:type="dxa"/>
              <w:right w:w="0" w:type="dxa"/>
            </w:tcMar>
            <w:vAlign w:val="center"/>
          </w:tcPr>
          <w:p w14:paraId="698361F4">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97</w:t>
            </w:r>
          </w:p>
        </w:tc>
        <w:tc>
          <w:tcPr>
            <w:tcW w:w="986" w:type="dxa"/>
            <w:tcBorders>
              <w:tl2br w:val="nil"/>
              <w:tr2bl w:val="nil"/>
            </w:tcBorders>
            <w:tcMar>
              <w:top w:w="0" w:type="dxa"/>
              <w:left w:w="0" w:type="dxa"/>
              <w:bottom w:w="0" w:type="dxa"/>
              <w:right w:w="0" w:type="dxa"/>
            </w:tcMar>
            <w:vAlign w:val="center"/>
          </w:tcPr>
          <w:p w14:paraId="7051B20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70" w:type="dxa"/>
            <w:tcBorders>
              <w:tl2br w:val="nil"/>
              <w:tr2bl w:val="nil"/>
            </w:tcBorders>
            <w:tcMar>
              <w:top w:w="0" w:type="dxa"/>
              <w:left w:w="0" w:type="dxa"/>
              <w:bottom w:w="0" w:type="dxa"/>
              <w:right w:w="0" w:type="dxa"/>
            </w:tcMar>
            <w:vAlign w:val="center"/>
          </w:tcPr>
          <w:p w14:paraId="0928392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63" w:type="dxa"/>
            <w:tcBorders>
              <w:tl2br w:val="nil"/>
              <w:tr2bl w:val="nil"/>
            </w:tcBorders>
            <w:tcMar>
              <w:top w:w="0" w:type="dxa"/>
              <w:left w:w="0" w:type="dxa"/>
              <w:bottom w:w="0" w:type="dxa"/>
              <w:right w:w="0" w:type="dxa"/>
            </w:tcMar>
            <w:vAlign w:val="center"/>
          </w:tcPr>
          <w:p w14:paraId="67242E1B">
            <w:pPr>
              <w:pStyle w:val="34"/>
              <w:rPr>
                <w:color w:val="000000" w:themeColor="text1"/>
                <w14:textFill>
                  <w14:solidFill>
                    <w14:schemeClr w14:val="tx1"/>
                  </w14:solidFill>
                </w14:textFill>
              </w:rPr>
            </w:pPr>
          </w:p>
        </w:tc>
        <w:tc>
          <w:tcPr>
            <w:tcW w:w="744" w:type="dxa"/>
            <w:tcBorders>
              <w:tl2br w:val="nil"/>
              <w:tr2bl w:val="nil"/>
            </w:tcBorders>
            <w:tcMar>
              <w:top w:w="0" w:type="dxa"/>
              <w:left w:w="0" w:type="dxa"/>
              <w:bottom w:w="0" w:type="dxa"/>
              <w:right w:w="0" w:type="dxa"/>
            </w:tcMar>
            <w:vAlign w:val="center"/>
          </w:tcPr>
          <w:p w14:paraId="7209A57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24" w:type="dxa"/>
            <w:tcBorders>
              <w:tl2br w:val="nil"/>
              <w:tr2bl w:val="nil"/>
            </w:tcBorders>
            <w:tcMar>
              <w:top w:w="0" w:type="dxa"/>
              <w:left w:w="0" w:type="dxa"/>
              <w:bottom w:w="0" w:type="dxa"/>
              <w:right w:w="0" w:type="dxa"/>
            </w:tcMar>
            <w:vAlign w:val="center"/>
          </w:tcPr>
          <w:p w14:paraId="771D9008">
            <w:pPr>
              <w:pStyle w:val="34"/>
              <w:rPr>
                <w:color w:val="000000" w:themeColor="text1"/>
                <w14:textFill>
                  <w14:solidFill>
                    <w14:schemeClr w14:val="tx1"/>
                  </w14:solidFill>
                </w14:textFill>
              </w:rPr>
            </w:pPr>
            <w:r>
              <w:rPr>
                <w:color w:val="000000" w:themeColor="text1"/>
                <w14:textFill>
                  <w14:solidFill>
                    <w14:schemeClr w14:val="tx1"/>
                  </w14:solidFill>
                </w14:textFill>
              </w:rPr>
              <w:t>97</w:t>
            </w:r>
          </w:p>
        </w:tc>
      </w:tr>
      <w:tr w14:paraId="43F901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40" w:hRule="atLeast"/>
        </w:trPr>
        <w:tc>
          <w:tcPr>
            <w:tcW w:w="1861" w:type="dxa"/>
            <w:tcBorders>
              <w:tl2br w:val="nil"/>
              <w:tr2bl w:val="nil"/>
            </w:tcBorders>
            <w:tcMar>
              <w:top w:w="0" w:type="dxa"/>
              <w:left w:w="0" w:type="dxa"/>
              <w:bottom w:w="0" w:type="dxa"/>
              <w:right w:w="0" w:type="dxa"/>
            </w:tcMar>
            <w:vAlign w:val="center"/>
          </w:tcPr>
          <w:p w14:paraId="53D8E059">
            <w:pPr>
              <w:pStyle w:val="34"/>
              <w:rPr>
                <w:color w:val="000000" w:themeColor="text1"/>
                <w14:textFill>
                  <w14:solidFill>
                    <w14:schemeClr w14:val="tx1"/>
                  </w14:solidFill>
                </w14:textFill>
              </w:rPr>
            </w:pPr>
            <w:r>
              <w:rPr>
                <w:color w:val="000000" w:themeColor="text1"/>
                <w14:textFill>
                  <w14:solidFill>
                    <w14:schemeClr w14:val="tx1"/>
                  </w14:solidFill>
                </w14:textFill>
              </w:rPr>
              <w:t>林草覆盖率（％）</w:t>
            </w:r>
          </w:p>
        </w:tc>
        <w:tc>
          <w:tcPr>
            <w:tcW w:w="1192" w:type="dxa"/>
            <w:tcBorders>
              <w:tl2br w:val="nil"/>
              <w:tr2bl w:val="nil"/>
            </w:tcBorders>
            <w:tcMar>
              <w:top w:w="0" w:type="dxa"/>
              <w:left w:w="0" w:type="dxa"/>
              <w:bottom w:w="0" w:type="dxa"/>
              <w:right w:w="0" w:type="dxa"/>
            </w:tcMar>
            <w:vAlign w:val="center"/>
          </w:tcPr>
          <w:p w14:paraId="4223AA52">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w:t>
            </w:r>
          </w:p>
        </w:tc>
        <w:tc>
          <w:tcPr>
            <w:tcW w:w="1276" w:type="dxa"/>
            <w:tcBorders>
              <w:tl2br w:val="nil"/>
              <w:tr2bl w:val="nil"/>
            </w:tcBorders>
            <w:tcMar>
              <w:top w:w="0" w:type="dxa"/>
              <w:left w:w="0" w:type="dxa"/>
              <w:bottom w:w="0" w:type="dxa"/>
              <w:right w:w="0" w:type="dxa"/>
            </w:tcMar>
            <w:vAlign w:val="center"/>
          </w:tcPr>
          <w:p w14:paraId="6D49EC85">
            <w:pPr>
              <w:pStyle w:val="34"/>
              <w:rPr>
                <w:color w:val="000000" w:themeColor="text1"/>
                <w14:textFill>
                  <w14:solidFill>
                    <w14:schemeClr w14:val="tx1"/>
                  </w14:solidFill>
                </w14:textFill>
              </w:rPr>
            </w:pPr>
            <w:r>
              <w:rPr>
                <w:rFonts w:cs="Times New Roman"/>
                <w:color w:val="000000" w:themeColor="text1"/>
                <w14:textFill>
                  <w14:solidFill>
                    <w14:schemeClr w14:val="tx1"/>
                  </w14:solidFill>
                </w14:textFill>
              </w:rPr>
              <w:t>23</w:t>
            </w:r>
          </w:p>
        </w:tc>
        <w:tc>
          <w:tcPr>
            <w:tcW w:w="986" w:type="dxa"/>
            <w:tcBorders>
              <w:tl2br w:val="nil"/>
              <w:tr2bl w:val="nil"/>
            </w:tcBorders>
            <w:tcMar>
              <w:top w:w="0" w:type="dxa"/>
              <w:left w:w="0" w:type="dxa"/>
              <w:bottom w:w="0" w:type="dxa"/>
              <w:right w:w="0" w:type="dxa"/>
            </w:tcMar>
            <w:vAlign w:val="center"/>
          </w:tcPr>
          <w:p w14:paraId="4803974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770" w:type="dxa"/>
            <w:tcBorders>
              <w:tl2br w:val="nil"/>
              <w:tr2bl w:val="nil"/>
            </w:tcBorders>
            <w:tcMar>
              <w:top w:w="0" w:type="dxa"/>
              <w:left w:w="0" w:type="dxa"/>
              <w:bottom w:w="0" w:type="dxa"/>
              <w:right w:w="0" w:type="dxa"/>
            </w:tcMar>
            <w:vAlign w:val="center"/>
          </w:tcPr>
          <w:p w14:paraId="4CCEC36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63" w:type="dxa"/>
            <w:tcBorders>
              <w:tl2br w:val="nil"/>
              <w:tr2bl w:val="nil"/>
            </w:tcBorders>
            <w:tcMar>
              <w:top w:w="0" w:type="dxa"/>
              <w:left w:w="0" w:type="dxa"/>
              <w:bottom w:w="0" w:type="dxa"/>
              <w:right w:w="0" w:type="dxa"/>
            </w:tcMar>
            <w:vAlign w:val="center"/>
          </w:tcPr>
          <w:p w14:paraId="332A122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0</w:t>
            </w:r>
          </w:p>
        </w:tc>
        <w:tc>
          <w:tcPr>
            <w:tcW w:w="744" w:type="dxa"/>
            <w:tcBorders>
              <w:tl2br w:val="nil"/>
              <w:tr2bl w:val="nil"/>
            </w:tcBorders>
            <w:tcMar>
              <w:top w:w="0" w:type="dxa"/>
              <w:left w:w="0" w:type="dxa"/>
              <w:bottom w:w="0" w:type="dxa"/>
              <w:right w:w="0" w:type="dxa"/>
            </w:tcMar>
            <w:vAlign w:val="center"/>
          </w:tcPr>
          <w:p w14:paraId="7006C7DE">
            <w:pPr>
              <w:pStyle w:val="34"/>
              <w:rPr>
                <w:color w:val="000000" w:themeColor="text1"/>
                <w14:textFill>
                  <w14:solidFill>
                    <w14:schemeClr w14:val="tx1"/>
                  </w14:solidFill>
                </w14:textFill>
              </w:rPr>
            </w:pPr>
          </w:p>
        </w:tc>
        <w:tc>
          <w:tcPr>
            <w:tcW w:w="824" w:type="dxa"/>
            <w:tcBorders>
              <w:tl2br w:val="nil"/>
              <w:tr2bl w:val="nil"/>
            </w:tcBorders>
            <w:tcMar>
              <w:top w:w="0" w:type="dxa"/>
              <w:left w:w="0" w:type="dxa"/>
              <w:bottom w:w="0" w:type="dxa"/>
              <w:right w:w="0" w:type="dxa"/>
            </w:tcMar>
            <w:vAlign w:val="center"/>
          </w:tcPr>
          <w:p w14:paraId="4F2E72DA">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w:t>
            </w:r>
          </w:p>
        </w:tc>
      </w:tr>
      <w:bookmarkEnd w:id="42"/>
    </w:tbl>
    <w:p w14:paraId="42CB5D5A">
      <w:pPr>
        <w:pStyle w:val="3"/>
        <w:rPr>
          <w:color w:val="000000" w:themeColor="text1"/>
          <w14:textFill>
            <w14:solidFill>
              <w14:schemeClr w14:val="tx1"/>
            </w14:solidFill>
          </w14:textFill>
        </w:rPr>
      </w:pPr>
      <w:bookmarkStart w:id="43" w:name="_Toc689"/>
      <w:r>
        <w:rPr>
          <w:rFonts w:hint="eastAsia"/>
          <w:color w:val="000000" w:themeColor="text1"/>
          <w14:textFill>
            <w14:solidFill>
              <w14:schemeClr w14:val="tx1"/>
            </w14:solidFill>
          </w14:textFill>
        </w:rPr>
        <w:t>1.6</w:t>
      </w:r>
      <w:bookmarkStart w:id="44" w:name="_Hlk136432651"/>
      <w:r>
        <w:rPr>
          <w:rFonts w:hint="eastAsia"/>
          <w:color w:val="000000" w:themeColor="text1"/>
          <w14:textFill>
            <w14:solidFill>
              <w14:schemeClr w14:val="tx1"/>
            </w14:solidFill>
          </w14:textFill>
        </w:rPr>
        <w:t>主体工程水土保持分析评价结论</w:t>
      </w:r>
      <w:bookmarkEnd w:id="43"/>
      <w:bookmarkEnd w:id="44"/>
    </w:p>
    <w:p w14:paraId="0EC91C6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1.6.1</w:t>
      </w:r>
      <w:bookmarkStart w:id="45" w:name="_Hlk136432748"/>
      <w:r>
        <w:rPr>
          <w:rFonts w:hint="eastAsia"/>
          <w:color w:val="000000" w:themeColor="text1"/>
          <w14:textFill>
            <w14:solidFill>
              <w14:schemeClr w14:val="tx1"/>
            </w14:solidFill>
          </w14:textFill>
        </w:rPr>
        <w:t>主体工程选址评价</w:t>
      </w:r>
    </w:p>
    <w:bookmarkEnd w:id="45"/>
    <w:p w14:paraId="5452E1DF">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本项目的建设符合绵阳市高新区</w:t>
      </w:r>
      <w:r>
        <w:rPr>
          <w:rFonts w:hint="eastAsia"/>
          <w:color w:val="000000" w:themeColor="text1"/>
          <w14:textFill>
            <w14:solidFill>
              <w14:schemeClr w14:val="tx1"/>
            </w14:solidFill>
          </w14:textFill>
        </w:rPr>
        <w:t>土地利用总体规划</w:t>
      </w:r>
      <w:r>
        <w:rPr>
          <w:rFonts w:hint="eastAsia" w:cs="Times New Roman"/>
          <w:color w:val="000000" w:themeColor="text1"/>
          <w14:textFill>
            <w14:solidFill>
              <w14:schemeClr w14:val="tx1"/>
            </w14:solidFill>
          </w14:textFill>
        </w:rPr>
        <w:t>，符合现行国家产业政策和地方产业政策，符合园区发展规划及规划环境影响评价要求。</w:t>
      </w:r>
    </w:p>
    <w:p w14:paraId="0AB01509">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项目选址不涉及河流两岸、湖泊和水库周边的植物保护带；不涉及全国水土保持监测网络中的水土保持监测站点、重点试验区及国家确定的水土保持长期定位观测站。</w:t>
      </w:r>
      <w:r>
        <w:rPr>
          <w:rFonts w:hint="eastAsia"/>
          <w:bCs/>
          <w:color w:val="000000" w:themeColor="text1"/>
          <w14:textFill>
            <w14:solidFill>
              <w14:schemeClr w14:val="tx1"/>
            </w14:solidFill>
          </w14:textFill>
        </w:rPr>
        <w:t>根据《水利部办公厅印发&lt;全国水土保持规划国家级水士流失重点预防区和重点治理区复核划分成果&gt;的通知》（办水保〔2013〕188号）、《四川省水利厅关于印发&lt;四川省省级水土流失重点预防区和重点治理区划分成果&gt;的通知》（川水函〔201</w:t>
      </w:r>
      <w:r>
        <w:rPr>
          <w:bCs/>
          <w:color w:val="000000" w:themeColor="text1"/>
          <w14:textFill>
            <w14:solidFill>
              <w14:schemeClr w14:val="tx1"/>
            </w14:solidFill>
          </w14:textFill>
        </w:rPr>
        <w:t>7</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482</w:t>
      </w:r>
      <w:r>
        <w:rPr>
          <w:rFonts w:hint="eastAsia"/>
          <w:bCs/>
          <w:color w:val="000000" w:themeColor="text1"/>
          <w14:textFill>
            <w14:solidFill>
              <w14:schemeClr w14:val="tx1"/>
            </w14:solidFill>
          </w14:textFill>
        </w:rPr>
        <w:t>号），</w:t>
      </w:r>
      <w:r>
        <w:rPr>
          <w:rFonts w:hint="eastAsia" w:cs="Times New Roman"/>
          <w:color w:val="000000" w:themeColor="text1"/>
          <w14:textFill>
            <w14:solidFill>
              <w14:schemeClr w14:val="tx1"/>
            </w14:solidFill>
          </w14:textFill>
        </w:rPr>
        <w:t>项目所在地绵阳市高新区不属于国家级和省级水土流失重点治理区和水土流失重点预防区。</w:t>
      </w:r>
    </w:p>
    <w:p w14:paraId="2023B8C3">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绵阳市水土保持规划，项目所在的绵阳市高新区永兴镇属于市级水土流失重点治理区，且无法避让。从水土保持角度分析，通过主体工程在建设方案上和施工工艺上采取的优化措施，以及本方案执行一级水土流失防治标准，提出的优化措施后，基本满足水土保持相关要求，本项目主体工程选址是合理的</w:t>
      </w:r>
      <w:r>
        <w:rPr>
          <w:rFonts w:cs="Times New Roman"/>
          <w:color w:val="000000" w:themeColor="text1"/>
          <w14:textFill>
            <w14:solidFill>
              <w14:schemeClr w14:val="tx1"/>
            </w14:solidFill>
          </w14:textFill>
        </w:rPr>
        <w:t>。</w:t>
      </w:r>
    </w:p>
    <w:p w14:paraId="1573D70D">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1.6.2建设方案与布局评价</w:t>
      </w:r>
    </w:p>
    <w:p w14:paraId="180DC8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1、建设方案</w:t>
      </w:r>
    </w:p>
    <w:p w14:paraId="63DBE623">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位于绵阳市高新区，主体设计注重景观要求，绿化按主体设计方案实施，并配套建设有雨水管、雨水口等排水设施，符合水土保持技术标准要求。项目主体工程选址位于绵阳市水土流失重点治理区，且无法避让，主体工程对建设方案进行了优化调整，在建设方案上充分考虑了原始地面地形、高程，在整个规划中，场区考虑减少土方工程量，根据场地原始高程来进行总图竖向设计，减少了工程开挖、回填土石方量。并将施工生产生活区布置在绵阳高新区钜成产业园，与其共用施工生产生活区 ，减少了新增临时占地和地表扰动，在施工工艺上采用机械施工为主，人工施工为辅，基础开挖及沟槽开挖等严格按照设计开挖线进行开挖，防止超挖，减少了土石方开挖量。</w:t>
      </w:r>
    </w:p>
    <w:p w14:paraId="0618ABE1">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2、工程占地</w:t>
      </w:r>
    </w:p>
    <w:p w14:paraId="7B867E13">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占地不涉及基本农田保护区，且对所占用的土地会通过硬化和建筑占压、绿化，可以大幅减少项目运行后土地产生的水土流失。项目的施工生产生活区在满足施工和安全的前提下布置紧凑，有利于减少项目临时占地。经核实，主体工程计列占地无漏项。综上所述，工程占地是合理的。</w:t>
      </w:r>
    </w:p>
    <w:p w14:paraId="719F869A">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3、土石方平衡</w:t>
      </w:r>
    </w:p>
    <w:p w14:paraId="0FFBAAC6">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主体工程设计根据建设场地周边规划道路高程，确定了本项目的设计标高，充分利用原始地形坡度，采用平坡式布置，将土石方工程最小化，符合水土保持挖填最优原则，符合土方综合利用要求。</w:t>
      </w:r>
    </w:p>
    <w:p w14:paraId="44D325E7">
      <w:pPr>
        <w:ind w:firstLine="480"/>
        <w:rPr>
          <w:rFonts w:cs="Times New Roman"/>
          <w:color w:val="000000" w:themeColor="text1"/>
          <w14:textFill>
            <w14:solidFill>
              <w14:schemeClr w14:val="tx1"/>
            </w14:solidFill>
          </w14:textFill>
        </w:rPr>
      </w:pPr>
      <w:bookmarkStart w:id="46" w:name="_Hlk136433988"/>
      <w:r>
        <w:rPr>
          <w:rFonts w:hint="eastAsia" w:cs="Times New Roman"/>
          <w:color w:val="000000" w:themeColor="text1"/>
          <w14:textFill>
            <w14:solidFill>
              <w14:schemeClr w14:val="tx1"/>
            </w14:solidFill>
          </w14:textFill>
        </w:rPr>
        <w:t>主体设计尽可能考虑了土石方综合利用，以达到减少工程弃土数量的目的，部分开挖土石方用作项目场地内基础和管线地沟的回填，</w:t>
      </w:r>
      <w:r>
        <w:rPr>
          <w:rFonts w:hint="eastAsia"/>
          <w:color w:val="000000" w:themeColor="text1"/>
          <w:highlight w:val="none"/>
          <w14:textFill>
            <w14:solidFill>
              <w14:schemeClr w14:val="tx1"/>
            </w14:solidFill>
          </w14:textFill>
        </w:rPr>
        <w:t>余方运送至距离项目</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5公里的</w:t>
      </w:r>
      <w:r>
        <w:rPr>
          <w:rFonts w:hint="eastAsia"/>
          <w:color w:val="000000" w:themeColor="text1"/>
          <w:spacing w:val="-4"/>
          <w:highlight w:val="none"/>
          <w14:textFill>
            <w14:solidFill>
              <w14:schemeClr w14:val="tx1"/>
            </w14:solidFill>
          </w14:textFill>
        </w:rPr>
        <w:t>绵阳会展中心综合体项目周边道路建设项目（三期）</w:t>
      </w:r>
      <w:r>
        <w:rPr>
          <w:rFonts w:hint="eastAsia"/>
          <w:color w:val="000000" w:themeColor="text1"/>
          <w:highlight w:val="none"/>
          <w14:textFill>
            <w14:solidFill>
              <w14:schemeClr w14:val="tx1"/>
            </w14:solidFill>
          </w14:textFill>
        </w:rPr>
        <w:t>回填后综合利用</w:t>
      </w:r>
      <w:r>
        <w:rPr>
          <w:rFonts w:hint="eastAsia"/>
          <w:color w:val="000000" w:themeColor="text1"/>
          <w:spacing w:val="-4"/>
          <w:highlight w:val="none"/>
          <w14:textFill>
            <w14:solidFill>
              <w14:schemeClr w14:val="tx1"/>
            </w14:solidFill>
          </w14:textFill>
        </w:rPr>
        <w:t>。</w:t>
      </w:r>
      <w:r>
        <w:rPr>
          <w:rFonts w:hint="eastAsia" w:cs="Times New Roman"/>
          <w:color w:val="000000" w:themeColor="text1"/>
          <w14:textFill>
            <w14:solidFill>
              <w14:schemeClr w14:val="tx1"/>
            </w14:solidFill>
          </w14:textFill>
        </w:rPr>
        <w:t>项目的土石方调运合理，可以满足工程、保护土地资源等方面的要求。余方运输过程中做好水土保持措施，可以有效减少因设置弃土场造成的水土流失。</w:t>
      </w:r>
    </w:p>
    <w:bookmarkEnd w:id="46"/>
    <w:p w14:paraId="7361DCB1">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4、施工方法与工艺</w:t>
      </w:r>
    </w:p>
    <w:p w14:paraId="0C5C60F9">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本项目施工以机械为主，人工为辅。施工步骤安排紧凑，施工临时设施布置合理，主体工程施工中采取的各项施工方法和工艺一定程度上体现了水土保持的要求，对防治水土流失起到了一定的作用。</w:t>
      </w:r>
    </w:p>
    <w:p w14:paraId="4F00EEDF">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w:t>
      </w:r>
      <w:r>
        <w:rPr>
          <w:rFonts w:hint="eastAsia" w:cs="Times New Roman"/>
          <w:color w:val="000000" w:themeColor="text1"/>
          <w14:textFill>
            <w14:solidFill>
              <w14:schemeClr w14:val="tx1"/>
            </w14:solidFill>
          </w14:textFill>
        </w:rPr>
        <w:t>、具有水土保持功能工程</w:t>
      </w:r>
    </w:p>
    <w:p w14:paraId="71D8C69D">
      <w:pPr>
        <w:ind w:firstLine="480"/>
        <w:rPr>
          <w:rFonts w:cs="Times New Roman"/>
          <w:color w:val="000000" w:themeColor="text1"/>
          <w14:textFill>
            <w14:solidFill>
              <w14:schemeClr w14:val="tx1"/>
            </w14:solidFill>
          </w14:textFill>
        </w:rPr>
      </w:pPr>
      <w:bookmarkStart w:id="47" w:name="_Hlk136435140"/>
      <w:r>
        <w:rPr>
          <w:rFonts w:hint="eastAsia" w:cs="Times New Roman"/>
          <w:color w:val="000000" w:themeColor="text1"/>
          <w14:textFill>
            <w14:solidFill>
              <w14:schemeClr w14:val="tx1"/>
            </w14:solidFill>
          </w14:textFill>
        </w:rPr>
        <w:t>主体工程设计中，已考虑到工程建设可能引起的水土流失问题，但主体工程设计对施工期临时防护措施、水土保持工作管理措施等方面考虑不足，本方案将根据水土保持法律法规及技术规范要求作相应补充。本工程建设可能造成的水土流失危害主要是对周边环境的影响，只要认真落实各项防护措施，水土流失危害基本可以消除。工程建设符合水土保持技术规范，并无强制性限制和约束。</w:t>
      </w:r>
    </w:p>
    <w:bookmarkEnd w:id="47"/>
    <w:p w14:paraId="24485A91">
      <w:pPr>
        <w:pStyle w:val="3"/>
        <w:rPr>
          <w:rFonts w:hint="eastAsia"/>
          <w:color w:val="000000" w:themeColor="text1"/>
          <w:highlight w:val="none"/>
          <w14:textFill>
            <w14:solidFill>
              <w14:schemeClr w14:val="tx1"/>
            </w14:solidFill>
          </w14:textFill>
        </w:rPr>
      </w:pPr>
      <w:bookmarkStart w:id="48" w:name="_Toc27336"/>
      <w:r>
        <w:rPr>
          <w:rFonts w:hint="eastAsia"/>
          <w:color w:val="000000" w:themeColor="text1"/>
          <w:highlight w:val="none"/>
          <w14:textFill>
            <w14:solidFill>
              <w14:schemeClr w14:val="tx1"/>
            </w14:solidFill>
          </w14:textFill>
        </w:rPr>
        <w:t>1.7</w:t>
      </w:r>
      <w:bookmarkStart w:id="49" w:name="_Hlk136435213"/>
      <w:r>
        <w:rPr>
          <w:rFonts w:hint="eastAsia"/>
          <w:color w:val="000000" w:themeColor="text1"/>
          <w:highlight w:val="none"/>
          <w14:textFill>
            <w14:solidFill>
              <w14:schemeClr w14:val="tx1"/>
            </w14:solidFill>
          </w14:textFill>
        </w:rPr>
        <w:t>水土流失调查和预测结果</w:t>
      </w:r>
      <w:bookmarkEnd w:id="48"/>
    </w:p>
    <w:p w14:paraId="5BF98762">
      <w:pPr>
        <w:pStyle w:val="4"/>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7</w:t>
      </w:r>
      <w:r>
        <w:rPr>
          <w:rFonts w:hint="eastAsia"/>
          <w:color w:val="000000" w:themeColor="text1"/>
          <w:highlight w:val="none"/>
          <w14:textFill>
            <w14:solidFill>
              <w14:schemeClr w14:val="tx1"/>
            </w14:solidFill>
          </w14:textFill>
        </w:rPr>
        <w:t>.1水土流失调查</w:t>
      </w:r>
    </w:p>
    <w:p w14:paraId="19C77BE1">
      <w:pPr>
        <w:rPr>
          <w:rFonts w:hint="eastAsia"/>
          <w:highlight w:val="none"/>
        </w:rPr>
      </w:pPr>
      <w:r>
        <w:rPr>
          <w:rFonts w:hint="eastAsia"/>
          <w:highlight w:val="none"/>
        </w:rPr>
        <w:t>1、调查时段</w:t>
      </w:r>
    </w:p>
    <w:p w14:paraId="0DE5BC6F">
      <w:pPr>
        <w:rPr>
          <w:rFonts w:hint="eastAsia"/>
          <w:highlight w:val="none"/>
        </w:rPr>
      </w:pPr>
      <w:r>
        <w:rPr>
          <w:rFonts w:hint="eastAsia"/>
          <w:highlight w:val="none"/>
        </w:rPr>
        <w:t>本项目已于2023年6月开工，预计2024年12底月完工，2023年6月至2024年5月采取水土流失调查，调查时间取1.0年。</w:t>
      </w:r>
    </w:p>
    <w:p w14:paraId="4A4C2A48">
      <w:pPr>
        <w:ind w:firstLine="480"/>
        <w:rPr>
          <w:rFonts w:hint="eastAsia" w:eastAsia="仿宋_GB2312"/>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2、调查水土流失量</w:t>
      </w:r>
    </w:p>
    <w:p w14:paraId="16E97AA8">
      <w:pPr>
        <w:ind w:firstLine="480"/>
        <w:rPr>
          <w:rFonts w:hint="eastAsia" w:eastAsia="仿宋_GB2312"/>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本项目</w:t>
      </w:r>
      <w:r>
        <w:rPr>
          <w:rFonts w:hint="eastAsia"/>
          <w:color w:val="000000" w:themeColor="text1"/>
          <w:highlight w:val="none"/>
          <w:lang w:eastAsia="zh-CN"/>
          <w14:textFill>
            <w14:solidFill>
              <w14:schemeClr w14:val="tx1"/>
            </w14:solidFill>
          </w14:textFill>
        </w:rPr>
        <w:t>调查时段</w:t>
      </w:r>
      <w:r>
        <w:rPr>
          <w:rFonts w:hint="eastAsia"/>
          <w:color w:val="000000" w:themeColor="text1"/>
          <w:highlight w:val="none"/>
          <w14:textFill>
            <w14:solidFill>
              <w14:schemeClr w14:val="tx1"/>
            </w14:solidFill>
          </w14:textFill>
        </w:rPr>
        <w:t>将产生土壤流失总量为</w:t>
      </w:r>
      <w:r>
        <w:rPr>
          <w:rFonts w:hint="eastAsia"/>
          <w:color w:val="000000" w:themeColor="text1"/>
          <w:highlight w:val="none"/>
          <w:lang w:eastAsia="zh-CN"/>
          <w14:textFill>
            <w14:solidFill>
              <w14:schemeClr w14:val="tx1"/>
            </w14:solidFill>
          </w14:textFill>
        </w:rPr>
        <w:t>22.14</w:t>
      </w:r>
      <w:r>
        <w:rPr>
          <w:rFonts w:hint="eastAsia"/>
          <w:color w:val="000000" w:themeColor="text1"/>
          <w:highlight w:val="none"/>
          <w14:textFill>
            <w14:solidFill>
              <w14:schemeClr w14:val="tx1"/>
            </w14:solidFill>
          </w14:textFill>
        </w:rPr>
        <w:t>t，其中</w:t>
      </w:r>
      <w:r>
        <w:rPr>
          <w:rFonts w:hint="eastAsia"/>
          <w:color w:val="000000" w:themeColor="text1"/>
          <w:highlight w:val="none"/>
          <w:lang w:eastAsia="zh-CN"/>
          <w14:textFill>
            <w14:solidFill>
              <w14:schemeClr w14:val="tx1"/>
            </w14:solidFill>
          </w14:textFill>
        </w:rPr>
        <w:t>，地下工程区</w:t>
      </w:r>
      <w:r>
        <w:rPr>
          <w:rFonts w:hint="eastAsia"/>
          <w:color w:val="000000" w:themeColor="text1"/>
          <w:highlight w:val="none"/>
          <w14:textFill>
            <w14:solidFill>
              <w14:schemeClr w14:val="tx1"/>
            </w14:solidFill>
          </w14:textFill>
        </w:rPr>
        <w:t>产生土壤流失量为6.35</w:t>
      </w:r>
      <w:r>
        <w:rPr>
          <w:rFonts w:hint="eastAsia"/>
          <w:color w:val="000000" w:themeColor="text1"/>
          <w:highlight w:val="none"/>
          <w:lang w:val="en-US" w:eastAsia="zh-CN"/>
          <w14:textFill>
            <w14:solidFill>
              <w14:schemeClr w14:val="tx1"/>
            </w14:solidFill>
          </w14:textFill>
        </w:rPr>
        <w:t>t，建构筑物工程区</w:t>
      </w:r>
      <w:r>
        <w:rPr>
          <w:rFonts w:hint="eastAsia"/>
          <w:color w:val="000000" w:themeColor="text1"/>
          <w:highlight w:val="none"/>
          <w14:textFill>
            <w14:solidFill>
              <w14:schemeClr w14:val="tx1"/>
            </w14:solidFill>
          </w14:textFill>
        </w:rPr>
        <w:t>产生土壤流失量为7.66</w:t>
      </w:r>
      <w:r>
        <w:rPr>
          <w:rFonts w:hint="eastAsia"/>
          <w:color w:val="000000" w:themeColor="text1"/>
          <w:highlight w:val="none"/>
          <w:lang w:val="en-US" w:eastAsia="zh-CN"/>
          <w14:textFill>
            <w14:solidFill>
              <w14:schemeClr w14:val="tx1"/>
            </w14:solidFill>
          </w14:textFill>
        </w:rPr>
        <w:t>t，场内道路及硬化工程区</w:t>
      </w:r>
      <w:r>
        <w:rPr>
          <w:rFonts w:hint="eastAsia"/>
          <w:color w:val="000000" w:themeColor="text1"/>
          <w:highlight w:val="none"/>
          <w14:textFill>
            <w14:solidFill>
              <w14:schemeClr w14:val="tx1"/>
            </w14:solidFill>
          </w14:textFill>
        </w:rPr>
        <w:t>产生土壤流失量为6.47</w:t>
      </w:r>
      <w:r>
        <w:rPr>
          <w:rFonts w:hint="eastAsia"/>
          <w:color w:val="000000" w:themeColor="text1"/>
          <w:highlight w:val="none"/>
          <w:lang w:val="en-US" w:eastAsia="zh-CN"/>
          <w14:textFill>
            <w14:solidFill>
              <w14:schemeClr w14:val="tx1"/>
            </w14:solidFill>
          </w14:textFill>
        </w:rPr>
        <w:t>t，景观绿化工程区</w:t>
      </w:r>
      <w:r>
        <w:rPr>
          <w:rFonts w:hint="eastAsia"/>
          <w:color w:val="000000" w:themeColor="text1"/>
          <w:highlight w:val="none"/>
          <w14:textFill>
            <w14:solidFill>
              <w14:schemeClr w14:val="tx1"/>
            </w14:solidFill>
          </w14:textFill>
        </w:rPr>
        <w:t>产生土壤流失量为1.66</w:t>
      </w:r>
      <w:r>
        <w:rPr>
          <w:rFonts w:hint="eastAsia"/>
          <w:color w:val="000000" w:themeColor="text1"/>
          <w:highlight w:val="none"/>
          <w:lang w:val="en-US" w:eastAsia="zh-CN"/>
          <w14:textFill>
            <w14:solidFill>
              <w14:schemeClr w14:val="tx1"/>
            </w14:solidFill>
          </w14:textFill>
        </w:rPr>
        <w:t>t。</w:t>
      </w:r>
    </w:p>
    <w:p w14:paraId="792DECB5">
      <w:pPr>
        <w:pStyle w:val="4"/>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7</w:t>
      </w: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水土流失预测</w:t>
      </w:r>
    </w:p>
    <w:p w14:paraId="0F2BDC72">
      <w:pPr>
        <w:rPr>
          <w:rFonts w:hint="eastAsia"/>
        </w:rPr>
      </w:pPr>
      <w:r>
        <w:rPr>
          <w:rFonts w:hint="eastAsia"/>
          <w:lang w:val="en-US" w:eastAsia="zh-CN"/>
        </w:rPr>
        <w:t>1</w:t>
      </w:r>
      <w:r>
        <w:rPr>
          <w:rFonts w:hint="eastAsia"/>
        </w:rPr>
        <w:t>、预测时段</w:t>
      </w:r>
    </w:p>
    <w:p w14:paraId="314BD907">
      <w:pPr>
        <w:rPr>
          <w:rFonts w:hint="eastAsia"/>
        </w:rPr>
      </w:pPr>
      <w:r>
        <w:rPr>
          <w:rFonts w:hint="eastAsia"/>
        </w:rPr>
        <w:t>2024年6月至2024年12月底采取水土流失预测，预测时间取0.5年，预测范围为0.95hm²。</w:t>
      </w:r>
    </w:p>
    <w:p w14:paraId="0D2C11CF">
      <w:pPr>
        <w:ind w:firstLine="480"/>
        <w:rPr>
          <w:rFonts w:hint="eastAsia"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2、预测水土流失量</w:t>
      </w:r>
    </w:p>
    <w:p w14:paraId="5E835B43">
      <w:pPr>
        <w:ind w:firstLine="480"/>
        <w:rPr>
          <w:rFonts w:hint="eastAsia" w:eastAsia="仿宋_GB2312"/>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本项目</w:t>
      </w:r>
      <w:r>
        <w:rPr>
          <w:rFonts w:hint="eastAsia"/>
          <w:color w:val="000000" w:themeColor="text1"/>
          <w:lang w:eastAsia="zh-CN"/>
          <w14:textFill>
            <w14:solidFill>
              <w14:schemeClr w14:val="tx1"/>
            </w14:solidFill>
          </w14:textFill>
        </w:rPr>
        <w:t>预测时段</w:t>
      </w:r>
      <w:r>
        <w:rPr>
          <w:rFonts w:hint="eastAsia"/>
          <w:color w:val="000000" w:themeColor="text1"/>
          <w14:textFill>
            <w14:solidFill>
              <w14:schemeClr w14:val="tx1"/>
            </w14:solidFill>
          </w14:textFill>
        </w:rPr>
        <w:t>将产生土壤流失总量为</w:t>
      </w:r>
      <w:r>
        <w:rPr>
          <w:rFonts w:hint="eastAsia"/>
          <w:color w:val="000000" w:themeColor="text1"/>
          <w:lang w:eastAsia="zh-CN"/>
          <w14:textFill>
            <w14:solidFill>
              <w14:schemeClr w14:val="tx1"/>
            </w14:solidFill>
          </w14:textFill>
        </w:rPr>
        <w:t>9.05</w:t>
      </w:r>
      <w:r>
        <w:rPr>
          <w:rFonts w:hint="eastAsia"/>
          <w:color w:val="000000" w:themeColor="text1"/>
          <w14:textFill>
            <w14:solidFill>
              <w14:schemeClr w14:val="tx1"/>
            </w14:solidFill>
          </w14:textFill>
        </w:rPr>
        <w:t>t，其中</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建构筑物工程区</w:t>
      </w:r>
      <w:r>
        <w:rPr>
          <w:rFonts w:hint="eastAsia"/>
          <w:color w:val="000000" w:themeColor="text1"/>
          <w14:textFill>
            <w14:solidFill>
              <w14:schemeClr w14:val="tx1"/>
            </w14:solidFill>
          </w14:textFill>
        </w:rPr>
        <w:t>产生土壤流失量为3.82</w:t>
      </w:r>
      <w:r>
        <w:rPr>
          <w:rFonts w:hint="eastAsia"/>
          <w:color w:val="000000" w:themeColor="text1"/>
          <w:lang w:val="en-US" w:eastAsia="zh-CN"/>
          <w14:textFill>
            <w14:solidFill>
              <w14:schemeClr w14:val="tx1"/>
            </w14:solidFill>
          </w14:textFill>
        </w:rPr>
        <w:t>t，场内道路及硬化工程区</w:t>
      </w:r>
      <w:r>
        <w:rPr>
          <w:rFonts w:hint="eastAsia"/>
          <w:color w:val="000000" w:themeColor="text1"/>
          <w14:textFill>
            <w14:solidFill>
              <w14:schemeClr w14:val="tx1"/>
            </w14:solidFill>
          </w14:textFill>
        </w:rPr>
        <w:t>产生土壤流失量为3.24</w:t>
      </w:r>
      <w:r>
        <w:rPr>
          <w:rFonts w:hint="eastAsia"/>
          <w:color w:val="000000" w:themeColor="text1"/>
          <w:lang w:val="en-US" w:eastAsia="zh-CN"/>
          <w14:textFill>
            <w14:solidFill>
              <w14:schemeClr w14:val="tx1"/>
            </w14:solidFill>
          </w14:textFill>
        </w:rPr>
        <w:t>t，景观绿化工程区</w:t>
      </w:r>
      <w:r>
        <w:rPr>
          <w:rFonts w:hint="eastAsia"/>
          <w:color w:val="000000" w:themeColor="text1"/>
          <w14:textFill>
            <w14:solidFill>
              <w14:schemeClr w14:val="tx1"/>
            </w14:solidFill>
          </w14:textFill>
        </w:rPr>
        <w:t>产生土壤流失量为0.84</w:t>
      </w:r>
      <w:r>
        <w:rPr>
          <w:rFonts w:hint="eastAsia"/>
          <w:color w:val="000000" w:themeColor="text1"/>
          <w:lang w:val="en-US" w:eastAsia="zh-CN"/>
          <w14:textFill>
            <w14:solidFill>
              <w14:schemeClr w14:val="tx1"/>
            </w14:solidFill>
          </w14:textFill>
        </w:rPr>
        <w:t>t，自然恢复期景观绿化工程区</w:t>
      </w:r>
      <w:r>
        <w:rPr>
          <w:rFonts w:hint="eastAsia"/>
          <w:color w:val="000000" w:themeColor="text1"/>
          <w14:textFill>
            <w14:solidFill>
              <w14:schemeClr w14:val="tx1"/>
            </w14:solidFill>
          </w14:textFill>
        </w:rPr>
        <w:t>产生土壤流失量为1.15</w:t>
      </w:r>
      <w:r>
        <w:rPr>
          <w:rFonts w:hint="eastAsia"/>
          <w:color w:val="000000" w:themeColor="text1"/>
          <w:lang w:val="en-US" w:eastAsia="zh-CN"/>
          <w14:textFill>
            <w14:solidFill>
              <w14:schemeClr w14:val="tx1"/>
            </w14:solidFill>
          </w14:textFill>
        </w:rPr>
        <w:t>t。</w:t>
      </w:r>
      <w:bookmarkEnd w:id="49"/>
    </w:p>
    <w:p w14:paraId="3AD63645">
      <w:pPr>
        <w:ind w:firstLine="480"/>
        <w:rPr>
          <w:color w:val="000000" w:themeColor="text1"/>
          <w14:textFill>
            <w14:solidFill>
              <w14:schemeClr w14:val="tx1"/>
            </w14:solidFill>
          </w14:textFill>
        </w:rPr>
      </w:pPr>
      <w:bookmarkStart w:id="50" w:name="_Hlk136435251"/>
      <w:r>
        <w:rPr>
          <w:rFonts w:hint="eastAsia"/>
          <w:color w:val="000000" w:themeColor="text1"/>
          <w14:textFill>
            <w14:solidFill>
              <w14:schemeClr w14:val="tx1"/>
            </w14:solidFill>
          </w14:textFill>
        </w:rPr>
        <w:t>本项目建设将产生土壤流失总量为</w:t>
      </w:r>
      <w:r>
        <w:rPr>
          <w:rFonts w:hint="eastAsia"/>
          <w:color w:val="000000" w:themeColor="text1"/>
          <w:lang w:eastAsia="zh-CN"/>
          <w14:textFill>
            <w14:solidFill>
              <w14:schemeClr w14:val="tx1"/>
            </w14:solidFill>
          </w14:textFill>
        </w:rPr>
        <w:t>31.19</w:t>
      </w:r>
      <w:r>
        <w:rPr>
          <w:rFonts w:hint="eastAsia"/>
          <w:color w:val="000000" w:themeColor="text1"/>
          <w14:textFill>
            <w14:solidFill>
              <w14:schemeClr w14:val="tx1"/>
            </w14:solidFill>
          </w14:textFill>
        </w:rPr>
        <w:t>t</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新增土壤流失量</w:t>
      </w:r>
      <w:r>
        <w:rPr>
          <w:rFonts w:hint="eastAsia"/>
          <w:color w:val="000000" w:themeColor="text1"/>
          <w:lang w:eastAsia="zh-CN"/>
          <w14:textFill>
            <w14:solidFill>
              <w14:schemeClr w14:val="tx1"/>
            </w14:solidFill>
          </w14:textFill>
        </w:rPr>
        <w:t>21.88</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，施工期是本项目水土流失的重点时段，</w:t>
      </w:r>
      <w:r>
        <w:rPr>
          <w:rFonts w:hint="eastAsia"/>
          <w:color w:val="000000" w:themeColor="text1"/>
          <w:lang w:eastAsia="zh-CN"/>
          <w14:textFill>
            <w14:solidFill>
              <w14:schemeClr w14:val="tx1"/>
            </w14:solidFill>
          </w14:textFill>
        </w:rPr>
        <w:t>地下工程区新增水土流失量5.25t</w:t>
      </w:r>
      <w:r>
        <w:rPr>
          <w:rFonts w:hint="eastAsia"/>
          <w:color w:val="000000" w:themeColor="text1"/>
          <w14:textFill>
            <w14:solidFill>
              <w14:schemeClr w14:val="tx1"/>
            </w14:solidFill>
          </w14:textFill>
        </w:rPr>
        <w:t>，占新增水土流失总量的</w:t>
      </w:r>
      <w:r>
        <w:rPr>
          <w:rFonts w:hint="eastAsia"/>
          <w:color w:val="000000" w:themeColor="text1"/>
          <w:lang w:eastAsia="zh-CN"/>
          <w14:textFill>
            <w14:solidFill>
              <w14:schemeClr w14:val="tx1"/>
            </w14:solidFill>
          </w14:textFill>
        </w:rPr>
        <w:t>23.99%</w:t>
      </w:r>
      <w:r>
        <w:rPr>
          <w:rFonts w:hint="eastAsia"/>
          <w:color w:val="000000" w:themeColor="text1"/>
          <w14:textFill>
            <w14:solidFill>
              <w14:schemeClr w14:val="tx1"/>
            </w14:solidFill>
          </w14:textFill>
        </w:rPr>
        <w:t>，建构筑物工程区新增水土流失量</w:t>
      </w:r>
      <w:r>
        <w:rPr>
          <w:rFonts w:hint="eastAsia"/>
          <w:color w:val="000000" w:themeColor="text1"/>
          <w:lang w:eastAsia="zh-CN"/>
          <w14:textFill>
            <w14:solidFill>
              <w14:schemeClr w14:val="tx1"/>
            </w14:solidFill>
          </w14:textFill>
        </w:rPr>
        <w:t>8.11</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，占新增水土流失总量的37.07%，场内道路及硬化工程区新增水土流失量6.85</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，占新增水土流失总量的31.31%，景观绿化工程区新增水土流失量1.6</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，占新增水土流失总量的7.</w:t>
      </w:r>
      <w:r>
        <w:rPr>
          <w:rFonts w:hint="eastAsia"/>
          <w:color w:val="000000" w:themeColor="text1"/>
          <w:lang w:val="en-US" w:eastAsia="zh-CN"/>
          <w14:textFill>
            <w14:solidFill>
              <w14:schemeClr w14:val="tx1"/>
            </w14:solidFill>
          </w14:textFill>
        </w:rPr>
        <w:t>63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，建构筑物工程区、场内道路及硬化工程区是本项目水土流失的重点区域。</w:t>
      </w:r>
    </w:p>
    <w:p w14:paraId="30686157">
      <w:pPr>
        <w:ind w:right="7" w:rightChars="3" w:firstLine="480"/>
        <w:rPr>
          <w:color w:val="000000" w:themeColor="text1"/>
          <w14:textFill>
            <w14:solidFill>
              <w14:schemeClr w14:val="tx1"/>
            </w14:solidFill>
          </w14:textFill>
        </w:rPr>
      </w:pPr>
      <w:bookmarkStart w:id="51" w:name="_Hlk136435949"/>
      <w:r>
        <w:rPr>
          <w:rFonts w:hint="eastAsia"/>
          <w:color w:val="000000" w:themeColor="text1"/>
          <w14:textFill>
            <w14:solidFill>
              <w14:schemeClr w14:val="tx1"/>
            </w14:solidFill>
          </w14:textFill>
        </w:rPr>
        <w:t>本项目的水土流失危害主要是在暴雨过程中，因大量的泥沙被雨水冲刷随水进入城市雨水管网和水系</w:t>
      </w:r>
      <w:bookmarkEnd w:id="51"/>
      <w:r>
        <w:rPr>
          <w:rFonts w:hint="eastAsia"/>
          <w:color w:val="000000" w:themeColor="text1"/>
          <w14:textFill>
            <w14:solidFill>
              <w14:schemeClr w14:val="tx1"/>
            </w14:solidFill>
          </w14:textFill>
        </w:rPr>
        <w:t>，沉积于管网及河道中，造成淤塞，严重影响了排水系统的通畅；遇到大风天气项目区内裸露地表及临时堆土会产生扬尘，降低城市空气质量。</w:t>
      </w:r>
    </w:p>
    <w:bookmarkEnd w:id="50"/>
    <w:p w14:paraId="2F6B1728">
      <w:pPr>
        <w:pStyle w:val="3"/>
        <w:rPr>
          <w:color w:val="000000" w:themeColor="text1"/>
          <w14:textFill>
            <w14:solidFill>
              <w14:schemeClr w14:val="tx1"/>
            </w14:solidFill>
          </w14:textFill>
        </w:rPr>
      </w:pPr>
      <w:bookmarkStart w:id="52" w:name="_Toc20766"/>
      <w:r>
        <w:rPr>
          <w:rFonts w:hint="eastAsia"/>
          <w:color w:val="000000" w:themeColor="text1"/>
          <w14:textFill>
            <w14:solidFill>
              <w14:schemeClr w14:val="tx1"/>
            </w14:solidFill>
          </w14:textFill>
        </w:rPr>
        <w:t>1.8水土保持措施布设成果</w:t>
      </w:r>
      <w:bookmarkEnd w:id="52"/>
    </w:p>
    <w:p w14:paraId="3A64171F">
      <w:pPr>
        <w:ind w:firstLine="480"/>
        <w:rPr>
          <w:color w:val="auto"/>
          <w:highlight w:val="none"/>
        </w:rPr>
      </w:pPr>
      <w:r>
        <w:rPr>
          <w:color w:val="000000" w:themeColor="text1"/>
          <w14:textFill>
            <w14:solidFill>
              <w14:schemeClr w14:val="tx1"/>
            </w14:solidFill>
          </w14:textFill>
        </w:rPr>
        <w:t>根据分区依据和原则，本项目分为</w:t>
      </w:r>
      <w:r>
        <w:rPr>
          <w:rFonts w:hint="eastAsia"/>
          <w:color w:val="000000" w:themeColor="text1"/>
          <w14:textFill>
            <w14:solidFill>
              <w14:schemeClr w14:val="tx1"/>
            </w14:solidFill>
          </w14:textFill>
        </w:rPr>
        <w:t>地上工程区、地下工程区2个一级分区，</w:t>
      </w:r>
      <w:r>
        <w:rPr>
          <w:rFonts w:hint="eastAsia"/>
          <w:color w:val="auto"/>
          <w:highlight w:val="none"/>
        </w:rPr>
        <w:t>地上工程区又分为建构筑物工程区、场内道路及硬化工程区、景观绿化工程区3个二级分区</w:t>
      </w:r>
      <w:r>
        <w:rPr>
          <w:color w:val="auto"/>
          <w:highlight w:val="none"/>
        </w:rPr>
        <w:t>。针对</w:t>
      </w:r>
      <w:r>
        <w:rPr>
          <w:rFonts w:hint="eastAsia"/>
          <w:color w:val="auto"/>
          <w:highlight w:val="none"/>
        </w:rPr>
        <w:t>各个</w:t>
      </w:r>
      <w:r>
        <w:rPr>
          <w:color w:val="auto"/>
          <w:highlight w:val="none"/>
        </w:rPr>
        <w:t>防治区的不同实际情况，分别采取了相应的工程措施、植物措施及临时措施，以防治水土流失。各防治分区水土保持措施工程量如下：</w:t>
      </w:r>
    </w:p>
    <w:p w14:paraId="2CD7E5F1">
      <w:pPr>
        <w:ind w:firstLine="482"/>
        <w:rPr>
          <w:rFonts w:cs="Times New Roman"/>
          <w:b/>
          <w:bCs/>
          <w:color w:val="auto"/>
          <w:highlight w:val="none"/>
        </w:rPr>
      </w:pPr>
      <w:r>
        <w:rPr>
          <w:rFonts w:hint="eastAsia" w:cs="Times New Roman"/>
          <w:b/>
          <w:bCs/>
          <w:color w:val="auto"/>
          <w:highlight w:val="none"/>
        </w:rPr>
        <w:t>1、地下工程区</w:t>
      </w:r>
    </w:p>
    <w:p w14:paraId="719D14AE">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（1）临时措施</w:t>
      </w:r>
    </w:p>
    <w:p w14:paraId="322F5804">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1）截水沟、沉沙池（主体已实施）</w:t>
      </w:r>
    </w:p>
    <w:p w14:paraId="5F6BD1BC">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布设时间：2023年8月~2023年10月</w:t>
      </w:r>
    </w:p>
    <w:p w14:paraId="4543D272">
      <w:pPr>
        <w:widowControl/>
        <w:ind w:firstLine="480"/>
        <w:rPr>
          <w:rFonts w:hint="eastAsia"/>
          <w:bCs/>
          <w:snapToGrid w:val="0"/>
          <w:color w:val="000000" w:themeColor="text1"/>
          <w:lang w:eastAsia="zh-CN"/>
          <w14:textFill>
            <w14:solidFill>
              <w14:schemeClr w14:val="tx1"/>
            </w14:solidFill>
          </w14:textFill>
        </w:rPr>
      </w:pPr>
      <w:r>
        <w:rPr>
          <w:rFonts w:hint="eastAsia"/>
          <w:bCs/>
          <w:snapToGrid w:val="0"/>
          <w:color w:val="000000" w:themeColor="text1"/>
          <w14:textFill>
            <w14:solidFill>
              <w14:schemeClr w14:val="tx1"/>
            </w14:solidFill>
          </w14:textFill>
        </w:rPr>
        <w:t>在坑顶设置截水沟及临时沉沙池，在基坑开挖线外1m处开挖建设</w:t>
      </w:r>
      <w:r>
        <w:rPr>
          <w:rFonts w:hint="eastAsia"/>
          <w:bCs/>
          <w:snapToGrid w:val="0"/>
          <w:color w:val="000000" w:themeColor="text1"/>
          <w:lang w:eastAsia="zh-CN"/>
          <w14:textFill>
            <w14:solidFill>
              <w14:schemeClr w14:val="tx1"/>
            </w14:solidFill>
          </w14:textFill>
        </w:rPr>
        <w:t>，</w:t>
      </w:r>
      <w:r>
        <w:rPr>
          <w:rFonts w:hint="eastAsia"/>
          <w:bCs/>
          <w:snapToGrid w:val="0"/>
          <w:color w:val="000000" w:themeColor="text1"/>
          <w14:textFill>
            <w14:solidFill>
              <w14:schemeClr w14:val="tx1"/>
            </w14:solidFill>
          </w14:textFill>
        </w:rPr>
        <w:t>坑顶设置</w:t>
      </w:r>
      <w:r>
        <w:rPr>
          <w:bCs/>
          <w:snapToGrid w:val="0"/>
          <w:color w:val="000000" w:themeColor="text1"/>
          <w14:textFill>
            <w14:solidFill>
              <w14:schemeClr w14:val="tx1"/>
            </w14:solidFill>
          </w14:textFill>
        </w:rPr>
        <w:t>截水沟</w:t>
      </w:r>
      <w:r>
        <w:rPr>
          <w:rFonts w:hint="eastAsia"/>
          <w:bCs/>
          <w:snapToGrid w:val="0"/>
          <w:color w:val="000000" w:themeColor="text1"/>
          <w14:textFill>
            <w14:solidFill>
              <w14:schemeClr w14:val="tx1"/>
            </w14:solidFill>
          </w14:textFill>
        </w:rPr>
        <w:t>276.3m，截水沟采用砌砖，矩形断面，</w:t>
      </w:r>
      <w:r>
        <w:rPr>
          <w:rFonts w:hint="eastAsia"/>
          <w:snapToGrid w:val="0"/>
          <w:color w:val="000000" w:themeColor="text1"/>
          <w14:textFill>
            <w14:solidFill>
              <w14:schemeClr w14:val="tx1"/>
            </w14:solidFill>
          </w14:textFill>
        </w:rPr>
        <w:t>MU7.5普通砖砌</w:t>
      </w:r>
      <w:r>
        <w:rPr>
          <w:rFonts w:hint="eastAsia"/>
          <w:bCs/>
          <w:snapToGrid w:val="0"/>
          <w:color w:val="000000" w:themeColor="text1"/>
          <w:lang w:eastAsia="zh-CN"/>
          <w14:textFill>
            <w14:solidFill>
              <w14:schemeClr w14:val="tx1"/>
            </w14:solidFill>
          </w14:textFill>
        </w:rPr>
        <w:t>，</w:t>
      </w:r>
      <w:r>
        <w:rPr>
          <w:rFonts w:hint="eastAsia"/>
          <w:bCs/>
          <w:snapToGrid w:val="0"/>
          <w:color w:val="000000" w:themeColor="text1"/>
          <w14:textFill>
            <w14:solidFill>
              <w14:schemeClr w14:val="tx1"/>
            </w14:solidFill>
          </w14:textFill>
        </w:rPr>
        <w:t>断面尺寸为净宽0.40m×净深0.40m，</w:t>
      </w:r>
      <w:r>
        <w:rPr>
          <w:rFonts w:hint="eastAsia"/>
          <w:snapToGrid w:val="0"/>
          <w:color w:val="000000" w:themeColor="text1"/>
          <w14:textFill>
            <w14:solidFill>
              <w14:schemeClr w14:val="tx1"/>
            </w14:solidFill>
          </w14:textFill>
        </w:rPr>
        <w:t>按5年一遇 10min 暴雨强度进行设计，沟底比降结合地形布置，平均沟底比降0.4%—0.7%</w:t>
      </w:r>
      <w:r>
        <w:rPr>
          <w:rFonts w:hint="eastAsia"/>
          <w:bCs/>
          <w:snapToGrid w:val="0"/>
          <w:color w:val="000000" w:themeColor="text1"/>
          <w:lang w:eastAsia="zh-CN"/>
          <w14:textFill>
            <w14:solidFill>
              <w14:schemeClr w14:val="tx1"/>
            </w14:solidFill>
          </w14:textFill>
        </w:rPr>
        <w:t>，</w:t>
      </w:r>
      <w:r>
        <w:rPr>
          <w:rFonts w:hint="eastAsia"/>
          <w:snapToGrid w:val="0"/>
          <w:color w:val="000000" w:themeColor="text1"/>
          <w14:textFill>
            <w14:solidFill>
              <w14:schemeClr w14:val="tx1"/>
            </w14:solidFill>
          </w14:textFill>
        </w:rPr>
        <w:t>施工结束后拆除。</w:t>
      </w:r>
    </w:p>
    <w:p w14:paraId="5D504E38">
      <w:pPr>
        <w:widowControl/>
        <w:ind w:firstLine="480"/>
        <w:rPr>
          <w:bCs/>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在截水沟转角位置</w:t>
      </w:r>
      <w:r>
        <w:rPr>
          <w:rFonts w:hint="eastAsia"/>
          <w:bCs/>
          <w:snapToGrid w:val="0"/>
          <w:color w:val="000000" w:themeColor="text1"/>
          <w:lang w:eastAsia="zh-CN"/>
          <w14:textFill>
            <w14:solidFill>
              <w14:schemeClr w14:val="tx1"/>
            </w14:solidFill>
          </w14:textFill>
        </w:rPr>
        <w:t>，设置</w:t>
      </w:r>
      <w:r>
        <w:rPr>
          <w:rFonts w:hint="eastAsia"/>
          <w:bCs/>
          <w:snapToGrid w:val="0"/>
          <w:color w:val="000000" w:themeColor="text1"/>
          <w14:textFill>
            <w14:solidFill>
              <w14:schemeClr w14:val="tx1"/>
            </w14:solidFill>
          </w14:textFill>
        </w:rPr>
        <w:t>临时沉沙池采用砖砌，沉沙池底长1.50m，底宽1.00m，深1.05m，，</w:t>
      </w:r>
      <w:r>
        <w:rPr>
          <w:bCs/>
          <w:snapToGrid w:val="0"/>
          <w:color w:val="000000" w:themeColor="text1"/>
          <w14:textFill>
            <w14:solidFill>
              <w14:schemeClr w14:val="tx1"/>
            </w14:solidFill>
          </w14:textFill>
        </w:rPr>
        <w:t>临时</w:t>
      </w:r>
      <w:r>
        <w:rPr>
          <w:rFonts w:hint="eastAsia"/>
          <w:bCs/>
          <w:snapToGrid w:val="0"/>
          <w:color w:val="000000" w:themeColor="text1"/>
          <w14:textFill>
            <w14:solidFill>
              <w14:schemeClr w14:val="tx1"/>
            </w14:solidFill>
          </w14:textFill>
        </w:rPr>
        <w:t>沉沙池合计2个。</w:t>
      </w:r>
    </w:p>
    <w:p w14:paraId="6CD5A018">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2</w:t>
      </w:r>
      <w:r>
        <w:rPr>
          <w:rFonts w:hint="eastAsia" w:cs="Times New Roman"/>
          <w:b/>
          <w:bCs/>
          <w:color w:val="000000" w:themeColor="text1"/>
          <w14:textFill>
            <w14:solidFill>
              <w14:schemeClr w14:val="tx1"/>
            </w14:solidFill>
          </w14:textFill>
        </w:rPr>
        <w:t>、建、构筑物工程区</w:t>
      </w:r>
    </w:p>
    <w:p w14:paraId="5A6BAC2F">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建构筑物工程区占地面积0.45hm</w:t>
      </w:r>
      <w:r>
        <w:rPr>
          <w:rFonts w:hint="eastAsia" w:cs="Times New Roman"/>
          <w:color w:val="000000" w:themeColor="text1"/>
          <w:vertAlign w:val="superscript"/>
          <w14:textFill>
            <w14:solidFill>
              <w14:schemeClr w14:val="tx1"/>
            </w14:solidFill>
          </w14:textFill>
        </w:rPr>
        <w:t>2</w:t>
      </w:r>
      <w:r>
        <w:rPr>
          <w:rFonts w:hint="eastAsia" w:cs="Times New Roman"/>
          <w:color w:val="000000" w:themeColor="text1"/>
          <w14:textFill>
            <w14:solidFill>
              <w14:schemeClr w14:val="tx1"/>
            </w14:solidFill>
          </w14:textFill>
        </w:rPr>
        <w:t>。施工过程中，沿建筑底部四周布置临时排水沟，采用浆砌砖结构矩形断面排水沟，出口设置浆砌砖结构临时沉沙池后接入市政排水管网，同时对开挖裸露的土体进行密目网苫盖。在主体工程施工完成后，建筑物区全面硬化，无水土流失产生。</w:t>
      </w:r>
    </w:p>
    <w:p w14:paraId="3B10ADA5">
      <w:pPr>
        <w:numPr>
          <w:ilvl w:val="0"/>
          <w:numId w:val="0"/>
        </w:numPr>
        <w:ind w:firstLine="482" w:firstLineChars="200"/>
        <w:rPr>
          <w:rFonts w:hint="eastAsia" w:cs="Times New Roman"/>
          <w:b/>
          <w:bCs/>
          <w:color w:val="000000" w:themeColor="text1"/>
          <w:lang w:eastAsia="zh-CN"/>
          <w14:textFill>
            <w14:solidFill>
              <w14:schemeClr w14:val="tx1"/>
            </w14:solidFill>
          </w14:textFill>
        </w:rPr>
      </w:pPr>
      <w:r>
        <w:rPr>
          <w:rFonts w:hint="eastAsia" w:ascii="Times New Roman" w:hAnsi="Times New Roman" w:eastAsia="仿宋_GB2312" w:cs="Times New Roman"/>
          <w:b/>
          <w:bCs/>
          <w:color w:val="000000" w:themeColor="text1"/>
          <w:kern w:val="2"/>
          <w:sz w:val="24"/>
          <w:szCs w:val="24"/>
          <w:lang w:val="en-US" w:eastAsia="zh-CN" w:bidi="ar-SA"/>
          <w14:textFill>
            <w14:solidFill>
              <w14:schemeClr w14:val="tx1"/>
            </w14:solidFill>
          </w14:textFill>
        </w:rPr>
        <w:t>（1）</w:t>
      </w:r>
      <w:r>
        <w:rPr>
          <w:rFonts w:hint="eastAsia" w:cs="Times New Roman"/>
          <w:b/>
          <w:bCs/>
          <w:color w:val="000000" w:themeColor="text1"/>
          <w:lang w:eastAsia="zh-CN"/>
          <w14:textFill>
            <w14:solidFill>
              <w14:schemeClr w14:val="tx1"/>
            </w14:solidFill>
          </w14:textFill>
        </w:rPr>
        <w:t>工程措施</w:t>
      </w:r>
    </w:p>
    <w:p w14:paraId="4AAD9BDB">
      <w:pPr>
        <w:ind w:firstLine="482"/>
        <w:rPr>
          <w:rFonts w:hint="eastAsia"/>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1）</w:t>
      </w:r>
      <w:r>
        <w:rPr>
          <w:rFonts w:hint="eastAsia"/>
          <w:b/>
          <w:bCs/>
          <w:snapToGrid w:val="0"/>
          <w:color w:val="000000" w:themeColor="text1"/>
          <w:lang w:eastAsia="zh-CN"/>
          <w14:textFill>
            <w14:solidFill>
              <w14:schemeClr w14:val="tx1"/>
            </w14:solidFill>
          </w14:textFill>
        </w:rPr>
        <w:t>表土剥离</w:t>
      </w:r>
      <w:r>
        <w:rPr>
          <w:rFonts w:hint="eastAsia"/>
          <w:b/>
          <w:bCs/>
          <w:snapToGrid w:val="0"/>
          <w:color w:val="000000" w:themeColor="text1"/>
          <w14:textFill>
            <w14:solidFill>
              <w14:schemeClr w14:val="tx1"/>
            </w14:solidFill>
          </w14:textFill>
        </w:rPr>
        <w:t>（主体已实施）</w:t>
      </w:r>
    </w:p>
    <w:p w14:paraId="3DDA6473">
      <w:pPr>
        <w:widowControl/>
        <w:ind w:firstLine="480"/>
        <w:rPr>
          <w:rFonts w:hint="eastAsia"/>
          <w:bCs/>
          <w:snapToGrid w:val="0"/>
          <w:color w:val="000000" w:themeColor="text1"/>
          <w:highlight w:val="none"/>
          <w:lang w:val="en-US" w:eastAsia="zh-CN"/>
          <w14:textFill>
            <w14:solidFill>
              <w14:schemeClr w14:val="tx1"/>
            </w14:solidFill>
          </w14:textFill>
        </w:rPr>
      </w:pPr>
      <w:r>
        <w:rPr>
          <w:rFonts w:hint="eastAsia"/>
          <w:bCs/>
          <w:snapToGrid w:val="0"/>
          <w:color w:val="000000" w:themeColor="text1"/>
          <w:highlight w:val="none"/>
          <w:lang w:val="en-US" w:eastAsia="zh-CN"/>
          <w14:textFill>
            <w14:solidFill>
              <w14:schemeClr w14:val="tx1"/>
            </w14:solidFill>
          </w14:textFill>
        </w:rPr>
        <w:t>布设时间：2023年7月</w:t>
      </w:r>
      <w:r>
        <w:rPr>
          <w:rFonts w:hint="eastAsia"/>
          <w:bCs/>
          <w:snapToGrid w:val="0"/>
          <w:color w:val="000000" w:themeColor="text1"/>
          <w:lang w:val="en-US" w:eastAsia="zh-CN"/>
          <w14:textFill>
            <w14:solidFill>
              <w14:schemeClr w14:val="tx1"/>
            </w14:solidFill>
          </w14:textFill>
        </w:rPr>
        <w:t>~</w:t>
      </w:r>
      <w:r>
        <w:rPr>
          <w:rFonts w:hint="eastAsia"/>
          <w:bCs/>
          <w:snapToGrid w:val="0"/>
          <w:color w:val="000000" w:themeColor="text1"/>
          <w:highlight w:val="none"/>
          <w:lang w:val="en-US" w:eastAsia="zh-CN"/>
          <w14:textFill>
            <w14:solidFill>
              <w14:schemeClr w14:val="tx1"/>
            </w14:solidFill>
          </w14:textFill>
        </w:rPr>
        <w:t>2023年8月</w:t>
      </w:r>
    </w:p>
    <w:p w14:paraId="63A5F5CE">
      <w:pPr>
        <w:widowControl/>
        <w:ind w:firstLine="480"/>
        <w:rPr>
          <w:rFonts w:hint="default"/>
          <w:bCs/>
          <w:snapToGrid w:val="0"/>
          <w:color w:val="000000" w:themeColor="text1"/>
          <w:lang w:val="en-US" w:eastAsia="zh-CN"/>
          <w14:textFill>
            <w14:solidFill>
              <w14:schemeClr w14:val="tx1"/>
            </w14:solidFill>
          </w14:textFill>
        </w:rPr>
      </w:pPr>
      <w:r>
        <w:rPr>
          <w:rFonts w:hint="default"/>
          <w:bCs/>
          <w:snapToGrid w:val="0"/>
          <w:color w:val="000000" w:themeColor="text1"/>
          <w:lang w:val="en-US" w:eastAsia="zh-CN"/>
          <w14:textFill>
            <w14:solidFill>
              <w14:schemeClr w14:val="tx1"/>
            </w14:solidFill>
          </w14:textFill>
        </w:rPr>
        <w:t>土石方施工前期，施工单位进行表土剥离，可剥离面积为</w:t>
      </w:r>
      <w:r>
        <w:rPr>
          <w:rFonts w:hint="eastAsia"/>
          <w:bCs/>
          <w:snapToGrid w:val="0"/>
          <w:color w:val="000000" w:themeColor="text1"/>
          <w:lang w:val="en-US" w:eastAsia="zh-CN"/>
          <w14:textFill>
            <w14:solidFill>
              <w14:schemeClr w14:val="tx1"/>
            </w14:solidFill>
          </w14:textFill>
        </w:rPr>
        <w:t>0.20</w:t>
      </w:r>
      <w:r>
        <w:rPr>
          <w:rFonts w:hint="default"/>
          <w:bCs/>
          <w:snapToGrid w:val="0"/>
          <w:color w:val="000000" w:themeColor="text1"/>
          <w:lang w:val="en-US" w:eastAsia="zh-CN"/>
          <w14:textFill>
            <w14:solidFill>
              <w14:schemeClr w14:val="tx1"/>
            </w14:solidFill>
          </w14:textFill>
        </w:rPr>
        <w:t>hm</w:t>
      </w:r>
      <w:r>
        <w:rPr>
          <w:rFonts w:hint="default"/>
          <w:bCs/>
          <w:snapToGrid w:val="0"/>
          <w:color w:val="000000" w:themeColor="text1"/>
          <w:vertAlign w:val="superscript"/>
          <w:lang w:val="en-US" w:eastAsia="zh-CN"/>
          <w14:textFill>
            <w14:solidFill>
              <w14:schemeClr w14:val="tx1"/>
            </w14:solidFill>
          </w14:textFill>
        </w:rPr>
        <w:t>2</w:t>
      </w:r>
      <w:r>
        <w:rPr>
          <w:rFonts w:hint="default"/>
          <w:bCs/>
          <w:snapToGrid w:val="0"/>
          <w:color w:val="000000" w:themeColor="text1"/>
          <w:lang w:val="en-US" w:eastAsia="zh-CN"/>
          <w14:textFill>
            <w14:solidFill>
              <w14:schemeClr w14:val="tx1"/>
            </w14:solidFill>
          </w14:textFill>
        </w:rPr>
        <w:t>，剥离量为</w:t>
      </w:r>
      <w:r>
        <w:rPr>
          <w:rFonts w:hint="eastAsia"/>
          <w:bCs/>
          <w:snapToGrid w:val="0"/>
          <w:color w:val="000000" w:themeColor="text1"/>
          <w:lang w:val="en-US" w:eastAsia="zh-CN"/>
          <w14:textFill>
            <w14:solidFill>
              <w14:schemeClr w14:val="tx1"/>
            </w14:solidFill>
          </w14:textFill>
        </w:rPr>
        <w:t>0.05</w:t>
      </w:r>
      <w:r>
        <w:rPr>
          <w:rFonts w:hint="default"/>
          <w:bCs/>
          <w:snapToGrid w:val="0"/>
          <w:color w:val="000000" w:themeColor="text1"/>
          <w:lang w:val="en-US" w:eastAsia="zh-CN"/>
          <w14:textFill>
            <w14:solidFill>
              <w14:schemeClr w14:val="tx1"/>
            </w14:solidFill>
          </w14:textFill>
        </w:rPr>
        <w:t>万m</w:t>
      </w:r>
      <w:r>
        <w:rPr>
          <w:rFonts w:hint="default"/>
          <w:bCs/>
          <w:snapToGrid w:val="0"/>
          <w:color w:val="000000" w:themeColor="text1"/>
          <w:vertAlign w:val="superscript"/>
          <w:lang w:val="en-US" w:eastAsia="zh-CN"/>
          <w14:textFill>
            <w14:solidFill>
              <w14:schemeClr w14:val="tx1"/>
            </w14:solidFill>
          </w14:textFill>
        </w:rPr>
        <w:t>3</w:t>
      </w:r>
      <w:r>
        <w:rPr>
          <w:rFonts w:hint="eastAsia" w:cs="Times New Roman"/>
          <w:color w:val="000000" w:themeColor="text1"/>
          <w14:textFill>
            <w14:solidFill>
              <w14:schemeClr w14:val="tx1"/>
            </w14:solidFill>
          </w14:textFill>
        </w:rPr>
        <w:t>。</w:t>
      </w:r>
    </w:p>
    <w:p w14:paraId="6FB95D77">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w:t>
      </w:r>
      <w:r>
        <w:rPr>
          <w:rFonts w:hint="eastAsia" w:cs="Times New Roman"/>
          <w:b/>
          <w:bCs/>
          <w:color w:val="000000" w:themeColor="text1"/>
          <w:lang w:val="en-US" w:eastAsia="zh-CN"/>
          <w14:textFill>
            <w14:solidFill>
              <w14:schemeClr w14:val="tx1"/>
            </w14:solidFill>
          </w14:textFill>
        </w:rPr>
        <w:t>2</w:t>
      </w:r>
      <w:r>
        <w:rPr>
          <w:rFonts w:hint="eastAsia" w:cs="Times New Roman"/>
          <w:b/>
          <w:bCs/>
          <w:color w:val="000000" w:themeColor="text1"/>
          <w14:textFill>
            <w14:solidFill>
              <w14:schemeClr w14:val="tx1"/>
            </w14:solidFill>
          </w14:textFill>
        </w:rPr>
        <w:t>）临时措施</w:t>
      </w:r>
    </w:p>
    <w:p w14:paraId="354388A1">
      <w:pPr>
        <w:ind w:firstLine="482"/>
        <w:rPr>
          <w:rFonts w:hint="eastAsia"/>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1）排水沟、沉沙池（主体已实施）</w:t>
      </w:r>
    </w:p>
    <w:p w14:paraId="40D5DB5D">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布设时间：2023年10月~2024年2月</w:t>
      </w:r>
    </w:p>
    <w:p w14:paraId="7ADD5FA0">
      <w:pPr>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临时排水沟共计358m（MU7.5普通砖砌，矩形断面，0.40m×0.40m），按5年一遇 10min 暴雨强度进行设计，沟底比降结合地形布置，平均沟底比降0.4%—0.7%，施工结束后拆除。</w:t>
      </w:r>
    </w:p>
    <w:p w14:paraId="19AA86D9">
      <w:pPr>
        <w:ind w:firstLine="480"/>
        <w:rPr>
          <w:bCs/>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在临时排水沟转角位置及出口设置临时沉沙池，设置临时沉沙池</w:t>
      </w:r>
      <w:r>
        <w:rPr>
          <w:snapToGrid w:val="0"/>
          <w:color w:val="000000" w:themeColor="text1"/>
          <w14:textFill>
            <w14:solidFill>
              <w14:schemeClr w14:val="tx1"/>
            </w14:solidFill>
          </w14:textFill>
        </w:rPr>
        <w:t xml:space="preserve"> </w:t>
      </w:r>
      <w:r>
        <w:rPr>
          <w:rFonts w:hint="eastAsia"/>
          <w:snapToGrid w:val="0"/>
          <w:color w:val="000000" w:themeColor="text1"/>
          <w14:textFill>
            <w14:solidFill>
              <w14:schemeClr w14:val="tx1"/>
            </w14:solidFill>
          </w14:textFill>
        </w:rPr>
        <w:t>4个（MU7.5普通砖砌，沉沙池底长1.50m，底宽1.00m，深1.05m），衬砌</w:t>
      </w:r>
      <w:r>
        <w:rPr>
          <w:rFonts w:hint="eastAsia"/>
          <w:snapToGrid w:val="0"/>
          <w:color w:val="000000" w:themeColor="text1"/>
          <w:lang w:eastAsia="zh-CN"/>
          <w14:textFill>
            <w14:solidFill>
              <w14:schemeClr w14:val="tx1"/>
            </w14:solidFill>
          </w14:textFill>
        </w:rPr>
        <w:t>形式</w:t>
      </w:r>
      <w:r>
        <w:rPr>
          <w:rFonts w:hint="eastAsia"/>
        </w:rPr>
        <w:t>M10水泥砂浆抹面</w:t>
      </w:r>
      <w:r>
        <w:rPr>
          <w:rStyle w:val="31"/>
          <w:rFonts w:hint="eastAsia"/>
          <w:lang w:eastAsia="zh-CN"/>
        </w:rPr>
        <w:t>，</w:t>
      </w:r>
      <w:r>
        <w:rPr>
          <w:rFonts w:hint="eastAsia"/>
          <w:snapToGrid w:val="0"/>
          <w:color w:val="000000" w:themeColor="text1"/>
          <w14:textFill>
            <w14:solidFill>
              <w14:schemeClr w14:val="tx1"/>
            </w14:solidFill>
          </w14:textFill>
        </w:rPr>
        <w:t>厚度0.24m，施工结束后拆除</w:t>
      </w:r>
      <w:r>
        <w:rPr>
          <w:bCs/>
          <w:snapToGrid w:val="0"/>
          <w:color w:val="000000" w:themeColor="text1"/>
          <w14:textFill>
            <w14:solidFill>
              <w14:schemeClr w14:val="tx1"/>
            </w14:solidFill>
          </w14:textFill>
        </w:rPr>
        <w:t>。</w:t>
      </w:r>
    </w:p>
    <w:p w14:paraId="3E03E0EA">
      <w:pPr>
        <w:ind w:firstLine="482"/>
        <w:rPr>
          <w:b/>
          <w:snapToGrid w:val="0"/>
          <w:color w:val="000000" w:themeColor="text1"/>
          <w14:textFill>
            <w14:solidFill>
              <w14:schemeClr w14:val="tx1"/>
            </w14:solidFill>
          </w14:textFill>
        </w:rPr>
      </w:pPr>
      <w:r>
        <w:rPr>
          <w:rFonts w:hint="eastAsia"/>
          <w:b/>
          <w:snapToGrid w:val="0"/>
          <w:color w:val="000000" w:themeColor="text1"/>
          <w14:textFill>
            <w14:solidFill>
              <w14:schemeClr w14:val="tx1"/>
            </w14:solidFill>
          </w14:textFill>
        </w:rPr>
        <w:t>2）密目网苫盖（主体已实施）</w:t>
      </w:r>
    </w:p>
    <w:p w14:paraId="71B28AAA">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布设时间：2023年10月~2024年6月</w:t>
      </w:r>
    </w:p>
    <w:p w14:paraId="35D83FAF">
      <w:pPr>
        <w:ind w:firstLine="480"/>
        <w:rPr>
          <w:bCs/>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建筑周边裸露土地采用密目网苫盖，合计密目网苫盖面积1752m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440FEBC6">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3</w:t>
      </w:r>
      <w:r>
        <w:rPr>
          <w:rFonts w:hint="eastAsia" w:cs="Times New Roman"/>
          <w:b/>
          <w:bCs/>
          <w:color w:val="000000" w:themeColor="text1"/>
          <w14:textFill>
            <w14:solidFill>
              <w14:schemeClr w14:val="tx1"/>
            </w14:solidFill>
          </w14:textFill>
        </w:rPr>
        <w:t>、场内道路及硬化工程区</w:t>
      </w:r>
    </w:p>
    <w:p w14:paraId="31D4E48C">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场内道路及硬化工程区占地面积0.38hm</w:t>
      </w:r>
      <w:r>
        <w:rPr>
          <w:rFonts w:hint="eastAsia" w:cs="Times New Roman"/>
          <w:color w:val="000000" w:themeColor="text1"/>
          <w:vertAlign w:val="superscript"/>
          <w14:textFill>
            <w14:solidFill>
              <w14:schemeClr w14:val="tx1"/>
            </w14:solidFill>
          </w14:textFill>
        </w:rPr>
        <w:t>2</w:t>
      </w:r>
      <w:r>
        <w:rPr>
          <w:rFonts w:hint="eastAsia" w:cs="Times New Roman"/>
          <w:color w:val="000000" w:themeColor="text1"/>
          <w14:textFill>
            <w14:solidFill>
              <w14:schemeClr w14:val="tx1"/>
            </w14:solidFill>
          </w14:textFill>
        </w:rPr>
        <w:t>。施工前，在场区出入口设置洗车设施。建构筑物工程区施工完成后在在场内道路及硬化工程区场内埋设雨水管、路面设雨水口，绿化带下建设雨水蓄水池，对地面停车位采用</w:t>
      </w:r>
      <w:r>
        <w:rPr>
          <w:rFonts w:hint="eastAsia"/>
          <w:color w:val="000000" w:themeColor="text1"/>
          <w14:textFill>
            <w14:solidFill>
              <w14:schemeClr w14:val="tx1"/>
            </w14:solidFill>
          </w14:textFill>
        </w:rPr>
        <w:t>透水铺装。</w:t>
      </w:r>
    </w:p>
    <w:p w14:paraId="4F508BA0">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（1）工程措施</w:t>
      </w:r>
    </w:p>
    <w:p w14:paraId="7B4B4434">
      <w:pPr>
        <w:ind w:firstLine="482"/>
        <w:rPr>
          <w:rFonts w:hint="eastAsia"/>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1）</w:t>
      </w:r>
      <w:r>
        <w:rPr>
          <w:rFonts w:hint="eastAsia"/>
          <w:b/>
          <w:bCs/>
          <w:snapToGrid w:val="0"/>
          <w:color w:val="000000" w:themeColor="text1"/>
          <w:lang w:eastAsia="zh-CN"/>
          <w14:textFill>
            <w14:solidFill>
              <w14:schemeClr w14:val="tx1"/>
            </w14:solidFill>
          </w14:textFill>
        </w:rPr>
        <w:t>表土剥离</w:t>
      </w:r>
      <w:r>
        <w:rPr>
          <w:rFonts w:hint="eastAsia"/>
          <w:b/>
          <w:bCs/>
          <w:snapToGrid w:val="0"/>
          <w:color w:val="000000" w:themeColor="text1"/>
          <w14:textFill>
            <w14:solidFill>
              <w14:schemeClr w14:val="tx1"/>
            </w14:solidFill>
          </w14:textFill>
        </w:rPr>
        <w:t>（主体已实施）</w:t>
      </w:r>
    </w:p>
    <w:p w14:paraId="7BCBE3DD">
      <w:pPr>
        <w:widowControl/>
        <w:ind w:firstLine="480"/>
        <w:rPr>
          <w:rFonts w:hint="eastAsia"/>
          <w:bCs/>
          <w:snapToGrid w:val="0"/>
          <w:color w:val="000000" w:themeColor="text1"/>
          <w:highlight w:val="none"/>
          <w:lang w:val="en-US" w:eastAsia="zh-CN"/>
          <w14:textFill>
            <w14:solidFill>
              <w14:schemeClr w14:val="tx1"/>
            </w14:solidFill>
          </w14:textFill>
        </w:rPr>
      </w:pPr>
      <w:r>
        <w:rPr>
          <w:rFonts w:hint="eastAsia"/>
          <w:bCs/>
          <w:snapToGrid w:val="0"/>
          <w:color w:val="000000" w:themeColor="text1"/>
          <w:highlight w:val="none"/>
          <w:lang w:val="en-US" w:eastAsia="zh-CN"/>
          <w14:textFill>
            <w14:solidFill>
              <w14:schemeClr w14:val="tx1"/>
            </w14:solidFill>
          </w14:textFill>
        </w:rPr>
        <w:t>布设时间：2023年7月</w:t>
      </w:r>
      <w:r>
        <w:rPr>
          <w:rFonts w:hint="eastAsia"/>
          <w:bCs/>
          <w:snapToGrid w:val="0"/>
          <w:color w:val="000000" w:themeColor="text1"/>
          <w:lang w:val="en-US" w:eastAsia="zh-CN"/>
          <w14:textFill>
            <w14:solidFill>
              <w14:schemeClr w14:val="tx1"/>
            </w14:solidFill>
          </w14:textFill>
        </w:rPr>
        <w:t>~</w:t>
      </w:r>
      <w:r>
        <w:rPr>
          <w:rFonts w:hint="eastAsia"/>
          <w:bCs/>
          <w:snapToGrid w:val="0"/>
          <w:color w:val="000000" w:themeColor="text1"/>
          <w:highlight w:val="none"/>
          <w:lang w:val="en-US" w:eastAsia="zh-CN"/>
          <w14:textFill>
            <w14:solidFill>
              <w14:schemeClr w14:val="tx1"/>
            </w14:solidFill>
          </w14:textFill>
        </w:rPr>
        <w:t>2023年8月</w:t>
      </w:r>
    </w:p>
    <w:p w14:paraId="745B1302">
      <w:pPr>
        <w:widowControl/>
        <w:ind w:firstLine="480"/>
        <w:rPr>
          <w:rFonts w:hint="default"/>
          <w:bCs/>
          <w:snapToGrid w:val="0"/>
          <w:color w:val="000000" w:themeColor="text1"/>
          <w:lang w:val="en-US" w:eastAsia="zh-CN"/>
          <w14:textFill>
            <w14:solidFill>
              <w14:schemeClr w14:val="tx1"/>
            </w14:solidFill>
          </w14:textFill>
        </w:rPr>
      </w:pPr>
      <w:r>
        <w:rPr>
          <w:rFonts w:hint="default"/>
          <w:bCs/>
          <w:snapToGrid w:val="0"/>
          <w:color w:val="000000" w:themeColor="text1"/>
          <w:lang w:val="en-US" w:eastAsia="zh-CN"/>
          <w14:textFill>
            <w14:solidFill>
              <w14:schemeClr w14:val="tx1"/>
            </w14:solidFill>
          </w14:textFill>
        </w:rPr>
        <w:t>土石方施工前期，施工单位进行表土剥离，可剥离面积为</w:t>
      </w:r>
      <w:r>
        <w:rPr>
          <w:rFonts w:hint="eastAsia"/>
          <w:bCs/>
          <w:snapToGrid w:val="0"/>
          <w:color w:val="000000" w:themeColor="text1"/>
          <w:lang w:val="en-US" w:eastAsia="zh-CN"/>
          <w14:textFill>
            <w14:solidFill>
              <w14:schemeClr w14:val="tx1"/>
            </w14:solidFill>
          </w14:textFill>
        </w:rPr>
        <w:t>0.20</w:t>
      </w:r>
      <w:r>
        <w:rPr>
          <w:rFonts w:hint="default"/>
          <w:bCs/>
          <w:snapToGrid w:val="0"/>
          <w:color w:val="000000" w:themeColor="text1"/>
          <w:lang w:val="en-US" w:eastAsia="zh-CN"/>
          <w14:textFill>
            <w14:solidFill>
              <w14:schemeClr w14:val="tx1"/>
            </w14:solidFill>
          </w14:textFill>
        </w:rPr>
        <w:t>hm</w:t>
      </w:r>
      <w:r>
        <w:rPr>
          <w:rFonts w:hint="default"/>
          <w:bCs/>
          <w:snapToGrid w:val="0"/>
          <w:color w:val="000000" w:themeColor="text1"/>
          <w:vertAlign w:val="superscript"/>
          <w:lang w:val="en-US" w:eastAsia="zh-CN"/>
          <w14:textFill>
            <w14:solidFill>
              <w14:schemeClr w14:val="tx1"/>
            </w14:solidFill>
          </w14:textFill>
        </w:rPr>
        <w:t>2</w:t>
      </w:r>
      <w:r>
        <w:rPr>
          <w:rFonts w:hint="default"/>
          <w:bCs/>
          <w:snapToGrid w:val="0"/>
          <w:color w:val="000000" w:themeColor="text1"/>
          <w:lang w:val="en-US" w:eastAsia="zh-CN"/>
          <w14:textFill>
            <w14:solidFill>
              <w14:schemeClr w14:val="tx1"/>
            </w14:solidFill>
          </w14:textFill>
        </w:rPr>
        <w:t>，剥离量为</w:t>
      </w:r>
      <w:r>
        <w:rPr>
          <w:rFonts w:hint="eastAsia"/>
          <w:bCs/>
          <w:snapToGrid w:val="0"/>
          <w:color w:val="000000" w:themeColor="text1"/>
          <w:lang w:val="en-US" w:eastAsia="zh-CN"/>
          <w14:textFill>
            <w14:solidFill>
              <w14:schemeClr w14:val="tx1"/>
            </w14:solidFill>
          </w14:textFill>
        </w:rPr>
        <w:t>0.05</w:t>
      </w:r>
      <w:r>
        <w:rPr>
          <w:rFonts w:hint="default"/>
          <w:bCs/>
          <w:snapToGrid w:val="0"/>
          <w:color w:val="000000" w:themeColor="text1"/>
          <w:lang w:val="en-US" w:eastAsia="zh-CN"/>
          <w14:textFill>
            <w14:solidFill>
              <w14:schemeClr w14:val="tx1"/>
            </w14:solidFill>
          </w14:textFill>
        </w:rPr>
        <w:t>万m</w:t>
      </w:r>
      <w:r>
        <w:rPr>
          <w:rFonts w:hint="default"/>
          <w:bCs/>
          <w:snapToGrid w:val="0"/>
          <w:color w:val="000000" w:themeColor="text1"/>
          <w:vertAlign w:val="superscript"/>
          <w:lang w:val="en-US" w:eastAsia="zh-CN"/>
          <w14:textFill>
            <w14:solidFill>
              <w14:schemeClr w14:val="tx1"/>
            </w14:solidFill>
          </w14:textFill>
        </w:rPr>
        <w:t>3</w:t>
      </w:r>
      <w:r>
        <w:rPr>
          <w:rFonts w:hint="eastAsia" w:cs="Times New Roman"/>
          <w:color w:val="000000" w:themeColor="text1"/>
          <w14:textFill>
            <w14:solidFill>
              <w14:schemeClr w14:val="tx1"/>
            </w14:solidFill>
          </w14:textFill>
        </w:rPr>
        <w:t>。</w:t>
      </w:r>
    </w:p>
    <w:p w14:paraId="60095EE0">
      <w:pPr>
        <w:ind w:firstLine="482"/>
        <w:rPr>
          <w:rFonts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2</w:t>
      </w:r>
      <w:r>
        <w:rPr>
          <w:rFonts w:hint="eastAsia" w:cs="Times New Roman"/>
          <w:b/>
          <w:bCs/>
          <w:color w:val="000000" w:themeColor="text1"/>
          <w14:textFill>
            <w14:solidFill>
              <w14:schemeClr w14:val="tx1"/>
            </w14:solidFill>
          </w14:textFill>
        </w:rPr>
        <w:t>）场地排水工程（主体未实施）</w:t>
      </w:r>
    </w:p>
    <w:p w14:paraId="3B532215">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布设时间：2024年10月~2024年11月</w:t>
      </w:r>
    </w:p>
    <w:p w14:paraId="6289AAD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水管布设于道路中心，雨水管网</w:t>
      </w:r>
      <w:r>
        <w:rPr>
          <w:color w:val="000000" w:themeColor="text1"/>
          <w14:textFill>
            <w14:solidFill>
              <w14:schemeClr w14:val="tx1"/>
            </w14:solidFill>
          </w14:textFill>
        </w:rPr>
        <w:t>管径为DN</w:t>
      </w:r>
      <w:r>
        <w:rPr>
          <w:rFonts w:hint="eastAsia"/>
          <w:color w:val="000000" w:themeColor="text1"/>
          <w14:textFill>
            <w14:solidFill>
              <w14:schemeClr w14:val="tx1"/>
            </w14:solidFill>
          </w14:textFill>
        </w:rPr>
        <w:t>150</w:t>
      </w:r>
      <w:r>
        <w:rPr>
          <w:color w:val="000000" w:themeColor="text1"/>
          <w14:textFill>
            <w14:solidFill>
              <w14:schemeClr w14:val="tx1"/>
            </w14:solidFill>
          </w14:textFill>
        </w:rPr>
        <w:t>~ DN</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平均坡度为0.3%-0.6%，管道管顶埋深小于0.70m者，均需加设直径大于等于400mm的钢套管保护排水管，雨水口采用平蓖式单蓖雨水口。</w:t>
      </w:r>
    </w:p>
    <w:p w14:paraId="566BD06C">
      <w:pPr>
        <w:ind w:firstLine="480"/>
        <w:rPr>
          <w:color w:val="000000" w:themeColor="text1"/>
          <w14:textFill>
            <w14:solidFill>
              <w14:schemeClr w14:val="tx1"/>
            </w14:solidFill>
          </w14:textFill>
        </w:rPr>
      </w:pPr>
      <w:r>
        <w:rPr>
          <w:color w:val="000000" w:themeColor="text1"/>
          <w14:textFill>
            <w14:solidFill>
              <w14:schemeClr w14:val="tx1"/>
            </w14:solidFill>
          </w14:textFill>
        </w:rPr>
        <w:t>DN</w:t>
      </w:r>
      <w:r>
        <w:rPr>
          <w:rFonts w:hint="eastAsia"/>
          <w:color w:val="000000" w:themeColor="text1"/>
          <w14:textFill>
            <w14:solidFill>
              <w14:schemeClr w14:val="tx1"/>
            </w14:solidFill>
          </w14:textFill>
        </w:rPr>
        <w:t>150雨水管</w:t>
      </w:r>
      <w:r>
        <w:rPr>
          <w:color w:val="000000" w:themeColor="text1"/>
          <w14:textFill>
            <w14:solidFill>
              <w14:schemeClr w14:val="tx1"/>
            </w14:solidFill>
          </w14:textFill>
        </w:rPr>
        <w:t>长</w:t>
      </w:r>
      <w:r>
        <w:rPr>
          <w:rFonts w:hint="eastAsia"/>
          <w:color w:val="000000" w:themeColor="text1"/>
          <w14:textFill>
            <w14:solidFill>
              <w14:schemeClr w14:val="tx1"/>
            </w14:solidFill>
          </w14:textFill>
        </w:rPr>
        <w:t>25.04</w:t>
      </w:r>
      <w:r>
        <w:rPr>
          <w:color w:val="000000" w:themeColor="text1"/>
          <w14:textFill>
            <w14:solidFill>
              <w14:schemeClr w14:val="tx1"/>
            </w14:solidFill>
          </w14:textFill>
        </w:rPr>
        <w:t>m，DN300</w:t>
      </w:r>
      <w:r>
        <w:rPr>
          <w:rFonts w:hint="eastAsia"/>
          <w:color w:val="000000" w:themeColor="text1"/>
          <w14:textFill>
            <w14:solidFill>
              <w14:schemeClr w14:val="tx1"/>
            </w14:solidFill>
          </w14:textFill>
        </w:rPr>
        <w:t>雨水管</w:t>
      </w:r>
      <w:r>
        <w:rPr>
          <w:color w:val="000000" w:themeColor="text1"/>
          <w14:textFill>
            <w14:solidFill>
              <w14:schemeClr w14:val="tx1"/>
            </w14:solidFill>
          </w14:textFill>
        </w:rPr>
        <w:t>长</w:t>
      </w:r>
      <w:r>
        <w:rPr>
          <w:rFonts w:hint="eastAsia"/>
          <w:color w:val="000000" w:themeColor="text1"/>
          <w14:textFill>
            <w14:solidFill>
              <w14:schemeClr w14:val="tx1"/>
            </w14:solidFill>
          </w14:textFill>
        </w:rPr>
        <w:t>494.51</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雨水口</w:t>
      </w:r>
      <w:r>
        <w:rPr>
          <w:rFonts w:hint="eastAsia"/>
          <w:color w:val="000000" w:themeColor="text1"/>
          <w14:textFill>
            <w14:solidFill>
              <w14:schemeClr w14:val="tx1"/>
            </w14:solidFill>
          </w14:textFill>
        </w:rPr>
        <w:t>17</w:t>
      </w:r>
      <w:r>
        <w:rPr>
          <w:color w:val="000000" w:themeColor="text1"/>
          <w14:textFill>
            <w14:solidFill>
              <w14:schemeClr w14:val="tx1"/>
            </w14:solidFill>
          </w14:textFill>
        </w:rPr>
        <w:t>个。</w:t>
      </w:r>
    </w:p>
    <w:p w14:paraId="0127A2AB">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 xml:space="preserve"> </w:t>
      </w:r>
      <w:r>
        <w:rPr>
          <w:rFonts w:hint="eastAsia" w:cs="Times New Roman"/>
          <w:b/>
          <w:bCs/>
          <w:color w:val="000000" w:themeColor="text1"/>
          <w:lang w:val="en-US" w:eastAsia="zh-CN"/>
          <w14:textFill>
            <w14:solidFill>
              <w14:schemeClr w14:val="tx1"/>
            </w14:solidFill>
          </w14:textFill>
        </w:rPr>
        <w:t>3</w:t>
      </w:r>
      <w:r>
        <w:rPr>
          <w:rFonts w:hint="eastAsia" w:cs="Times New Roman"/>
          <w:b/>
          <w:bCs/>
          <w:color w:val="000000" w:themeColor="text1"/>
          <w14:textFill>
            <w14:solidFill>
              <w14:schemeClr w14:val="tx1"/>
            </w14:solidFill>
          </w14:textFill>
        </w:rPr>
        <w:t>）雨水蓄水池（主体未实施）</w:t>
      </w:r>
    </w:p>
    <w:p w14:paraId="27DB94C1">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布设时间：2024年10月~2024年11月</w:t>
      </w:r>
    </w:p>
    <w:p w14:paraId="68982F05">
      <w:pPr>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在场地东南侧绿化带下设置雨水蓄水池，蓄水池容量3</w:t>
      </w:r>
      <w:r>
        <w:rPr>
          <w:snapToGrid w:val="0"/>
          <w:color w:val="000000" w:themeColor="text1"/>
          <w14:textFill>
            <w14:solidFill>
              <w14:schemeClr w14:val="tx1"/>
            </w14:solidFill>
          </w14:textFill>
        </w:rPr>
        <w:t>00m</w:t>
      </w:r>
      <w:r>
        <w:rPr>
          <w:snapToGrid w:val="0"/>
          <w:color w:val="000000" w:themeColor="text1"/>
          <w:vertAlign w:val="superscript"/>
          <w14:textFill>
            <w14:solidFill>
              <w14:schemeClr w14:val="tx1"/>
            </w14:solidFill>
          </w14:textFill>
        </w:rPr>
        <w:t>3</w:t>
      </w:r>
      <w:r>
        <w:rPr>
          <w:rFonts w:hint="eastAsia"/>
          <w:snapToGrid w:val="0"/>
          <w:color w:val="000000" w:themeColor="text1"/>
          <w:sz w:val="22"/>
          <w:szCs w:val="22"/>
          <w14:textFill>
            <w14:solidFill>
              <w14:schemeClr w14:val="tx1"/>
            </w14:solidFill>
          </w14:textFill>
        </w:rPr>
        <w:t>，</w:t>
      </w:r>
      <w:r>
        <w:rPr>
          <w:rFonts w:hint="eastAsia"/>
          <w:snapToGrid w:val="0"/>
          <w:color w:val="000000" w:themeColor="text1"/>
          <w14:textFill>
            <w14:solidFill>
              <w14:schemeClr w14:val="tx1"/>
            </w14:solidFill>
          </w14:textFill>
        </w:rPr>
        <w:t>尺寸1</w:t>
      </w:r>
      <w:r>
        <w:rPr>
          <w:snapToGrid w:val="0"/>
          <w:color w:val="000000" w:themeColor="text1"/>
          <w14:textFill>
            <w14:solidFill>
              <w14:schemeClr w14:val="tx1"/>
            </w14:solidFill>
          </w14:textFill>
        </w:rPr>
        <w:t>2m</w:t>
      </w:r>
      <w:r>
        <w:rPr>
          <w:rFonts w:hint="eastAsia"/>
          <w:snapToGrid w:val="0"/>
          <w:color w:val="000000" w:themeColor="text1"/>
          <w14:textFill>
            <w14:solidFill>
              <w14:schemeClr w14:val="tx1"/>
            </w14:solidFill>
          </w14:textFill>
        </w:rPr>
        <w:t>×7</w:t>
      </w:r>
      <w:r>
        <w:rPr>
          <w:snapToGrid w:val="0"/>
          <w:color w:val="000000" w:themeColor="text1"/>
          <w14:textFill>
            <w14:solidFill>
              <w14:schemeClr w14:val="tx1"/>
            </w14:solidFill>
          </w14:textFill>
        </w:rPr>
        <w:t>m</w:t>
      </w:r>
      <w:r>
        <w:rPr>
          <w:rFonts w:hint="eastAsia"/>
          <w:snapToGrid w:val="0"/>
          <w:color w:val="000000" w:themeColor="text1"/>
          <w14:textFill>
            <w14:solidFill>
              <w14:schemeClr w14:val="tx1"/>
            </w14:solidFill>
          </w14:textFill>
        </w:rPr>
        <w:t>×4m，蓄水池采用钢筋混凝土+室外地埋式塑料模块。</w:t>
      </w:r>
    </w:p>
    <w:p w14:paraId="3150B5CD">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（2）临时措施</w:t>
      </w:r>
    </w:p>
    <w:p w14:paraId="005B3665">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1）洗车设施（主体已实施）</w:t>
      </w:r>
    </w:p>
    <w:p w14:paraId="0B68C894">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布设时间：2023年9月~2023年10月</w:t>
      </w:r>
    </w:p>
    <w:p w14:paraId="464267A7">
      <w:pPr>
        <w:ind w:firstLine="480"/>
        <w:rPr>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车辆清洗池1套，</w:t>
      </w:r>
      <w:r>
        <w:rPr>
          <w:rFonts w:hint="eastAsia"/>
          <w:snapToGrid w:val="0"/>
          <w:color w:val="000000" w:themeColor="text1"/>
          <w14:textFill>
            <w14:solidFill>
              <w14:schemeClr w14:val="tx1"/>
            </w14:solidFill>
          </w14:textFill>
        </w:rPr>
        <w:t>车辆清洗池平面长</w:t>
      </w:r>
      <w:r>
        <w:rPr>
          <w:snapToGrid w:val="0"/>
          <w:color w:val="000000" w:themeColor="text1"/>
          <w14:textFill>
            <w14:solidFill>
              <w14:schemeClr w14:val="tx1"/>
            </w14:solidFill>
          </w14:textFill>
        </w:rPr>
        <w:t>12</w:t>
      </w:r>
      <w:r>
        <w:rPr>
          <w:rFonts w:hint="eastAsia"/>
          <w:snapToGrid w:val="0"/>
          <w:color w:val="000000" w:themeColor="text1"/>
          <w14:textFill>
            <w14:solidFill>
              <w14:schemeClr w14:val="tx1"/>
            </w14:solidFill>
          </w14:textFill>
        </w:rPr>
        <w:t>m，宽</w:t>
      </w:r>
      <w:r>
        <w:rPr>
          <w:snapToGrid w:val="0"/>
          <w:color w:val="000000" w:themeColor="text1"/>
          <w14:textFill>
            <w14:solidFill>
              <w14:schemeClr w14:val="tx1"/>
            </w14:solidFill>
          </w14:textFill>
        </w:rPr>
        <w:t>6</w:t>
      </w:r>
      <w:r>
        <w:rPr>
          <w:rFonts w:hint="eastAsia"/>
          <w:snapToGrid w:val="0"/>
          <w:color w:val="000000" w:themeColor="text1"/>
          <w14:textFill>
            <w14:solidFill>
              <w14:schemeClr w14:val="tx1"/>
            </w14:solidFill>
          </w14:textFill>
        </w:rPr>
        <w:t>m。纵剖面呈梯形结构，下宽4m，上宽</w:t>
      </w:r>
      <w:r>
        <w:rPr>
          <w:snapToGrid w:val="0"/>
          <w:color w:val="000000" w:themeColor="text1"/>
          <w14:textFill>
            <w14:solidFill>
              <w14:schemeClr w14:val="tx1"/>
            </w14:solidFill>
          </w14:textFill>
        </w:rPr>
        <w:t>6</w:t>
      </w:r>
      <w:r>
        <w:rPr>
          <w:rFonts w:hint="eastAsia"/>
          <w:snapToGrid w:val="0"/>
          <w:color w:val="000000" w:themeColor="text1"/>
          <w14:textFill>
            <w14:solidFill>
              <w14:schemeClr w14:val="tx1"/>
            </w14:solidFill>
          </w14:textFill>
        </w:rPr>
        <w:t>m，深0.5m，C20砼浇筑，厚30cm。</w:t>
      </w:r>
    </w:p>
    <w:p w14:paraId="7C8F5CE3">
      <w:pPr>
        <w:ind w:firstLine="482"/>
        <w:rPr>
          <w:rFonts w:hint="eastAsia"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2）密目网苫盖（主体未实施）</w:t>
      </w:r>
    </w:p>
    <w:p w14:paraId="2FF6FA2A">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布设时间：2024年7月~2024年11月</w:t>
      </w:r>
    </w:p>
    <w:p w14:paraId="22EB7C48">
      <w:pPr>
        <w:ind w:firstLine="480"/>
        <w:rPr>
          <w:bCs/>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场内道路、停车场裸露土地采用密目网苫盖，合计密目网苫盖面积868m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3F0BADE6">
      <w:pPr>
        <w:ind w:firstLine="482"/>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4</w:t>
      </w:r>
      <w:r>
        <w:rPr>
          <w:rFonts w:hint="eastAsia" w:cs="Times New Roman"/>
          <w:b/>
          <w:bCs/>
          <w:color w:val="000000" w:themeColor="text1"/>
          <w14:textFill>
            <w14:solidFill>
              <w14:schemeClr w14:val="tx1"/>
            </w14:solidFill>
          </w14:textFill>
        </w:rPr>
        <w:t>、绿化工程区</w:t>
      </w:r>
    </w:p>
    <w:p w14:paraId="3E1B1EEE">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（1）工程措施</w:t>
      </w:r>
    </w:p>
    <w:p w14:paraId="0DA90ABE">
      <w:pPr>
        <w:ind w:firstLine="482"/>
        <w:rPr>
          <w:rFonts w:hint="eastAsia"/>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1）</w:t>
      </w:r>
      <w:r>
        <w:rPr>
          <w:rFonts w:hint="eastAsia"/>
          <w:b/>
          <w:bCs/>
          <w:snapToGrid w:val="0"/>
          <w:color w:val="000000" w:themeColor="text1"/>
          <w:lang w:eastAsia="zh-CN"/>
          <w14:textFill>
            <w14:solidFill>
              <w14:schemeClr w14:val="tx1"/>
            </w14:solidFill>
          </w14:textFill>
        </w:rPr>
        <w:t>绿化覆土</w:t>
      </w:r>
      <w:r>
        <w:rPr>
          <w:rFonts w:hint="eastAsia"/>
          <w:b/>
          <w:bCs/>
          <w:snapToGrid w:val="0"/>
          <w:color w:val="000000" w:themeColor="text1"/>
          <w14:textFill>
            <w14:solidFill>
              <w14:schemeClr w14:val="tx1"/>
            </w14:solidFill>
          </w14:textFill>
        </w:rPr>
        <w:t>（主体</w:t>
      </w:r>
      <w:r>
        <w:rPr>
          <w:rFonts w:hint="eastAsia"/>
          <w:b/>
          <w:bCs/>
          <w:snapToGrid w:val="0"/>
          <w:color w:val="000000" w:themeColor="text1"/>
          <w:lang w:eastAsia="zh-CN"/>
          <w14:textFill>
            <w14:solidFill>
              <w14:schemeClr w14:val="tx1"/>
            </w14:solidFill>
          </w14:textFill>
        </w:rPr>
        <w:t>未</w:t>
      </w:r>
      <w:r>
        <w:rPr>
          <w:rFonts w:hint="eastAsia"/>
          <w:b/>
          <w:bCs/>
          <w:snapToGrid w:val="0"/>
          <w:color w:val="000000" w:themeColor="text1"/>
          <w14:textFill>
            <w14:solidFill>
              <w14:schemeClr w14:val="tx1"/>
            </w14:solidFill>
          </w14:textFill>
        </w:rPr>
        <w:t>实施）</w:t>
      </w:r>
    </w:p>
    <w:p w14:paraId="1C7F105F">
      <w:pPr>
        <w:widowControl/>
        <w:ind w:firstLine="480"/>
        <w:rPr>
          <w:rFonts w:hint="eastAsia"/>
          <w:bCs/>
          <w:snapToGrid w:val="0"/>
          <w:color w:val="000000" w:themeColor="text1"/>
          <w:highlight w:val="none"/>
          <w:lang w:val="en-US" w:eastAsia="zh-CN"/>
          <w14:textFill>
            <w14:solidFill>
              <w14:schemeClr w14:val="tx1"/>
            </w14:solidFill>
          </w14:textFill>
        </w:rPr>
      </w:pPr>
      <w:r>
        <w:rPr>
          <w:rFonts w:hint="eastAsia"/>
          <w:bCs/>
          <w:snapToGrid w:val="0"/>
          <w:color w:val="000000" w:themeColor="text1"/>
          <w:highlight w:val="none"/>
          <w:lang w:val="en-US" w:eastAsia="zh-CN"/>
          <w14:textFill>
            <w14:solidFill>
              <w14:schemeClr w14:val="tx1"/>
            </w14:solidFill>
          </w14:textFill>
        </w:rPr>
        <w:t>布设时间：2024年11月</w:t>
      </w:r>
      <w:r>
        <w:rPr>
          <w:rFonts w:hint="eastAsia"/>
          <w:bCs/>
          <w:snapToGrid w:val="0"/>
          <w:color w:val="000000" w:themeColor="text1"/>
          <w:lang w:val="en-US" w:eastAsia="zh-CN"/>
          <w14:textFill>
            <w14:solidFill>
              <w14:schemeClr w14:val="tx1"/>
            </w14:solidFill>
          </w14:textFill>
        </w:rPr>
        <w:t>~</w:t>
      </w:r>
      <w:r>
        <w:rPr>
          <w:rFonts w:hint="eastAsia"/>
          <w:bCs/>
          <w:snapToGrid w:val="0"/>
          <w:color w:val="000000" w:themeColor="text1"/>
          <w:highlight w:val="none"/>
          <w:lang w:val="en-US" w:eastAsia="zh-CN"/>
          <w14:textFill>
            <w14:solidFill>
              <w14:schemeClr w14:val="tx1"/>
            </w14:solidFill>
          </w14:textFill>
        </w:rPr>
        <w:t>2024年12月</w:t>
      </w:r>
    </w:p>
    <w:p w14:paraId="502FE766">
      <w:pPr>
        <w:widowControl/>
        <w:ind w:firstLine="480"/>
        <w:rPr>
          <w:rFonts w:hint="default"/>
          <w:bCs/>
          <w:snapToGrid w:val="0"/>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施工后期对绿化工程区进行绿化覆土，绿化面积0.</w:t>
      </w:r>
      <w:r>
        <w:rPr>
          <w:rFonts w:hint="eastAsia" w:cs="Times New Roman"/>
          <w:color w:val="000000" w:themeColor="text1"/>
          <w:lang w:val="en-US" w:eastAsia="zh-CN"/>
          <w14:textFill>
            <w14:solidFill>
              <w14:schemeClr w14:val="tx1"/>
            </w14:solidFill>
          </w14:textFill>
        </w:rPr>
        <w:t>12</w:t>
      </w:r>
      <w:r>
        <w:rPr>
          <w:rFonts w:hint="eastAsia" w:cs="Times New Roman"/>
          <w:color w:val="000000" w:themeColor="text1"/>
          <w14:textFill>
            <w14:solidFill>
              <w14:schemeClr w14:val="tx1"/>
            </w14:solidFill>
          </w14:textFill>
        </w:rPr>
        <w:t>hm</w:t>
      </w:r>
      <w:r>
        <w:rPr>
          <w:rFonts w:hint="eastAsia" w:cs="Times New Roman"/>
          <w:color w:val="000000" w:themeColor="text1"/>
          <w:vertAlign w:val="superscript"/>
          <w14:textFill>
            <w14:solidFill>
              <w14:schemeClr w14:val="tx1"/>
            </w14:solidFill>
          </w14:textFill>
        </w:rPr>
        <w:t>2</w:t>
      </w:r>
      <w:r>
        <w:rPr>
          <w:rFonts w:hint="eastAsia" w:cs="Times New Roman"/>
          <w:color w:val="000000" w:themeColor="text1"/>
          <w14:textFill>
            <w14:solidFill>
              <w14:schemeClr w14:val="tx1"/>
            </w14:solidFill>
          </w14:textFill>
        </w:rPr>
        <w:t>，覆土厚度</w:t>
      </w:r>
      <w:r>
        <w:rPr>
          <w:rFonts w:hint="eastAsia" w:cs="Times New Roman"/>
          <w:color w:val="000000" w:themeColor="text1"/>
          <w:lang w:val="en-US" w:eastAsia="zh-CN"/>
          <w14:textFill>
            <w14:solidFill>
              <w14:schemeClr w14:val="tx1"/>
            </w14:solidFill>
          </w14:textFill>
        </w:rPr>
        <w:t>5</w:t>
      </w:r>
      <w:r>
        <w:rPr>
          <w:rFonts w:hint="eastAsia" w:cs="Times New Roman"/>
          <w:color w:val="000000" w:themeColor="text1"/>
          <w14:textFill>
            <w14:solidFill>
              <w14:schemeClr w14:val="tx1"/>
            </w14:solidFill>
          </w14:textFill>
        </w:rPr>
        <w:t>0cm，覆土量为</w:t>
      </w:r>
      <w:r>
        <w:rPr>
          <w:rFonts w:hint="eastAsia" w:cs="Times New Roman"/>
          <w:color w:val="000000" w:themeColor="text1"/>
          <w:lang w:eastAsia="zh-CN"/>
          <w14:textFill>
            <w14:solidFill>
              <w14:schemeClr w14:val="tx1"/>
            </w14:solidFill>
          </w14:textFill>
        </w:rPr>
        <w:t>0.10</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317E6A27">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1）土地整治（方案新增）</w:t>
      </w:r>
    </w:p>
    <w:p w14:paraId="0472EDDA">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布设时间：2024年11月~2024年12月</w:t>
      </w:r>
    </w:p>
    <w:p w14:paraId="59BB1DE7">
      <w:pPr>
        <w:ind w:firstLine="480"/>
        <w:rPr>
          <w:bCs/>
          <w:snapToGrid w:val="0"/>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绿化工程区占地面积0.12hm</w:t>
      </w:r>
      <w:r>
        <w:rPr>
          <w:rFonts w:hint="eastAsia" w:cs="Times New Roman"/>
          <w:color w:val="000000" w:themeColor="text1"/>
          <w:vertAlign w:val="superscript"/>
          <w14:textFill>
            <w14:solidFill>
              <w14:schemeClr w14:val="tx1"/>
            </w14:solidFill>
          </w14:textFill>
        </w:rPr>
        <w:t>2</w:t>
      </w:r>
      <w:r>
        <w:rPr>
          <w:rFonts w:hint="eastAsia" w:cs="Times New Roman"/>
          <w:color w:val="000000" w:themeColor="text1"/>
          <w14:textFill>
            <w14:solidFill>
              <w14:schemeClr w14:val="tx1"/>
            </w14:solidFill>
          </w14:textFill>
        </w:rPr>
        <w:t>，</w:t>
      </w:r>
      <w:r>
        <w:rPr>
          <w:rFonts w:hint="eastAsia"/>
          <w:bCs/>
          <w:snapToGrid w:val="0"/>
          <w:color w:val="000000" w:themeColor="text1"/>
          <w14:textFill>
            <w14:solidFill>
              <w14:schemeClr w14:val="tx1"/>
            </w14:solidFill>
          </w14:textFill>
        </w:rPr>
        <w:t>土方在回覆过程中其土壤原有结构可能受到一定程度影响而不利于植物措施的实施，且场地在施工过程中的平整、碾压以及地形造景等施工活动也使得其地表不利于植被生长，因此本方案设计在回铺土方后对其采取松土、清除杂物等土地整治措施。绿化工程区土地整治面积为</w:t>
      </w:r>
      <w:r>
        <w:rPr>
          <w:rFonts w:hint="eastAsia" w:cs="Times New Roman"/>
          <w:color w:val="000000" w:themeColor="text1"/>
          <w14:textFill>
            <w14:solidFill>
              <w14:schemeClr w14:val="tx1"/>
            </w14:solidFill>
          </w14:textFill>
        </w:rPr>
        <w:t>0.12hm</w:t>
      </w:r>
      <w:r>
        <w:rPr>
          <w:rFonts w:hint="eastAsia" w:cs="Times New Roman"/>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w:t>
      </w:r>
    </w:p>
    <w:p w14:paraId="7A77088C">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（2）植物措施</w:t>
      </w:r>
    </w:p>
    <w:p w14:paraId="438FD6B3">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1）景观绿化（主体未实施）</w:t>
      </w:r>
    </w:p>
    <w:p w14:paraId="2E2313E0">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布设时间：2024年10月~2024年12月</w:t>
      </w:r>
    </w:p>
    <w:p w14:paraId="002C63FA">
      <w:pPr>
        <w:rPr>
          <w:rFonts w:cs="Times New Roman"/>
          <w:color w:val="000000" w:themeColor="text1"/>
          <w14:textFill>
            <w14:solidFill>
              <w14:schemeClr w14:val="tx1"/>
            </w14:solidFill>
          </w14:textFill>
        </w:rPr>
      </w:pPr>
      <w:r>
        <w:rPr>
          <w:color w:val="000000" w:themeColor="text1"/>
          <w14:textFill>
            <w14:solidFill>
              <w14:schemeClr w14:val="tx1"/>
            </w14:solidFill>
          </w14:textFill>
        </w:rPr>
        <w:t>建设区绿化面积</w:t>
      </w:r>
      <w:r>
        <w:rPr>
          <w:rFonts w:hint="eastAsia"/>
          <w:color w:val="000000" w:themeColor="text1"/>
          <w14:textFill>
            <w14:solidFill>
              <w14:schemeClr w14:val="tx1"/>
            </w14:solidFill>
          </w14:textFill>
        </w:rPr>
        <w:t>0.12</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，该项措施由主体工程负责实施，</w:t>
      </w:r>
      <w:r>
        <w:rPr>
          <w:rFonts w:hint="eastAsia"/>
          <w:color w:val="000000" w:themeColor="text1"/>
          <w14:textFill>
            <w14:solidFill>
              <w14:schemeClr w14:val="tx1"/>
            </w14:solidFill>
          </w14:textFill>
        </w:rPr>
        <w:t>以后期的绿化专项设计为准</w:t>
      </w:r>
      <w:r>
        <w:rPr>
          <w:rFonts w:hint="eastAsia" w:cs="Times New Roman"/>
          <w:color w:val="000000" w:themeColor="text1"/>
          <w14:textFill>
            <w14:solidFill>
              <w14:schemeClr w14:val="tx1"/>
            </w14:solidFill>
          </w14:textFill>
        </w:rPr>
        <w:t>。</w:t>
      </w:r>
      <w:r>
        <w:rPr>
          <w:rFonts w:hint="eastAsia"/>
          <w:bCs/>
          <w:snapToGrid w:val="0"/>
          <w:color w:val="000000" w:themeColor="text1"/>
          <w14:textFill>
            <w14:solidFill>
              <w14:schemeClr w14:val="tx1"/>
            </w14:solidFill>
          </w14:textFill>
        </w:rPr>
        <w:t>绿化工程区</w:t>
      </w:r>
      <w:r>
        <w:rPr>
          <w:rFonts w:hint="eastAsia" w:cs="Times New Roman"/>
          <w:color w:val="000000" w:themeColor="text1"/>
          <w14:textFill>
            <w14:solidFill>
              <w14:schemeClr w14:val="tx1"/>
            </w14:solidFill>
          </w14:textFill>
        </w:rPr>
        <w:t>景观绿化面积为</w:t>
      </w:r>
      <w:r>
        <w:rPr>
          <w:rFonts w:hint="eastAsia"/>
          <w:color w:val="000000" w:themeColor="text1"/>
          <w14:textFill>
            <w14:solidFill>
              <w14:schemeClr w14:val="tx1"/>
            </w14:solidFill>
          </w14:textFill>
        </w:rPr>
        <w:t>0.12</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w:t>
      </w:r>
    </w:p>
    <w:p w14:paraId="42042438">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2）植草沟（主体未实施）</w:t>
      </w:r>
    </w:p>
    <w:p w14:paraId="6927BF7A">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布设时间：2024年11月~2024年12月</w:t>
      </w:r>
    </w:p>
    <w:p w14:paraId="33EE4D3D">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为避免路面积水，在7#建筑靠近6#建筑一侧的绿化带设置植草沟，有利于雨水的快速下渗和导流，共建设植草沟173.04</w:t>
      </w:r>
      <w:r>
        <w:rPr>
          <w:snapToGrid w:val="0"/>
          <w:color w:val="000000" w:themeColor="text1"/>
          <w14:textFill>
            <w14:solidFill>
              <w14:schemeClr w14:val="tx1"/>
            </w14:solidFill>
          </w14:textFill>
        </w:rPr>
        <w:t>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w:t>
      </w:r>
    </w:p>
    <w:p w14:paraId="5815FDAB">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3</w:t>
      </w:r>
      <w:r>
        <w:rPr>
          <w:rFonts w:hint="eastAsia"/>
          <w:b/>
          <w:bCs/>
          <w:color w:val="000000" w:themeColor="text1"/>
          <w14:textFill>
            <w14:solidFill>
              <w14:schemeClr w14:val="tx1"/>
            </w14:solidFill>
          </w14:textFill>
        </w:rPr>
        <w:t>）抚育管理（方案新增）</w:t>
      </w:r>
    </w:p>
    <w:p w14:paraId="459D51FA">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布设时间：2024年11月~2024年12月</w:t>
      </w:r>
    </w:p>
    <w:p w14:paraId="5EB16129">
      <w:pPr>
        <w:ind w:firstLine="480"/>
        <w:rPr>
          <w:rFonts w:cs="Times New Roman"/>
          <w:color w:val="000000" w:themeColor="text1"/>
          <w14:textFill>
            <w14:solidFill>
              <w14:schemeClr w14:val="tx1"/>
            </w14:solidFill>
          </w14:textFill>
        </w:rPr>
      </w:pPr>
      <w:r>
        <w:rPr>
          <w:color w:val="000000" w:themeColor="text1"/>
          <w14:textFill>
            <w14:solidFill>
              <w14:schemeClr w14:val="tx1"/>
            </w14:solidFill>
          </w14:textFill>
        </w:rPr>
        <w:t>植物措施实施后，应定期对植被进行维护，病虫害治疗等</w:t>
      </w:r>
      <w:r>
        <w:rPr>
          <w:rFonts w:hint="eastAsia"/>
          <w:color w:val="000000" w:themeColor="text1"/>
          <w14:textFill>
            <w14:solidFill>
              <w14:schemeClr w14:val="tx1"/>
            </w14:solidFill>
          </w14:textFill>
        </w:rPr>
        <w:t>抚育管理，</w:t>
      </w:r>
      <w:r>
        <w:rPr>
          <w:rFonts w:hint="eastAsia" w:cs="Times New Roman"/>
          <w:color w:val="000000" w:themeColor="text1"/>
          <w14:textFill>
            <w14:solidFill>
              <w14:schemeClr w14:val="tx1"/>
            </w14:solidFill>
          </w14:textFill>
        </w:rPr>
        <w:t>乔灌草绿化抚育管理0.12</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·a</w:t>
      </w:r>
      <w:r>
        <w:rPr>
          <w:rFonts w:hint="eastAsia" w:cs="Times New Roman"/>
          <w:color w:val="000000" w:themeColor="text1"/>
          <w14:textFill>
            <w14:solidFill>
              <w14:schemeClr w14:val="tx1"/>
            </w14:solidFill>
          </w14:textFill>
        </w:rPr>
        <w:t>，抚育管理2年。</w:t>
      </w:r>
    </w:p>
    <w:p w14:paraId="55E94C24">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w:t>
      </w:r>
      <w:r>
        <w:rPr>
          <w:rFonts w:cs="Times New Roman"/>
          <w:b/>
          <w:bCs/>
          <w:color w:val="000000" w:themeColor="text1"/>
          <w14:textFill>
            <w14:solidFill>
              <w14:schemeClr w14:val="tx1"/>
            </w14:solidFill>
          </w14:textFill>
        </w:rPr>
        <w:t>3</w:t>
      </w:r>
      <w:r>
        <w:rPr>
          <w:rFonts w:hint="eastAsia" w:cs="Times New Roman"/>
          <w:b/>
          <w:bCs/>
          <w:color w:val="000000" w:themeColor="text1"/>
          <w14:textFill>
            <w14:solidFill>
              <w14:schemeClr w14:val="tx1"/>
            </w14:solidFill>
          </w14:textFill>
        </w:rPr>
        <w:t>）临时措施</w:t>
      </w:r>
    </w:p>
    <w:p w14:paraId="721AF0A5">
      <w:pPr>
        <w:ind w:firstLine="482"/>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1）密目网苫盖（方案新增）</w:t>
      </w:r>
    </w:p>
    <w:p w14:paraId="4CB6544A">
      <w:pPr>
        <w:widowControl/>
        <w:ind w:firstLine="480"/>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布设时间：2024年10月~2024年12月</w:t>
      </w:r>
    </w:p>
    <w:p w14:paraId="0E8ED58B">
      <w:pPr>
        <w:widowControl/>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对不能及时绿化的裸露地面采取苫盖，经统计共采取密目网苫盖714m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03940B97">
      <w:pPr>
        <w:pStyle w:val="3"/>
        <w:rPr>
          <w:color w:val="000000" w:themeColor="text1"/>
          <w14:textFill>
            <w14:solidFill>
              <w14:schemeClr w14:val="tx1"/>
            </w14:solidFill>
          </w14:textFill>
        </w:rPr>
      </w:pPr>
      <w:bookmarkStart w:id="53" w:name="_Toc125"/>
      <w:r>
        <w:rPr>
          <w:rFonts w:hint="eastAsia"/>
          <w:color w:val="000000" w:themeColor="text1"/>
          <w14:textFill>
            <w14:solidFill>
              <w14:schemeClr w14:val="tx1"/>
            </w14:solidFill>
          </w14:textFill>
        </w:rPr>
        <w:t>1.</w:t>
      </w:r>
      <w:bookmarkStart w:id="54" w:name="_Hlk136436316"/>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水土保持投资估算和效益分析</w:t>
      </w:r>
      <w:bookmarkEnd w:id="53"/>
    </w:p>
    <w:bookmarkEnd w:id="54"/>
    <w:p w14:paraId="618D634A">
      <w:pPr>
        <w:ind w:firstLine="480"/>
        <w:rPr>
          <w:color w:val="000000" w:themeColor="text1"/>
          <w14:textFill>
            <w14:solidFill>
              <w14:schemeClr w14:val="tx1"/>
            </w14:solidFill>
          </w14:textFill>
        </w:rPr>
      </w:pPr>
      <w:bookmarkStart w:id="55" w:name="_Hlk136436329"/>
      <w:r>
        <w:rPr>
          <w:rFonts w:hint="eastAsia"/>
          <w:color w:val="000000" w:themeColor="text1"/>
          <w14:textFill>
            <w14:solidFill>
              <w14:schemeClr w14:val="tx1"/>
            </w14:solidFill>
          </w14:textFill>
        </w:rPr>
        <w:t>本项目水土保持总投资为</w:t>
      </w:r>
      <w:r>
        <w:rPr>
          <w:rFonts w:hint="eastAsia"/>
          <w:color w:val="000000" w:themeColor="text1"/>
          <w:lang w:eastAsia="zh-CN"/>
          <w14:textFill>
            <w14:solidFill>
              <w14:schemeClr w14:val="tx1"/>
            </w14:solidFill>
          </w14:textFill>
        </w:rPr>
        <w:t>96.62</w:t>
      </w:r>
      <w:r>
        <w:rPr>
          <w:rFonts w:hint="eastAsia"/>
          <w:color w:val="000000" w:themeColor="text1"/>
          <w14:textFill>
            <w14:solidFill>
              <w14:schemeClr w14:val="tx1"/>
            </w14:solidFill>
          </w14:textFill>
        </w:rPr>
        <w:t>万元，其中主体已有水土保持投资</w:t>
      </w:r>
      <w:r>
        <w:rPr>
          <w:rFonts w:hint="eastAsia"/>
          <w:color w:val="000000" w:themeColor="text1"/>
          <w:lang w:eastAsia="zh-CN"/>
          <w14:textFill>
            <w14:solidFill>
              <w14:schemeClr w14:val="tx1"/>
            </w14:solidFill>
          </w14:textFill>
        </w:rPr>
        <w:t>83.03</w:t>
      </w:r>
      <w:r>
        <w:rPr>
          <w:rFonts w:hint="eastAsia"/>
          <w:color w:val="000000" w:themeColor="text1"/>
          <w14:textFill>
            <w14:solidFill>
              <w14:schemeClr w14:val="tx1"/>
            </w14:solidFill>
          </w14:textFill>
        </w:rPr>
        <w:t>万元，方案新增水土保持投资13.59万元。水土保持总投资中，工程措施费21.89万元，植物措施费49.49万元，临时措施费11.36万元，独立费用9.37万元（其中建设管理费0.37万元，科研勘测设计费5.00万元，竣工验收报告编制费4.00万元），基本预备费1.84万元，水土保持补偿费为1.24万元（12377.3元）。</w:t>
      </w:r>
    </w:p>
    <w:p w14:paraId="0826FA02">
      <w:pPr>
        <w:ind w:firstLine="480"/>
        <w:rPr>
          <w:rFonts w:cs="Times New Roman"/>
          <w:color w:val="000000" w:themeColor="text1"/>
          <w:highlight w:val="green"/>
          <w14:textFill>
            <w14:solidFill>
              <w14:schemeClr w14:val="tx1"/>
            </w14:solidFill>
          </w14:textFill>
        </w:rPr>
      </w:pPr>
      <w:r>
        <w:rPr>
          <w:rFonts w:cs="Times New Roman"/>
          <w:color w:val="000000" w:themeColor="text1"/>
          <w14:textFill>
            <w14:solidFill>
              <w14:schemeClr w14:val="tx1"/>
            </w14:solidFill>
          </w14:textFill>
        </w:rPr>
        <w:t>经效益分析，</w:t>
      </w:r>
      <w:r>
        <w:rPr>
          <w:rFonts w:hint="eastAsia" w:cs="Times New Roman"/>
          <w:color w:val="000000" w:themeColor="text1"/>
          <w14:textFill>
            <w14:solidFill>
              <w14:schemeClr w14:val="tx1"/>
            </w14:solidFill>
          </w14:textFill>
        </w:rPr>
        <w:t>本项目</w:t>
      </w:r>
      <w:r>
        <w:rPr>
          <w:rFonts w:hint="eastAsia"/>
          <w:color w:val="000000" w:themeColor="text1"/>
          <w14:textFill>
            <w14:solidFill>
              <w14:schemeClr w14:val="tx1"/>
            </w14:solidFill>
          </w14:textFill>
        </w:rPr>
        <w:t>林草植被建设面积0.12hm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rFonts w:cs="Times New Roman"/>
          <w:color w:val="000000" w:themeColor="text1"/>
          <w14:textFill>
            <w14:solidFill>
              <w14:schemeClr w14:val="tx1"/>
            </w14:solidFill>
          </w14:textFill>
        </w:rPr>
        <w:t>至设计水平年，</w:t>
      </w:r>
      <w:r>
        <w:rPr>
          <w:rFonts w:hint="eastAsia" w:cs="Times New Roman"/>
          <w:color w:val="000000" w:themeColor="text1"/>
          <w14:textFill>
            <w14:solidFill>
              <w14:schemeClr w14:val="tx1"/>
            </w14:solidFill>
          </w14:textFill>
        </w:rPr>
        <w:t>水土流失治理度</w:t>
      </w:r>
      <w:r>
        <w:rPr>
          <w:rFonts w:cs="Times New Roman"/>
          <w:color w:val="000000" w:themeColor="text1"/>
          <w14:textFill>
            <w14:solidFill>
              <w14:schemeClr w14:val="tx1"/>
            </w14:solidFill>
          </w14:textFill>
        </w:rPr>
        <w:t>为</w:t>
      </w:r>
      <w:r>
        <w:rPr>
          <w:rFonts w:hint="eastAsia" w:cs="Times New Roman"/>
          <w:color w:val="000000" w:themeColor="text1"/>
          <w14:textFill>
            <w14:solidFill>
              <w14:schemeClr w14:val="tx1"/>
            </w14:solidFill>
          </w14:textFill>
        </w:rPr>
        <w:t>97.89</w:t>
      </w:r>
      <w:r>
        <w:rPr>
          <w:rFonts w:cs="Times New Roman"/>
          <w:color w:val="000000" w:themeColor="text1"/>
          <w14:textFill>
            <w14:solidFill>
              <w14:schemeClr w14:val="tx1"/>
            </w14:solidFill>
          </w14:textFill>
        </w:rPr>
        <w:t>%，土壤流失控制比1.</w:t>
      </w:r>
      <w:r>
        <w:rPr>
          <w:rFonts w:hint="eastAsia" w:cs="Times New Roman"/>
          <w:color w:val="000000" w:themeColor="text1"/>
          <w:lang w:val="en-US" w:eastAsia="zh-CN"/>
          <w14:textFill>
            <w14:solidFill>
              <w14:schemeClr w14:val="tx1"/>
            </w14:solidFill>
          </w14:textFill>
        </w:rPr>
        <w:t>0</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渣土防护率达到96.48%，</w:t>
      </w:r>
      <w:r>
        <w:rPr>
          <w:rFonts w:cs="Times New Roman"/>
          <w:color w:val="000000" w:themeColor="text1"/>
          <w14:textFill>
            <w14:solidFill>
              <w14:schemeClr w14:val="tx1"/>
            </w14:solidFill>
          </w14:textFill>
        </w:rPr>
        <w:t>林草植被恢复率为</w:t>
      </w:r>
      <w:r>
        <w:rPr>
          <w:rFonts w:hint="eastAsia" w:cs="Times New Roman"/>
          <w:color w:val="000000" w:themeColor="text1"/>
          <w:lang w:val="en-US" w:eastAsia="zh-CN"/>
          <w14:textFill>
            <w14:solidFill>
              <w14:schemeClr w14:val="tx1"/>
            </w14:solidFill>
          </w14:textFill>
        </w:rPr>
        <w:t>97.32</w:t>
      </w:r>
      <w:r>
        <w:rPr>
          <w:rFonts w:cs="Times New Roman"/>
          <w:color w:val="000000" w:themeColor="text1"/>
          <w14:textFill>
            <w14:solidFill>
              <w14:schemeClr w14:val="tx1"/>
            </w14:solidFill>
          </w14:textFill>
        </w:rPr>
        <w:t>%，林草覆盖率为1</w:t>
      </w:r>
      <w:r>
        <w:rPr>
          <w:rFonts w:hint="eastAsia" w:cs="Times New Roman"/>
          <w:color w:val="000000" w:themeColor="text1"/>
          <w14:textFill>
            <w14:solidFill>
              <w14:schemeClr w14:val="tx1"/>
            </w14:solidFill>
          </w14:textFill>
        </w:rPr>
        <w:t>2.63</w:t>
      </w:r>
      <w:r>
        <w:rPr>
          <w:rFonts w:cs="Times New Roman"/>
          <w:color w:val="000000" w:themeColor="text1"/>
          <w14:textFill>
            <w14:solidFill>
              <w14:schemeClr w14:val="tx1"/>
            </w14:solidFill>
          </w14:textFill>
        </w:rPr>
        <w:t>%。水土保持效益指标均达到</w:t>
      </w:r>
      <w:r>
        <w:rPr>
          <w:rFonts w:hint="eastAsia" w:cs="Times New Roman"/>
          <w:color w:val="000000" w:themeColor="text1"/>
          <w14:textFill>
            <w14:solidFill>
              <w14:schemeClr w14:val="tx1"/>
            </w14:solidFill>
          </w14:textFill>
        </w:rPr>
        <w:t>方案设计的目标值</w:t>
      </w:r>
      <w:r>
        <w:rPr>
          <w:rFonts w:cs="Times New Roman"/>
          <w:color w:val="000000" w:themeColor="text1"/>
          <w14:textFill>
            <w14:solidFill>
              <w14:schemeClr w14:val="tx1"/>
            </w14:solidFill>
          </w14:textFill>
        </w:rPr>
        <w:t>，项目总体水土保持效果明显，符合水土保持要求。</w:t>
      </w:r>
    </w:p>
    <w:bookmarkEnd w:id="55"/>
    <w:p w14:paraId="5A51D652">
      <w:pPr>
        <w:pStyle w:val="3"/>
        <w:rPr>
          <w:color w:val="000000" w:themeColor="text1"/>
          <w14:textFill>
            <w14:solidFill>
              <w14:schemeClr w14:val="tx1"/>
            </w14:solidFill>
          </w14:textFill>
        </w:rPr>
      </w:pPr>
      <w:bookmarkStart w:id="56" w:name="_Toc20649"/>
      <w:r>
        <w:rPr>
          <w:rFonts w:hint="eastAsia"/>
          <w:color w:val="000000" w:themeColor="text1"/>
          <w14:textFill>
            <w14:solidFill>
              <w14:schemeClr w14:val="tx1"/>
            </w14:solidFill>
          </w14:textFill>
        </w:rPr>
        <w:t>1.1</w:t>
      </w: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结论</w:t>
      </w:r>
      <w:bookmarkEnd w:id="56"/>
    </w:p>
    <w:p w14:paraId="1097FF74">
      <w:pPr>
        <w:pStyle w:val="4"/>
        <w:tabs>
          <w:tab w:val="left" w:pos="720"/>
        </w:tabs>
        <w:rPr>
          <w:color w:val="000000" w:themeColor="text1"/>
          <w:szCs w:val="22"/>
          <w14:textFill>
            <w14:solidFill>
              <w14:schemeClr w14:val="tx1"/>
            </w14:solidFill>
          </w14:textFill>
        </w:rPr>
      </w:pPr>
      <w:bookmarkStart w:id="57" w:name="_Toc437027674"/>
      <w:bookmarkStart w:id="58" w:name="_Toc12121"/>
      <w:bookmarkStart w:id="59" w:name="_Toc24453"/>
      <w:r>
        <w:rPr>
          <w:color w:val="000000" w:themeColor="text1"/>
          <w:szCs w:val="22"/>
          <w14:textFill>
            <w14:solidFill>
              <w14:schemeClr w14:val="tx1"/>
            </w14:solidFill>
          </w14:textFill>
        </w:rPr>
        <w:t>1.1</w:t>
      </w:r>
      <w:r>
        <w:rPr>
          <w:rFonts w:hint="eastAsia"/>
          <w:color w:val="000000" w:themeColor="text1"/>
          <w:szCs w:val="22"/>
          <w:lang w:val="en-US" w:eastAsia="zh-CN"/>
          <w14:textFill>
            <w14:solidFill>
              <w14:schemeClr w14:val="tx1"/>
            </w14:solidFill>
          </w14:textFill>
        </w:rPr>
        <w:t>0</w:t>
      </w:r>
      <w:r>
        <w:rPr>
          <w:color w:val="000000" w:themeColor="text1"/>
          <w:szCs w:val="22"/>
          <w14:textFill>
            <w14:solidFill>
              <w14:schemeClr w14:val="tx1"/>
            </w14:solidFill>
          </w14:textFill>
        </w:rPr>
        <w:t>.1结论</w:t>
      </w:r>
    </w:p>
    <w:p w14:paraId="322FBBB1">
      <w:pPr>
        <w:ind w:firstLine="480"/>
        <w:rPr>
          <w:color w:val="000000" w:themeColor="text1"/>
          <w14:textFill>
            <w14:solidFill>
              <w14:schemeClr w14:val="tx1"/>
            </w14:solidFill>
          </w14:textFill>
        </w:rPr>
      </w:pPr>
      <w:bookmarkStart w:id="60" w:name="_Hlk136436422"/>
      <w:r>
        <w:rPr>
          <w:rFonts w:hint="eastAsia"/>
          <w:color w:val="000000" w:themeColor="text1"/>
          <w14:textFill>
            <w14:solidFill>
              <w14:schemeClr w14:val="tx1"/>
            </w14:solidFill>
          </w14:textFill>
        </w:rPr>
        <w:t>通过分析评价，项目区不在国家及地方自然保护区、湿地、地质灾害易发区等区域，未涉及国家水土保持监测网络中的水土保持监测站点、重点试验区，项目区无限制项目建设的水土保持制约因素。</w:t>
      </w:r>
    </w:p>
    <w:p w14:paraId="6C4031C4">
      <w:pPr>
        <w:adjustRightInd/>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选址、建设方案、水土流失防治等方面符合水土保持法规、技术标准的规定。项目建设过程中不可避免地产生水土流失，通过划分水土流失防治分区，合理布局水土流失防治体系，采取完善的水土保持措施，项目建设产生的水土流失通过有效治理，达到控制水土流失、保护生态环境的要求。本项目建设是可行的。</w:t>
      </w:r>
    </w:p>
    <w:bookmarkEnd w:id="60"/>
    <w:p w14:paraId="75C21C71">
      <w:pPr>
        <w:pStyle w:val="4"/>
        <w:tabs>
          <w:tab w:val="left" w:pos="720"/>
        </w:tabs>
        <w:rPr>
          <w:color w:val="000000" w:themeColor="text1"/>
          <w:szCs w:val="22"/>
          <w14:textFill>
            <w14:solidFill>
              <w14:schemeClr w14:val="tx1"/>
            </w14:solidFill>
          </w14:textFill>
        </w:rPr>
      </w:pPr>
      <w:r>
        <w:rPr>
          <w:color w:val="000000" w:themeColor="text1"/>
          <w:szCs w:val="22"/>
          <w14:textFill>
            <w14:solidFill>
              <w14:schemeClr w14:val="tx1"/>
            </w14:solidFill>
          </w14:textFill>
        </w:rPr>
        <w:t>1.11.2建议</w:t>
      </w:r>
    </w:p>
    <w:p w14:paraId="32CA1F27">
      <w:pPr>
        <w:adjustRightInd/>
        <w:ind w:firstLine="480"/>
        <w:rPr>
          <w:color w:val="000000" w:themeColor="text1"/>
          <w14:textFill>
            <w14:solidFill>
              <w14:schemeClr w14:val="tx1"/>
            </w14:solidFill>
          </w14:textFill>
        </w:rPr>
      </w:pPr>
      <w:bookmarkStart w:id="61" w:name="_Hlk136436495"/>
      <w:r>
        <w:rPr>
          <w:color w:val="000000" w:themeColor="text1"/>
          <w14:textFill>
            <w14:solidFill>
              <w14:schemeClr w14:val="tx1"/>
            </w14:solidFill>
          </w14:textFill>
        </w:rPr>
        <w:t>（1）</w:t>
      </w:r>
      <w:r>
        <w:rPr>
          <w:rFonts w:hint="eastAsia"/>
          <w:color w:val="000000" w:themeColor="text1"/>
          <w14:textFill>
            <w14:solidFill>
              <w14:schemeClr w14:val="tx1"/>
            </w14:solidFill>
          </w14:textFill>
        </w:rPr>
        <w:t>本项目水土保持监理、监测工作尚未落实，建设单位应积极开展或委托开展</w:t>
      </w:r>
      <w:r>
        <w:rPr>
          <w:color w:val="000000" w:themeColor="text1"/>
          <w14:textFill>
            <w14:solidFill>
              <w14:schemeClr w14:val="tx1"/>
            </w14:solidFill>
          </w14:textFill>
        </w:rPr>
        <w:t>水土保持工程监理、监测工作。</w:t>
      </w:r>
      <w:r>
        <w:rPr>
          <w:rFonts w:hint="eastAsia"/>
          <w:color w:val="000000" w:themeColor="text1"/>
          <w14:textFill>
            <w14:solidFill>
              <w14:schemeClr w14:val="tx1"/>
            </w14:solidFill>
          </w14:textFill>
        </w:rPr>
        <w:t>在后续建设项目中，建设单位应于领取水土保持方案批复文件后做好</w:t>
      </w:r>
      <w:r>
        <w:rPr>
          <w:color w:val="000000" w:themeColor="text1"/>
          <w14:textFill>
            <w14:solidFill>
              <w14:schemeClr w14:val="tx1"/>
            </w14:solidFill>
          </w14:textFill>
        </w:rPr>
        <w:t>水土保持工程监理、监测</w:t>
      </w:r>
      <w:r>
        <w:rPr>
          <w:rFonts w:hint="eastAsia"/>
          <w:color w:val="000000" w:themeColor="text1"/>
          <w14:textFill>
            <w14:solidFill>
              <w14:schemeClr w14:val="tx1"/>
            </w14:solidFill>
          </w14:textFill>
        </w:rPr>
        <w:t>单位的委托，使</w:t>
      </w:r>
      <w:r>
        <w:rPr>
          <w:color w:val="000000" w:themeColor="text1"/>
          <w14:textFill>
            <w14:solidFill>
              <w14:schemeClr w14:val="tx1"/>
            </w14:solidFill>
          </w14:textFill>
        </w:rPr>
        <w:t>水土保持工程监理、监测</w:t>
      </w:r>
      <w:r>
        <w:rPr>
          <w:rFonts w:hint="eastAsia"/>
          <w:color w:val="000000" w:themeColor="text1"/>
          <w14:textFill>
            <w14:solidFill>
              <w14:schemeClr w14:val="tx1"/>
            </w14:solidFill>
          </w14:textFill>
        </w:rPr>
        <w:t>单位</w:t>
      </w:r>
      <w:r>
        <w:rPr>
          <w:color w:val="000000" w:themeColor="text1"/>
          <w14:textFill>
            <w14:solidFill>
              <w14:schemeClr w14:val="tx1"/>
            </w14:solidFill>
          </w14:textFill>
        </w:rPr>
        <w:t>与主体工程施工同时开展</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水土保持监理要对水土保持工程的数量、质量、工期及投资进行控制；水土保持监测则要对施工前及施工过程中工程建设区的水土流失状况进行全面监测，对水土保持工程的布设及实施及时指导。</w:t>
      </w:r>
    </w:p>
    <w:p w14:paraId="0F19D7A3">
      <w:pPr>
        <w:adjustRightInd/>
        <w:ind w:firstLine="480"/>
        <w:rPr>
          <w:color w:val="000000" w:themeColor="text1"/>
          <w14:textFill>
            <w14:solidFill>
              <w14:schemeClr w14:val="tx1"/>
            </w14:solidFill>
          </w14:textFill>
        </w:rPr>
      </w:pPr>
      <w:r>
        <w:rPr>
          <w:color w:val="000000" w:themeColor="text1"/>
          <w14:textFill>
            <w14:solidFill>
              <w14:schemeClr w14:val="tx1"/>
            </w14:solidFill>
          </w14:textFill>
        </w:rPr>
        <w:t>（2）建设单位及时缴纳水土保持补偿费。</w:t>
      </w:r>
    </w:p>
    <w:p w14:paraId="6D725217">
      <w:pPr>
        <w:ind w:firstLine="480"/>
        <w:rPr>
          <w:color w:val="000000" w:themeColor="text1"/>
          <w14:textFill>
            <w14:solidFill>
              <w14:schemeClr w14:val="tx1"/>
            </w14:solidFill>
          </w14:textFill>
        </w:rPr>
      </w:pPr>
      <w:r>
        <w:rPr>
          <w:color w:val="000000" w:themeColor="text1"/>
          <w14:textFill>
            <w14:solidFill>
              <w14:schemeClr w14:val="tx1"/>
            </w14:solidFill>
          </w14:textFill>
        </w:rPr>
        <w:t>（3）建设单位应根据《水利部关于加强事中事后监管规范生产建设项目水土保持设施自主验收的通知》（水保〔2017〕365号）、《水利部办公厅关于印发生产建设项目水土保持设施自主验收规程（试行）的通知》（办水保〔2018〕133号）、《四川省水利厅转发水利部关于加强事中事后监管规范生产建设项目水土保持设施自主验收的规范的通知》（川水函〔2019〕887号）、《水利部关于进一步深化“放管服”改革全面加强水土保持监管的意见》（水保〔2019〕160号）、《水利部办公厅关于印发生产建设项目水土保持监督管理办法的通知》（办水保〔2019〕172号）的要求规定，及时开展水土保持设施自主验收，验收合格后才能投入使用。</w:t>
      </w:r>
    </w:p>
    <w:p w14:paraId="55C440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通过本方案新增水土保持措施和主体工程具有水土保持功能措施的实施，可有效控制和减少工程建设产生的水土流失，减轻工程建设对周围环境的影响，使影响区域水土流失量恢复达到本方案的允许范围内，对项目建设过程中水土流失防治措施的设计和实施，将形成完整的水土保持体系，有效控制因该项目建设造成的新增水土流失。因此，从水土保持角度分析，该项目实施是可行的。</w:t>
      </w:r>
    </w:p>
    <w:bookmarkEnd w:id="57"/>
    <w:bookmarkEnd w:id="58"/>
    <w:bookmarkEnd w:id="59"/>
    <w:bookmarkEnd w:id="61"/>
    <w:p w14:paraId="64E3C53A">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高新区兆辉新能源工业园及基础设施配套项目（二期）水土保持方案特性表详见表1.1-1。</w:t>
      </w:r>
    </w:p>
    <w:p w14:paraId="11123A8F">
      <w:pPr>
        <w:pStyle w:val="33"/>
        <w:jc w:val="center"/>
        <w:rPr>
          <w:color w:val="000000" w:themeColor="text1"/>
          <w14:textFill>
            <w14:solidFill>
              <w14:schemeClr w14:val="tx1"/>
            </w14:solidFill>
          </w14:textFill>
        </w:rPr>
      </w:pPr>
      <w:bookmarkStart w:id="62" w:name="_Hlk136436574"/>
      <w:r>
        <w:rPr>
          <w:rFonts w:hint="eastAsia"/>
          <w:color w:val="000000" w:themeColor="text1"/>
          <w14:textFill>
            <w14:solidFill>
              <w14:schemeClr w14:val="tx1"/>
            </w14:solidFill>
          </w14:textFill>
        </w:rPr>
        <w:t>表1.1-1 高新区兆辉新能源工业园及基础设施配套项目（二期）水土保持方案特性表</w:t>
      </w:r>
    </w:p>
    <w:tbl>
      <w:tblPr>
        <w:tblStyle w:val="26"/>
        <w:tblW w:w="576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604"/>
        <w:gridCol w:w="843"/>
        <w:gridCol w:w="159"/>
        <w:gridCol w:w="410"/>
        <w:gridCol w:w="552"/>
        <w:gridCol w:w="283"/>
        <w:gridCol w:w="1028"/>
        <w:gridCol w:w="224"/>
        <w:gridCol w:w="1017"/>
        <w:gridCol w:w="309"/>
        <w:gridCol w:w="921"/>
        <w:gridCol w:w="632"/>
        <w:gridCol w:w="627"/>
        <w:gridCol w:w="131"/>
        <w:gridCol w:w="1808"/>
      </w:tblGrid>
      <w:tr w14:paraId="445DCC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40" w:type="pct"/>
            <w:gridSpan w:val="3"/>
            <w:vAlign w:val="center"/>
          </w:tcPr>
          <w:p w14:paraId="035D366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项目名称</w:t>
            </w:r>
          </w:p>
        </w:tc>
        <w:tc>
          <w:tcPr>
            <w:tcW w:w="1839" w:type="pct"/>
            <w:gridSpan w:val="6"/>
            <w:vAlign w:val="center"/>
          </w:tcPr>
          <w:p w14:paraId="29FDA919">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高新区兆辉新能源工业园及基础设施配套项目（二期）</w:t>
            </w:r>
          </w:p>
        </w:tc>
        <w:tc>
          <w:tcPr>
            <w:tcW w:w="644" w:type="pct"/>
            <w:gridSpan w:val="2"/>
            <w:vAlign w:val="center"/>
          </w:tcPr>
          <w:p w14:paraId="034CF216">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流域管理机构</w:t>
            </w:r>
          </w:p>
        </w:tc>
        <w:tc>
          <w:tcPr>
            <w:tcW w:w="1675" w:type="pct"/>
            <w:gridSpan w:val="4"/>
            <w:vAlign w:val="center"/>
          </w:tcPr>
          <w:p w14:paraId="39EFECD7">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长江水利委员会</w:t>
            </w:r>
          </w:p>
        </w:tc>
      </w:tr>
      <w:tr w14:paraId="5FD8AD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40" w:type="pct"/>
            <w:gridSpan w:val="3"/>
            <w:vAlign w:val="center"/>
          </w:tcPr>
          <w:p w14:paraId="5D79282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涉及省区</w:t>
            </w:r>
          </w:p>
        </w:tc>
        <w:tc>
          <w:tcPr>
            <w:tcW w:w="1190" w:type="pct"/>
            <w:gridSpan w:val="4"/>
            <w:vAlign w:val="center"/>
          </w:tcPr>
          <w:p w14:paraId="0C071C5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四川省</w:t>
            </w:r>
          </w:p>
        </w:tc>
        <w:tc>
          <w:tcPr>
            <w:tcW w:w="649" w:type="pct"/>
            <w:gridSpan w:val="2"/>
            <w:vAlign w:val="center"/>
          </w:tcPr>
          <w:p w14:paraId="07D809B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涉及地市</w:t>
            </w:r>
          </w:p>
        </w:tc>
        <w:tc>
          <w:tcPr>
            <w:tcW w:w="644" w:type="pct"/>
            <w:gridSpan w:val="2"/>
            <w:vAlign w:val="center"/>
          </w:tcPr>
          <w:p w14:paraId="05F92A24">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绵阳市</w:t>
            </w:r>
          </w:p>
        </w:tc>
        <w:tc>
          <w:tcPr>
            <w:tcW w:w="728" w:type="pct"/>
            <w:gridSpan w:val="3"/>
            <w:vAlign w:val="center"/>
          </w:tcPr>
          <w:p w14:paraId="42D2623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涉及市/县</w:t>
            </w:r>
          </w:p>
        </w:tc>
        <w:tc>
          <w:tcPr>
            <w:tcW w:w="946" w:type="pct"/>
            <w:vAlign w:val="center"/>
          </w:tcPr>
          <w:p w14:paraId="1C0DFE1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高新区</w:t>
            </w:r>
          </w:p>
        </w:tc>
      </w:tr>
      <w:tr w14:paraId="496214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40" w:type="pct"/>
            <w:gridSpan w:val="3"/>
            <w:vAlign w:val="center"/>
          </w:tcPr>
          <w:p w14:paraId="1679E50F">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项目</w:t>
            </w:r>
          </w:p>
          <w:p w14:paraId="5D552E43">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规模</w:t>
            </w:r>
          </w:p>
        </w:tc>
        <w:tc>
          <w:tcPr>
            <w:tcW w:w="1190" w:type="pct"/>
            <w:gridSpan w:val="4"/>
            <w:vAlign w:val="center"/>
          </w:tcPr>
          <w:p w14:paraId="27DCBAED">
            <w:pPr>
              <w:widowControl/>
              <w:adjustRightInd/>
              <w:spacing w:line="240" w:lineRule="atLeast"/>
              <w:ind w:firstLine="0" w:firstLineChars="0"/>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本项目总建筑面积为 42257.55 平方米 ，本项目占地面积为36123.59平方米，其中一期已建成项目主要为生产厂房10824.54 平方米及服务配套工程 9237.45 平方米 ，二期建设项目主要新建22195.56 平方米的生产厂房及室内外附属配套工程</w:t>
            </w:r>
          </w:p>
        </w:tc>
        <w:tc>
          <w:tcPr>
            <w:tcW w:w="649" w:type="pct"/>
            <w:gridSpan w:val="2"/>
            <w:vAlign w:val="center"/>
          </w:tcPr>
          <w:p w14:paraId="59FBCFD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总</w:t>
            </w:r>
            <w:r>
              <w:rPr>
                <w:rFonts w:cs="宋体"/>
                <w:color w:val="000000" w:themeColor="text1"/>
                <w:sz w:val="18"/>
                <w:szCs w:val="18"/>
                <w14:textFill>
                  <w14:solidFill>
                    <w14:schemeClr w14:val="tx1"/>
                  </w14:solidFill>
                </w14:textFill>
              </w:rPr>
              <w:t>投资</w:t>
            </w:r>
          </w:p>
          <w:p w14:paraId="2C625336">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(万元)</w:t>
            </w:r>
          </w:p>
        </w:tc>
        <w:tc>
          <w:tcPr>
            <w:tcW w:w="644" w:type="pct"/>
            <w:gridSpan w:val="2"/>
            <w:vAlign w:val="center"/>
          </w:tcPr>
          <w:p w14:paraId="531F171B">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20000.00</w:t>
            </w:r>
          </w:p>
        </w:tc>
        <w:tc>
          <w:tcPr>
            <w:tcW w:w="728" w:type="pct"/>
            <w:gridSpan w:val="3"/>
            <w:vAlign w:val="center"/>
          </w:tcPr>
          <w:p w14:paraId="6AC65480">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土建投资</w:t>
            </w:r>
          </w:p>
          <w:p w14:paraId="55A4AFB4">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(万元)</w:t>
            </w:r>
          </w:p>
        </w:tc>
        <w:tc>
          <w:tcPr>
            <w:tcW w:w="946" w:type="pct"/>
            <w:vAlign w:val="center"/>
          </w:tcPr>
          <w:p w14:paraId="29F57A50">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14164.34</w:t>
            </w:r>
          </w:p>
        </w:tc>
      </w:tr>
      <w:tr w14:paraId="6CF23D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40" w:type="pct"/>
            <w:gridSpan w:val="3"/>
            <w:vAlign w:val="center"/>
          </w:tcPr>
          <w:p w14:paraId="52B73AE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开工</w:t>
            </w:r>
            <w:r>
              <w:rPr>
                <w:rFonts w:cs="宋体"/>
                <w:color w:val="000000" w:themeColor="text1"/>
                <w:sz w:val="18"/>
                <w:szCs w:val="18"/>
                <w14:textFill>
                  <w14:solidFill>
                    <w14:schemeClr w14:val="tx1"/>
                  </w14:solidFill>
                </w14:textFill>
              </w:rPr>
              <w:t>时间</w:t>
            </w:r>
          </w:p>
        </w:tc>
        <w:tc>
          <w:tcPr>
            <w:tcW w:w="1190" w:type="pct"/>
            <w:gridSpan w:val="4"/>
            <w:vAlign w:val="center"/>
          </w:tcPr>
          <w:p w14:paraId="5A5B4918">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20</w:t>
            </w:r>
            <w:r>
              <w:rPr>
                <w:rFonts w:hint="eastAsia" w:cs="宋体"/>
                <w:color w:val="000000" w:themeColor="text1"/>
                <w:sz w:val="18"/>
                <w:szCs w:val="18"/>
                <w14:textFill>
                  <w14:solidFill>
                    <w14:schemeClr w14:val="tx1"/>
                  </w14:solidFill>
                </w14:textFill>
              </w:rPr>
              <w:t>23</w:t>
            </w:r>
            <w:r>
              <w:rPr>
                <w:rFonts w:cs="宋体"/>
                <w:color w:val="000000" w:themeColor="text1"/>
                <w:sz w:val="18"/>
                <w:szCs w:val="18"/>
                <w14:textFill>
                  <w14:solidFill>
                    <w14:schemeClr w14:val="tx1"/>
                  </w14:solidFill>
                </w14:textFill>
              </w:rPr>
              <w:t>年</w:t>
            </w:r>
            <w:r>
              <w:rPr>
                <w:rFonts w:hint="eastAsia" w:cs="宋体"/>
                <w:color w:val="000000" w:themeColor="text1"/>
                <w:sz w:val="18"/>
                <w:szCs w:val="18"/>
                <w14:textFill>
                  <w14:solidFill>
                    <w14:schemeClr w14:val="tx1"/>
                  </w14:solidFill>
                </w14:textFill>
              </w:rPr>
              <w:t>6</w:t>
            </w:r>
            <w:r>
              <w:rPr>
                <w:rFonts w:cs="宋体"/>
                <w:color w:val="000000" w:themeColor="text1"/>
                <w:sz w:val="18"/>
                <w:szCs w:val="18"/>
                <w14:textFill>
                  <w14:solidFill>
                    <w14:schemeClr w14:val="tx1"/>
                  </w14:solidFill>
                </w14:textFill>
              </w:rPr>
              <w:t>月</w:t>
            </w:r>
          </w:p>
        </w:tc>
        <w:tc>
          <w:tcPr>
            <w:tcW w:w="649" w:type="pct"/>
            <w:gridSpan w:val="2"/>
            <w:vAlign w:val="center"/>
          </w:tcPr>
          <w:p w14:paraId="7B0FF8C1">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完工时间</w:t>
            </w:r>
          </w:p>
        </w:tc>
        <w:tc>
          <w:tcPr>
            <w:tcW w:w="644" w:type="pct"/>
            <w:gridSpan w:val="2"/>
            <w:vAlign w:val="center"/>
          </w:tcPr>
          <w:p w14:paraId="2EC6F88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2024年</w:t>
            </w:r>
            <w:r>
              <w:rPr>
                <w:rFonts w:hint="eastAsia" w:cs="宋体"/>
                <w:color w:val="000000" w:themeColor="text1"/>
                <w:sz w:val="18"/>
                <w:szCs w:val="18"/>
                <w:lang w:val="en-US" w:eastAsia="zh-CN"/>
                <w14:textFill>
                  <w14:solidFill>
                    <w14:schemeClr w14:val="tx1"/>
                  </w14:solidFill>
                </w14:textFill>
              </w:rPr>
              <w:t>12</w:t>
            </w:r>
            <w:r>
              <w:rPr>
                <w:rFonts w:cs="宋体"/>
                <w:color w:val="000000" w:themeColor="text1"/>
                <w:sz w:val="18"/>
                <w:szCs w:val="18"/>
                <w14:textFill>
                  <w14:solidFill>
                    <w14:schemeClr w14:val="tx1"/>
                  </w14:solidFill>
                </w14:textFill>
              </w:rPr>
              <w:t>月</w:t>
            </w:r>
          </w:p>
        </w:tc>
        <w:tc>
          <w:tcPr>
            <w:tcW w:w="728" w:type="pct"/>
            <w:gridSpan w:val="3"/>
            <w:vAlign w:val="center"/>
          </w:tcPr>
          <w:p w14:paraId="223A1D8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设计水平年</w:t>
            </w:r>
          </w:p>
        </w:tc>
        <w:tc>
          <w:tcPr>
            <w:tcW w:w="946" w:type="pct"/>
            <w:vAlign w:val="center"/>
          </w:tcPr>
          <w:p w14:paraId="2A8C8C61">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2025年</w:t>
            </w:r>
          </w:p>
        </w:tc>
      </w:tr>
      <w:tr w14:paraId="304796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840" w:type="pct"/>
            <w:gridSpan w:val="3"/>
            <w:vAlign w:val="center"/>
          </w:tcPr>
          <w:p w14:paraId="241FF74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工程占地</w:t>
            </w:r>
          </w:p>
        </w:tc>
        <w:tc>
          <w:tcPr>
            <w:tcW w:w="1190" w:type="pct"/>
            <w:gridSpan w:val="4"/>
            <w:vAlign w:val="center"/>
          </w:tcPr>
          <w:p w14:paraId="795F166B">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0.95</w:t>
            </w:r>
            <w:r>
              <w:rPr>
                <w:rFonts w:cs="宋体"/>
                <w:color w:val="000000" w:themeColor="text1"/>
                <w:sz w:val="18"/>
                <w:szCs w:val="18"/>
                <w14:textFill>
                  <w14:solidFill>
                    <w14:schemeClr w14:val="tx1"/>
                  </w14:solidFill>
                </w14:textFill>
              </w:rPr>
              <w:t>hm²</w:t>
            </w:r>
          </w:p>
        </w:tc>
        <w:tc>
          <w:tcPr>
            <w:tcW w:w="649" w:type="pct"/>
            <w:gridSpan w:val="2"/>
            <w:vAlign w:val="center"/>
          </w:tcPr>
          <w:p w14:paraId="4FEBF1B8">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永久占地</w:t>
            </w:r>
          </w:p>
        </w:tc>
        <w:tc>
          <w:tcPr>
            <w:tcW w:w="644" w:type="pct"/>
            <w:gridSpan w:val="2"/>
            <w:vAlign w:val="center"/>
          </w:tcPr>
          <w:p w14:paraId="29A4FA9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0.95h</w:t>
            </w:r>
            <w:r>
              <w:rPr>
                <w:rFonts w:cs="宋体"/>
                <w:color w:val="000000" w:themeColor="text1"/>
                <w:sz w:val="18"/>
                <w:szCs w:val="18"/>
                <w14:textFill>
                  <w14:solidFill>
                    <w14:schemeClr w14:val="tx1"/>
                  </w14:solidFill>
                </w14:textFill>
              </w:rPr>
              <w:t>m²</w:t>
            </w:r>
          </w:p>
        </w:tc>
        <w:tc>
          <w:tcPr>
            <w:tcW w:w="728" w:type="pct"/>
            <w:gridSpan w:val="3"/>
            <w:vAlign w:val="center"/>
          </w:tcPr>
          <w:p w14:paraId="392DFEB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临时</w:t>
            </w:r>
            <w:r>
              <w:rPr>
                <w:rFonts w:cs="宋体"/>
                <w:color w:val="000000" w:themeColor="text1"/>
                <w:sz w:val="18"/>
                <w:szCs w:val="18"/>
                <w14:textFill>
                  <w14:solidFill>
                    <w14:schemeClr w14:val="tx1"/>
                  </w14:solidFill>
                </w14:textFill>
              </w:rPr>
              <w:t>占地</w:t>
            </w:r>
          </w:p>
        </w:tc>
        <w:tc>
          <w:tcPr>
            <w:tcW w:w="946" w:type="pct"/>
            <w:vAlign w:val="center"/>
          </w:tcPr>
          <w:p w14:paraId="3490C0F7">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w:t>
            </w:r>
          </w:p>
        </w:tc>
      </w:tr>
      <w:tr w14:paraId="1AFEBC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031" w:type="pct"/>
            <w:gridSpan w:val="7"/>
            <w:vMerge w:val="restart"/>
            <w:vAlign w:val="center"/>
          </w:tcPr>
          <w:p w14:paraId="4563A7FF">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土石方量</w:t>
            </w:r>
            <w:r>
              <w:rPr>
                <w:rFonts w:hint="eastAsia" w:cs="宋体"/>
                <w:color w:val="000000" w:themeColor="text1"/>
                <w:sz w:val="18"/>
                <w:szCs w:val="18"/>
                <w14:textFill>
                  <w14:solidFill>
                    <w14:schemeClr w14:val="tx1"/>
                  </w14:solidFill>
                </w14:textFill>
              </w:rPr>
              <w:t>（万</w:t>
            </w:r>
            <w:r>
              <w:rPr>
                <w:rFonts w:cs="宋体"/>
                <w:color w:val="000000" w:themeColor="text1"/>
                <w:sz w:val="18"/>
                <w:szCs w:val="18"/>
                <w14:textFill>
                  <w14:solidFill>
                    <w14:schemeClr w14:val="tx1"/>
                  </w14:solidFill>
                </w14:textFill>
              </w:rPr>
              <w:t>m³</w:t>
            </w:r>
            <w:r>
              <w:rPr>
                <w:rFonts w:hint="eastAsia" w:cs="宋体"/>
                <w:color w:val="000000" w:themeColor="text1"/>
                <w:sz w:val="18"/>
                <w:szCs w:val="18"/>
                <w14:textFill>
                  <w14:solidFill>
                    <w14:schemeClr w14:val="tx1"/>
                  </w14:solidFill>
                </w14:textFill>
              </w:rPr>
              <w:t>）</w:t>
            </w:r>
          </w:p>
        </w:tc>
        <w:tc>
          <w:tcPr>
            <w:tcW w:w="649" w:type="pct"/>
            <w:gridSpan w:val="2"/>
            <w:vAlign w:val="center"/>
          </w:tcPr>
          <w:p w14:paraId="1B30C2E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挖方</w:t>
            </w:r>
          </w:p>
        </w:tc>
        <w:tc>
          <w:tcPr>
            <w:tcW w:w="644" w:type="pct"/>
            <w:gridSpan w:val="2"/>
            <w:vAlign w:val="center"/>
          </w:tcPr>
          <w:p w14:paraId="38B19C31">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填方</w:t>
            </w:r>
          </w:p>
        </w:tc>
        <w:tc>
          <w:tcPr>
            <w:tcW w:w="728" w:type="pct"/>
            <w:gridSpan w:val="3"/>
            <w:vAlign w:val="center"/>
          </w:tcPr>
          <w:p w14:paraId="10C1C4D7">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借方</w:t>
            </w:r>
          </w:p>
        </w:tc>
        <w:tc>
          <w:tcPr>
            <w:tcW w:w="946" w:type="pct"/>
            <w:vAlign w:val="center"/>
          </w:tcPr>
          <w:p w14:paraId="74A9390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余（弃）方</w:t>
            </w:r>
          </w:p>
        </w:tc>
      </w:tr>
      <w:tr w14:paraId="05ACEF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031" w:type="pct"/>
            <w:gridSpan w:val="7"/>
            <w:vMerge w:val="continue"/>
            <w:vAlign w:val="center"/>
          </w:tcPr>
          <w:p w14:paraId="399EFCD7">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649" w:type="pct"/>
            <w:gridSpan w:val="2"/>
            <w:vAlign w:val="center"/>
          </w:tcPr>
          <w:p w14:paraId="2356863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3.41</w:t>
            </w:r>
          </w:p>
        </w:tc>
        <w:tc>
          <w:tcPr>
            <w:tcW w:w="644" w:type="pct"/>
            <w:gridSpan w:val="2"/>
            <w:vAlign w:val="center"/>
          </w:tcPr>
          <w:p w14:paraId="4966E79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0.37</w:t>
            </w:r>
          </w:p>
        </w:tc>
        <w:tc>
          <w:tcPr>
            <w:tcW w:w="728" w:type="pct"/>
            <w:gridSpan w:val="3"/>
            <w:vAlign w:val="center"/>
          </w:tcPr>
          <w:p w14:paraId="0BCF1A8C">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w:t>
            </w:r>
          </w:p>
        </w:tc>
        <w:tc>
          <w:tcPr>
            <w:tcW w:w="946" w:type="pct"/>
            <w:vAlign w:val="center"/>
          </w:tcPr>
          <w:p w14:paraId="233A110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3.04</w:t>
            </w:r>
          </w:p>
        </w:tc>
      </w:tr>
      <w:tr w14:paraId="435FAF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031" w:type="pct"/>
            <w:gridSpan w:val="7"/>
            <w:vAlign w:val="center"/>
          </w:tcPr>
          <w:p w14:paraId="56650CB3">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重点防治区名称</w:t>
            </w:r>
          </w:p>
        </w:tc>
        <w:tc>
          <w:tcPr>
            <w:tcW w:w="2968" w:type="pct"/>
            <w:gridSpan w:val="8"/>
            <w:vAlign w:val="center"/>
          </w:tcPr>
          <w:p w14:paraId="7DA523E9">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绵阳市水土流失重点治理区</w:t>
            </w:r>
          </w:p>
        </w:tc>
      </w:tr>
      <w:tr w14:paraId="225F15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031" w:type="pct"/>
            <w:gridSpan w:val="7"/>
            <w:vAlign w:val="center"/>
          </w:tcPr>
          <w:p w14:paraId="48E1BBC8">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地貌类型</w:t>
            </w:r>
          </w:p>
        </w:tc>
        <w:tc>
          <w:tcPr>
            <w:tcW w:w="649" w:type="pct"/>
            <w:gridSpan w:val="2"/>
            <w:vAlign w:val="center"/>
          </w:tcPr>
          <w:p w14:paraId="16EDD10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bCs/>
                <w:color w:val="000000" w:themeColor="text1"/>
                <w:sz w:val="18"/>
                <w:szCs w:val="18"/>
                <w14:textFill>
                  <w14:solidFill>
                    <w14:schemeClr w14:val="tx1"/>
                  </w14:solidFill>
                </w14:textFill>
              </w:rPr>
              <w:t>丘陵地貌</w:t>
            </w:r>
          </w:p>
        </w:tc>
        <w:tc>
          <w:tcPr>
            <w:tcW w:w="644" w:type="pct"/>
            <w:gridSpan w:val="2"/>
            <w:vAlign w:val="center"/>
          </w:tcPr>
          <w:p w14:paraId="3C77FC0A">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水土保持区划</w:t>
            </w:r>
          </w:p>
        </w:tc>
        <w:tc>
          <w:tcPr>
            <w:tcW w:w="1675" w:type="pct"/>
            <w:gridSpan w:val="4"/>
            <w:vAlign w:val="center"/>
          </w:tcPr>
          <w:p w14:paraId="620CDBF4">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 xml:space="preserve">西南紫色土区 </w:t>
            </w:r>
          </w:p>
        </w:tc>
      </w:tr>
      <w:tr w14:paraId="4E196D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031" w:type="pct"/>
            <w:gridSpan w:val="7"/>
            <w:vAlign w:val="center"/>
          </w:tcPr>
          <w:p w14:paraId="34B785C4">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土壤侵蚀类型</w:t>
            </w:r>
          </w:p>
        </w:tc>
        <w:tc>
          <w:tcPr>
            <w:tcW w:w="649" w:type="pct"/>
            <w:gridSpan w:val="2"/>
            <w:vAlign w:val="center"/>
          </w:tcPr>
          <w:p w14:paraId="7F93753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水力侵蚀</w:t>
            </w:r>
          </w:p>
        </w:tc>
        <w:tc>
          <w:tcPr>
            <w:tcW w:w="1303" w:type="pct"/>
            <w:gridSpan w:val="4"/>
            <w:vAlign w:val="center"/>
          </w:tcPr>
          <w:p w14:paraId="57047D9F">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土壤侵蚀强度</w:t>
            </w:r>
          </w:p>
        </w:tc>
        <w:tc>
          <w:tcPr>
            <w:tcW w:w="1015" w:type="pct"/>
            <w:gridSpan w:val="2"/>
            <w:vAlign w:val="center"/>
          </w:tcPr>
          <w:p w14:paraId="625410E8">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轻度</w:t>
            </w:r>
          </w:p>
        </w:tc>
      </w:tr>
      <w:tr w14:paraId="043F51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031" w:type="pct"/>
            <w:gridSpan w:val="7"/>
            <w:vAlign w:val="center"/>
          </w:tcPr>
          <w:p w14:paraId="40888E19">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防治责任范围面积(hm²)</w:t>
            </w:r>
          </w:p>
        </w:tc>
        <w:tc>
          <w:tcPr>
            <w:tcW w:w="649" w:type="pct"/>
            <w:gridSpan w:val="2"/>
            <w:vAlign w:val="center"/>
          </w:tcPr>
          <w:p w14:paraId="51C02D3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0.95</w:t>
            </w:r>
          </w:p>
        </w:tc>
        <w:tc>
          <w:tcPr>
            <w:tcW w:w="1303" w:type="pct"/>
            <w:gridSpan w:val="4"/>
            <w:vAlign w:val="center"/>
          </w:tcPr>
          <w:p w14:paraId="5492C861">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容许土壤流失量［t/(km²·a)］</w:t>
            </w:r>
          </w:p>
        </w:tc>
        <w:tc>
          <w:tcPr>
            <w:tcW w:w="1015" w:type="pct"/>
            <w:gridSpan w:val="2"/>
            <w:vAlign w:val="center"/>
          </w:tcPr>
          <w:p w14:paraId="1E1E1CB0">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500</w:t>
            </w:r>
          </w:p>
        </w:tc>
      </w:tr>
      <w:tr w14:paraId="333881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031" w:type="pct"/>
            <w:gridSpan w:val="7"/>
            <w:vAlign w:val="center"/>
          </w:tcPr>
          <w:p w14:paraId="0C2837E3">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土壤流失</w:t>
            </w:r>
            <w:r>
              <w:rPr>
                <w:rFonts w:hint="eastAsia" w:cs="宋体"/>
                <w:color w:val="000000" w:themeColor="text1"/>
                <w:sz w:val="18"/>
                <w:szCs w:val="18"/>
                <w14:textFill>
                  <w14:solidFill>
                    <w14:schemeClr w14:val="tx1"/>
                  </w14:solidFill>
                </w14:textFill>
              </w:rPr>
              <w:t>调查/</w:t>
            </w:r>
            <w:r>
              <w:rPr>
                <w:rFonts w:cs="宋体"/>
                <w:color w:val="000000" w:themeColor="text1"/>
                <w:sz w:val="18"/>
                <w:szCs w:val="18"/>
                <w14:textFill>
                  <w14:solidFill>
                    <w14:schemeClr w14:val="tx1"/>
                  </w14:solidFill>
                </w14:textFill>
              </w:rPr>
              <w:t>预测总量(t)</w:t>
            </w:r>
          </w:p>
        </w:tc>
        <w:tc>
          <w:tcPr>
            <w:tcW w:w="649" w:type="pct"/>
            <w:gridSpan w:val="2"/>
            <w:vAlign w:val="center"/>
          </w:tcPr>
          <w:p w14:paraId="7DF4B2A3">
            <w:pPr>
              <w:widowControl/>
              <w:adjustRightInd/>
              <w:spacing w:line="240" w:lineRule="atLeast"/>
              <w:ind w:firstLine="0" w:firstLineChars="0"/>
              <w:jc w:val="center"/>
              <w:rPr>
                <w:rFonts w:hint="eastAsia" w:eastAsia="仿宋_GB2312" w:cs="宋体"/>
                <w:color w:val="000000" w:themeColor="text1"/>
                <w:sz w:val="18"/>
                <w:szCs w:val="18"/>
                <w:lang w:eastAsia="zh-CN"/>
                <w14:textFill>
                  <w14:solidFill>
                    <w14:schemeClr w14:val="tx1"/>
                  </w14:solidFill>
                </w14:textFill>
              </w:rPr>
            </w:pPr>
            <w:r>
              <w:rPr>
                <w:rFonts w:hint="eastAsia" w:cs="宋体"/>
                <w:color w:val="000000" w:themeColor="text1"/>
                <w:sz w:val="18"/>
                <w:szCs w:val="18"/>
                <w:lang w:eastAsia="zh-CN"/>
                <w14:textFill>
                  <w14:solidFill>
                    <w14:schemeClr w14:val="tx1"/>
                  </w14:solidFill>
                </w14:textFill>
              </w:rPr>
              <w:t>31.19</w:t>
            </w:r>
          </w:p>
        </w:tc>
        <w:tc>
          <w:tcPr>
            <w:tcW w:w="1303" w:type="pct"/>
            <w:gridSpan w:val="4"/>
            <w:vAlign w:val="center"/>
          </w:tcPr>
          <w:p w14:paraId="2F7619B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新增水土流失量(t)</w:t>
            </w:r>
          </w:p>
        </w:tc>
        <w:tc>
          <w:tcPr>
            <w:tcW w:w="1015" w:type="pct"/>
            <w:gridSpan w:val="2"/>
            <w:vAlign w:val="center"/>
          </w:tcPr>
          <w:p w14:paraId="60C651AF">
            <w:pPr>
              <w:widowControl/>
              <w:adjustRightInd/>
              <w:spacing w:line="240" w:lineRule="atLeast"/>
              <w:ind w:firstLine="0" w:firstLineChars="0"/>
              <w:jc w:val="center"/>
              <w:rPr>
                <w:rFonts w:hint="eastAsia" w:eastAsia="仿宋_GB2312" w:cs="宋体"/>
                <w:color w:val="000000" w:themeColor="text1"/>
                <w:sz w:val="18"/>
                <w:szCs w:val="18"/>
                <w:lang w:eastAsia="zh-CN"/>
                <w14:textFill>
                  <w14:solidFill>
                    <w14:schemeClr w14:val="tx1"/>
                  </w14:solidFill>
                </w14:textFill>
              </w:rPr>
            </w:pPr>
            <w:r>
              <w:rPr>
                <w:rFonts w:hint="eastAsia" w:cs="宋体"/>
                <w:color w:val="000000" w:themeColor="text1"/>
                <w:sz w:val="18"/>
                <w:szCs w:val="18"/>
                <w:lang w:eastAsia="zh-CN"/>
                <w14:textFill>
                  <w14:solidFill>
                    <w14:schemeClr w14:val="tx1"/>
                  </w14:solidFill>
                </w14:textFill>
              </w:rPr>
              <w:t>19.12</w:t>
            </w:r>
          </w:p>
        </w:tc>
      </w:tr>
      <w:tr w14:paraId="6E3FFF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031" w:type="pct"/>
            <w:gridSpan w:val="7"/>
            <w:vAlign w:val="center"/>
          </w:tcPr>
          <w:p w14:paraId="19C2D2C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水土流失防治标准执行等级</w:t>
            </w:r>
          </w:p>
        </w:tc>
        <w:tc>
          <w:tcPr>
            <w:tcW w:w="2968" w:type="pct"/>
            <w:gridSpan w:val="8"/>
            <w:vAlign w:val="center"/>
          </w:tcPr>
          <w:p w14:paraId="621C2EE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西南紫色土区一级</w:t>
            </w:r>
          </w:p>
        </w:tc>
      </w:tr>
      <w:tr w14:paraId="45A5E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57" w:type="pct"/>
            <w:gridSpan w:val="2"/>
            <w:vMerge w:val="restart"/>
            <w:vAlign w:val="center"/>
          </w:tcPr>
          <w:p w14:paraId="28490C4C">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防治</w:t>
            </w:r>
          </w:p>
          <w:p w14:paraId="15698F43">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目标</w:t>
            </w:r>
          </w:p>
        </w:tc>
        <w:tc>
          <w:tcPr>
            <w:tcW w:w="1273" w:type="pct"/>
            <w:gridSpan w:val="5"/>
            <w:vAlign w:val="center"/>
          </w:tcPr>
          <w:p w14:paraId="0DA9B40A">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水土流失治理度(%)</w:t>
            </w:r>
          </w:p>
        </w:tc>
        <w:tc>
          <w:tcPr>
            <w:tcW w:w="649" w:type="pct"/>
            <w:gridSpan w:val="2"/>
            <w:vAlign w:val="center"/>
          </w:tcPr>
          <w:p w14:paraId="426CAE09">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97</w:t>
            </w:r>
          </w:p>
        </w:tc>
        <w:tc>
          <w:tcPr>
            <w:tcW w:w="1303" w:type="pct"/>
            <w:gridSpan w:val="4"/>
            <w:vAlign w:val="center"/>
          </w:tcPr>
          <w:p w14:paraId="5E5D774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土壤流失控制比</w:t>
            </w:r>
          </w:p>
        </w:tc>
        <w:tc>
          <w:tcPr>
            <w:tcW w:w="1015" w:type="pct"/>
            <w:gridSpan w:val="2"/>
            <w:vAlign w:val="center"/>
          </w:tcPr>
          <w:p w14:paraId="42B57067">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1</w:t>
            </w:r>
            <w:r>
              <w:rPr>
                <w:rFonts w:cs="宋体"/>
                <w:color w:val="000000" w:themeColor="text1"/>
                <w:sz w:val="18"/>
                <w:szCs w:val="18"/>
                <w14:textFill>
                  <w14:solidFill>
                    <w14:schemeClr w14:val="tx1"/>
                  </w14:solidFill>
                </w14:textFill>
              </w:rPr>
              <w:t>.0</w:t>
            </w:r>
          </w:p>
        </w:tc>
      </w:tr>
      <w:tr w14:paraId="711190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57" w:type="pct"/>
            <w:gridSpan w:val="2"/>
            <w:vMerge w:val="continue"/>
            <w:vAlign w:val="center"/>
          </w:tcPr>
          <w:p w14:paraId="09895F79">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1273" w:type="pct"/>
            <w:gridSpan w:val="5"/>
            <w:vAlign w:val="center"/>
          </w:tcPr>
          <w:p w14:paraId="7620634B">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渣土防护率(%)</w:t>
            </w:r>
          </w:p>
        </w:tc>
        <w:tc>
          <w:tcPr>
            <w:tcW w:w="649" w:type="pct"/>
            <w:gridSpan w:val="2"/>
            <w:vAlign w:val="center"/>
          </w:tcPr>
          <w:p w14:paraId="538E393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94</w:t>
            </w:r>
          </w:p>
        </w:tc>
        <w:tc>
          <w:tcPr>
            <w:tcW w:w="1303" w:type="pct"/>
            <w:gridSpan w:val="4"/>
            <w:vAlign w:val="center"/>
          </w:tcPr>
          <w:p w14:paraId="1236E940">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表土保护率(%)</w:t>
            </w:r>
          </w:p>
        </w:tc>
        <w:tc>
          <w:tcPr>
            <w:tcW w:w="1015" w:type="pct"/>
            <w:gridSpan w:val="2"/>
            <w:vAlign w:val="center"/>
          </w:tcPr>
          <w:p w14:paraId="5F9EFB0A">
            <w:pPr>
              <w:widowControl/>
              <w:adjustRightInd/>
              <w:spacing w:line="240" w:lineRule="atLeast"/>
              <w:ind w:firstLine="0" w:firstLineChars="0"/>
              <w:jc w:val="center"/>
              <w:rPr>
                <w:rFonts w:hint="default" w:eastAsia="仿宋_GB2312" w:cs="宋体"/>
                <w:color w:val="000000" w:themeColor="text1"/>
                <w:sz w:val="18"/>
                <w:szCs w:val="18"/>
                <w:lang w:val="en-US" w:eastAsia="zh-CN"/>
                <w14:textFill>
                  <w14:solidFill>
                    <w14:schemeClr w14:val="tx1"/>
                  </w14:solidFill>
                </w14:textFill>
              </w:rPr>
            </w:pPr>
            <w:r>
              <w:rPr>
                <w:rFonts w:hint="eastAsia" w:cs="宋体"/>
                <w:color w:val="000000" w:themeColor="text1"/>
                <w:sz w:val="18"/>
                <w:szCs w:val="18"/>
                <w:lang w:val="en-US" w:eastAsia="zh-CN"/>
                <w14:textFill>
                  <w14:solidFill>
                    <w14:schemeClr w14:val="tx1"/>
                  </w14:solidFill>
                </w14:textFill>
              </w:rPr>
              <w:t>92</w:t>
            </w:r>
          </w:p>
        </w:tc>
      </w:tr>
      <w:tr w14:paraId="2B333D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57" w:type="pct"/>
            <w:gridSpan w:val="2"/>
            <w:vMerge w:val="continue"/>
            <w:vAlign w:val="center"/>
          </w:tcPr>
          <w:p w14:paraId="49E98D67">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1273" w:type="pct"/>
            <w:gridSpan w:val="5"/>
            <w:vAlign w:val="center"/>
          </w:tcPr>
          <w:p w14:paraId="1FE288DA">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林草</w:t>
            </w:r>
            <w:r>
              <w:rPr>
                <w:rFonts w:cs="宋体"/>
                <w:color w:val="000000" w:themeColor="text1"/>
                <w:sz w:val="18"/>
                <w:szCs w:val="18"/>
                <w14:textFill>
                  <w14:solidFill>
                    <w14:schemeClr w14:val="tx1"/>
                  </w14:solidFill>
                </w14:textFill>
              </w:rPr>
              <w:t>植被恢复率(%)</w:t>
            </w:r>
          </w:p>
        </w:tc>
        <w:tc>
          <w:tcPr>
            <w:tcW w:w="649" w:type="pct"/>
            <w:gridSpan w:val="2"/>
            <w:vAlign w:val="center"/>
          </w:tcPr>
          <w:p w14:paraId="50A8E444">
            <w:pPr>
              <w:widowControl/>
              <w:adjustRightInd/>
              <w:spacing w:line="240" w:lineRule="atLeast"/>
              <w:ind w:firstLine="0" w:firstLineChars="0"/>
              <w:jc w:val="center"/>
              <w:rPr>
                <w:rFonts w:hint="eastAsia" w:eastAsia="仿宋_GB2312" w:cs="宋体"/>
                <w:color w:val="000000" w:themeColor="text1"/>
                <w:sz w:val="18"/>
                <w:szCs w:val="18"/>
                <w:lang w:eastAsia="zh-CN"/>
                <w14:textFill>
                  <w14:solidFill>
                    <w14:schemeClr w14:val="tx1"/>
                  </w14:solidFill>
                </w14:textFill>
              </w:rPr>
            </w:pPr>
            <w:r>
              <w:rPr>
                <w:rFonts w:hint="eastAsia" w:cs="宋体"/>
                <w:color w:val="000000" w:themeColor="text1"/>
                <w:sz w:val="18"/>
                <w:szCs w:val="18"/>
                <w14:textFill>
                  <w14:solidFill>
                    <w14:schemeClr w14:val="tx1"/>
                  </w14:solidFill>
                </w14:textFill>
              </w:rPr>
              <w:t>9</w:t>
            </w:r>
            <w:r>
              <w:rPr>
                <w:rFonts w:hint="eastAsia" w:cs="宋体"/>
                <w:color w:val="000000" w:themeColor="text1"/>
                <w:sz w:val="18"/>
                <w:szCs w:val="18"/>
                <w:lang w:val="en-US" w:eastAsia="zh-CN"/>
                <w14:textFill>
                  <w14:solidFill>
                    <w14:schemeClr w14:val="tx1"/>
                  </w14:solidFill>
                </w14:textFill>
              </w:rPr>
              <w:t>7</w:t>
            </w:r>
          </w:p>
        </w:tc>
        <w:tc>
          <w:tcPr>
            <w:tcW w:w="1303" w:type="pct"/>
            <w:gridSpan w:val="4"/>
            <w:vAlign w:val="center"/>
          </w:tcPr>
          <w:p w14:paraId="7A49F31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林草覆盖率(%)</w:t>
            </w:r>
          </w:p>
        </w:tc>
        <w:tc>
          <w:tcPr>
            <w:tcW w:w="1015" w:type="pct"/>
            <w:gridSpan w:val="2"/>
            <w:vAlign w:val="center"/>
          </w:tcPr>
          <w:p w14:paraId="01FEE8B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1</w:t>
            </w:r>
            <w:r>
              <w:rPr>
                <w:rFonts w:hint="eastAsia" w:cs="宋体"/>
                <w:color w:val="000000" w:themeColor="text1"/>
                <w:sz w:val="18"/>
                <w:szCs w:val="18"/>
                <w14:textFill>
                  <w14:solidFill>
                    <w14:schemeClr w14:val="tx1"/>
                  </w14:solidFill>
                </w14:textFill>
              </w:rPr>
              <w:t>2</w:t>
            </w:r>
          </w:p>
        </w:tc>
      </w:tr>
      <w:tr w14:paraId="5F717C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16" w:type="pct"/>
            <w:vMerge w:val="restart"/>
            <w:tcBorders>
              <w:right w:val="single" w:color="auto" w:sz="4" w:space="0"/>
            </w:tcBorders>
            <w:vAlign w:val="center"/>
          </w:tcPr>
          <w:p w14:paraId="67BA03E0">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防治措施及工程量</w:t>
            </w:r>
          </w:p>
        </w:tc>
        <w:tc>
          <w:tcPr>
            <w:tcW w:w="441" w:type="pct"/>
            <w:tcBorders>
              <w:left w:val="single" w:color="auto" w:sz="4" w:space="0"/>
              <w:bottom w:val="single" w:color="auto" w:sz="4" w:space="0"/>
            </w:tcBorders>
            <w:vAlign w:val="center"/>
          </w:tcPr>
          <w:p w14:paraId="66338549">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一级分区</w:t>
            </w:r>
          </w:p>
        </w:tc>
        <w:tc>
          <w:tcPr>
            <w:tcW w:w="586" w:type="pct"/>
            <w:gridSpan w:val="3"/>
            <w:vAlign w:val="center"/>
          </w:tcPr>
          <w:p w14:paraId="618D2459">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二级分区</w:t>
            </w:r>
          </w:p>
        </w:tc>
        <w:tc>
          <w:tcPr>
            <w:tcW w:w="1335" w:type="pct"/>
            <w:gridSpan w:val="4"/>
            <w:vAlign w:val="center"/>
          </w:tcPr>
          <w:p w14:paraId="7EB85A9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工程措施</w:t>
            </w:r>
          </w:p>
        </w:tc>
        <w:tc>
          <w:tcPr>
            <w:tcW w:w="975" w:type="pct"/>
            <w:gridSpan w:val="3"/>
            <w:vAlign w:val="center"/>
          </w:tcPr>
          <w:p w14:paraId="017796F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植物措施</w:t>
            </w:r>
          </w:p>
        </w:tc>
        <w:tc>
          <w:tcPr>
            <w:tcW w:w="1344" w:type="pct"/>
            <w:gridSpan w:val="3"/>
            <w:vAlign w:val="center"/>
          </w:tcPr>
          <w:p w14:paraId="63E83CC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临时</w:t>
            </w:r>
            <w:r>
              <w:rPr>
                <w:rFonts w:hint="eastAsia" w:cs="宋体"/>
                <w:color w:val="000000" w:themeColor="text1"/>
                <w:sz w:val="18"/>
                <w:szCs w:val="18"/>
                <w14:textFill>
                  <w14:solidFill>
                    <w14:schemeClr w14:val="tx1"/>
                  </w14:solidFill>
                </w14:textFill>
              </w:rPr>
              <w:t>措施</w:t>
            </w:r>
          </w:p>
        </w:tc>
      </w:tr>
      <w:tr w14:paraId="0C1021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16" w:type="pct"/>
            <w:vMerge w:val="continue"/>
            <w:tcBorders>
              <w:right w:val="single" w:color="auto" w:sz="4" w:space="0"/>
            </w:tcBorders>
            <w:vAlign w:val="center"/>
          </w:tcPr>
          <w:p w14:paraId="1FD3AB4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441" w:type="pct"/>
            <w:tcBorders>
              <w:top w:val="single" w:color="auto" w:sz="4" w:space="0"/>
              <w:left w:val="single" w:color="auto" w:sz="4" w:space="0"/>
              <w:bottom w:val="single" w:color="auto" w:sz="4" w:space="0"/>
            </w:tcBorders>
            <w:vAlign w:val="center"/>
          </w:tcPr>
          <w:p w14:paraId="165FA32F">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地下工程区</w:t>
            </w:r>
          </w:p>
        </w:tc>
        <w:tc>
          <w:tcPr>
            <w:tcW w:w="586" w:type="pct"/>
            <w:gridSpan w:val="3"/>
            <w:vAlign w:val="center"/>
          </w:tcPr>
          <w:p w14:paraId="6E03FF5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地下工程区</w:t>
            </w:r>
          </w:p>
        </w:tc>
        <w:tc>
          <w:tcPr>
            <w:tcW w:w="1335" w:type="pct"/>
            <w:gridSpan w:val="4"/>
            <w:vAlign w:val="center"/>
          </w:tcPr>
          <w:p w14:paraId="2A6882F4">
            <w:pPr>
              <w:widowControl/>
              <w:adjustRightInd/>
              <w:spacing w:line="240" w:lineRule="atLeast"/>
              <w:ind w:firstLine="0" w:firstLineChars="0"/>
              <w:rPr>
                <w:rFonts w:cs="宋体"/>
                <w:color w:val="000000" w:themeColor="text1"/>
                <w:sz w:val="18"/>
                <w:szCs w:val="18"/>
                <w14:textFill>
                  <w14:solidFill>
                    <w14:schemeClr w14:val="tx1"/>
                  </w14:solidFill>
                </w14:textFill>
              </w:rPr>
            </w:pPr>
          </w:p>
        </w:tc>
        <w:tc>
          <w:tcPr>
            <w:tcW w:w="975" w:type="pct"/>
            <w:gridSpan w:val="3"/>
            <w:vAlign w:val="center"/>
          </w:tcPr>
          <w:p w14:paraId="0674A156">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1344" w:type="pct"/>
            <w:gridSpan w:val="3"/>
            <w:vAlign w:val="center"/>
          </w:tcPr>
          <w:p w14:paraId="435E19CA">
            <w:pPr>
              <w:widowControl/>
              <w:adjustRightInd/>
              <w:spacing w:line="240" w:lineRule="atLeast"/>
              <w:ind w:firstLine="0" w:firstLineChars="0"/>
              <w:jc w:val="left"/>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坑顶设置截水沟276.3m，临时沉沙池合计2个。</w:t>
            </w:r>
          </w:p>
        </w:tc>
      </w:tr>
      <w:tr w14:paraId="053520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16" w:type="pct"/>
            <w:vMerge w:val="continue"/>
            <w:tcBorders>
              <w:right w:val="single" w:color="auto" w:sz="4" w:space="0"/>
            </w:tcBorders>
            <w:vAlign w:val="center"/>
          </w:tcPr>
          <w:p w14:paraId="61D0617C">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441" w:type="pct"/>
            <w:vMerge w:val="restart"/>
            <w:tcBorders>
              <w:top w:val="single" w:color="auto" w:sz="4" w:space="0"/>
              <w:left w:val="single" w:color="auto" w:sz="4" w:space="0"/>
            </w:tcBorders>
            <w:vAlign w:val="center"/>
          </w:tcPr>
          <w:p w14:paraId="1238BE9F">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地上工程区</w:t>
            </w:r>
          </w:p>
        </w:tc>
        <w:tc>
          <w:tcPr>
            <w:tcW w:w="586" w:type="pct"/>
            <w:gridSpan w:val="3"/>
            <w:vAlign w:val="center"/>
          </w:tcPr>
          <w:p w14:paraId="25F594CF">
            <w:pPr>
              <w:spacing w:line="240" w:lineRule="auto"/>
              <w:ind w:firstLine="0" w:firstLineChars="0"/>
              <w:jc w:val="center"/>
              <w:rPr>
                <w:color w:val="000000" w:themeColor="text1"/>
                <w:spacing w:val="-4"/>
                <w:sz w:val="18"/>
                <w:szCs w:val="18"/>
                <w14:textFill>
                  <w14:solidFill>
                    <w14:schemeClr w14:val="tx1"/>
                  </w14:solidFill>
                </w14:textFill>
              </w:rPr>
            </w:pPr>
            <w:r>
              <w:rPr>
                <w:rFonts w:hint="eastAsia"/>
                <w:color w:val="000000" w:themeColor="text1"/>
                <w:spacing w:val="-4"/>
                <w:sz w:val="18"/>
                <w:szCs w:val="18"/>
                <w14:textFill>
                  <w14:solidFill>
                    <w14:schemeClr w14:val="tx1"/>
                  </w14:solidFill>
                </w14:textFill>
              </w:rPr>
              <w:t>建构筑物区</w:t>
            </w:r>
          </w:p>
        </w:tc>
        <w:tc>
          <w:tcPr>
            <w:tcW w:w="1335" w:type="pct"/>
            <w:gridSpan w:val="4"/>
            <w:vAlign w:val="center"/>
          </w:tcPr>
          <w:p w14:paraId="595A81C5">
            <w:pPr>
              <w:spacing w:line="240" w:lineRule="auto"/>
              <w:ind w:firstLine="0" w:firstLineChars="0"/>
              <w:jc w:val="left"/>
              <w:rPr>
                <w:color w:val="000000" w:themeColor="text1"/>
                <w:sz w:val="18"/>
                <w:szCs w:val="18"/>
                <w14:textFill>
                  <w14:solidFill>
                    <w14:schemeClr w14:val="tx1"/>
                  </w14:solidFill>
                </w14:textFill>
              </w:rPr>
            </w:pPr>
          </w:p>
        </w:tc>
        <w:tc>
          <w:tcPr>
            <w:tcW w:w="975" w:type="pct"/>
            <w:gridSpan w:val="3"/>
            <w:vAlign w:val="center"/>
          </w:tcPr>
          <w:p w14:paraId="003141BB">
            <w:pPr>
              <w:widowControl/>
              <w:adjustRightInd/>
              <w:spacing w:line="240" w:lineRule="atLeast"/>
              <w:ind w:firstLine="0" w:firstLineChars="0"/>
              <w:jc w:val="center"/>
              <w:rPr>
                <w:color w:val="000000" w:themeColor="text1"/>
                <w:spacing w:val="-4"/>
                <w:sz w:val="18"/>
                <w:szCs w:val="18"/>
                <w14:textFill>
                  <w14:solidFill>
                    <w14:schemeClr w14:val="tx1"/>
                  </w14:solidFill>
                </w14:textFill>
              </w:rPr>
            </w:pPr>
          </w:p>
        </w:tc>
        <w:tc>
          <w:tcPr>
            <w:tcW w:w="1344" w:type="pct"/>
            <w:gridSpan w:val="3"/>
            <w:vAlign w:val="center"/>
          </w:tcPr>
          <w:p w14:paraId="7CB34A44">
            <w:pPr>
              <w:widowControl/>
              <w:adjustRightInd/>
              <w:spacing w:line="240" w:lineRule="atLeast"/>
              <w:ind w:firstLine="0" w:firstLineChars="0"/>
              <w:rPr>
                <w:color w:val="000000" w:themeColor="text1"/>
                <w:sz w:val="18"/>
                <w:szCs w:val="18"/>
                <w14:textFill>
                  <w14:solidFill>
                    <w14:schemeClr w14:val="tx1"/>
                  </w14:solidFill>
                </w14:textFill>
              </w:rPr>
            </w:pPr>
            <w:r>
              <w:rPr>
                <w:rFonts w:hint="eastAsia"/>
                <w:color w:val="000000" w:themeColor="text1"/>
                <w:spacing w:val="-4"/>
                <w:sz w:val="18"/>
                <w:szCs w:val="18"/>
                <w14:textFill>
                  <w14:solidFill>
                    <w14:schemeClr w14:val="tx1"/>
                  </w14:solidFill>
                </w14:textFill>
              </w:rPr>
              <w:t>临时排水沟共计358m，临时沉沙池4个，</w:t>
            </w:r>
            <w:r>
              <w:rPr>
                <w:rFonts w:hint="eastAsia"/>
                <w:color w:val="000000" w:themeColor="text1"/>
                <w:sz w:val="18"/>
                <w:szCs w:val="18"/>
                <w14:textFill>
                  <w14:solidFill>
                    <w14:schemeClr w14:val="tx1"/>
                  </w14:solidFill>
                </w14:textFill>
              </w:rPr>
              <w:t>密目网苫盖1752m</w:t>
            </w:r>
            <w:r>
              <w:rPr>
                <w:rFonts w:hint="eastAsia"/>
                <w:color w:val="000000" w:themeColor="text1"/>
                <w:sz w:val="18"/>
                <w:szCs w:val="18"/>
                <w:vertAlign w:val="superscript"/>
                <w14:textFill>
                  <w14:solidFill>
                    <w14:schemeClr w14:val="tx1"/>
                  </w14:solidFill>
                </w14:textFill>
              </w:rPr>
              <w:t>2</w:t>
            </w:r>
          </w:p>
        </w:tc>
      </w:tr>
      <w:tr w14:paraId="439720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16" w:type="pct"/>
            <w:vMerge w:val="continue"/>
            <w:tcBorders>
              <w:right w:val="single" w:color="auto" w:sz="4" w:space="0"/>
            </w:tcBorders>
            <w:vAlign w:val="center"/>
          </w:tcPr>
          <w:p w14:paraId="6236F66A">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441" w:type="pct"/>
            <w:vMerge w:val="continue"/>
            <w:tcBorders>
              <w:left w:val="single" w:color="auto" w:sz="4" w:space="0"/>
            </w:tcBorders>
            <w:vAlign w:val="center"/>
          </w:tcPr>
          <w:p w14:paraId="719819F8">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586" w:type="pct"/>
            <w:gridSpan w:val="3"/>
            <w:vAlign w:val="center"/>
          </w:tcPr>
          <w:p w14:paraId="73293AA6">
            <w:pPr>
              <w:spacing w:line="240" w:lineRule="auto"/>
              <w:ind w:firstLine="0" w:firstLineChars="0"/>
              <w:jc w:val="center"/>
              <w:rPr>
                <w:color w:val="000000" w:themeColor="text1"/>
                <w:spacing w:val="-4"/>
                <w:sz w:val="18"/>
                <w:szCs w:val="18"/>
                <w14:textFill>
                  <w14:solidFill>
                    <w14:schemeClr w14:val="tx1"/>
                  </w14:solidFill>
                </w14:textFill>
              </w:rPr>
            </w:pPr>
            <w:r>
              <w:rPr>
                <w:rFonts w:hint="eastAsia"/>
                <w:color w:val="000000" w:themeColor="text1"/>
                <w:spacing w:val="-4"/>
                <w:sz w:val="18"/>
                <w:szCs w:val="18"/>
                <w14:textFill>
                  <w14:solidFill>
                    <w14:schemeClr w14:val="tx1"/>
                  </w14:solidFill>
                </w14:textFill>
              </w:rPr>
              <w:t>场内道路及硬化工程区</w:t>
            </w:r>
          </w:p>
        </w:tc>
        <w:tc>
          <w:tcPr>
            <w:tcW w:w="1335" w:type="pct"/>
            <w:gridSpan w:val="4"/>
            <w:vAlign w:val="center"/>
          </w:tcPr>
          <w:p w14:paraId="0FBBE061">
            <w:pPr>
              <w:spacing w:line="240" w:lineRule="auto"/>
              <w:ind w:firstLine="0" w:firstLineChars="0"/>
              <w:jc w:val="left"/>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DN</w:t>
            </w:r>
            <w:r>
              <w:rPr>
                <w:rFonts w:hint="eastAsia"/>
                <w:color w:val="000000" w:themeColor="text1"/>
                <w:sz w:val="18"/>
                <w:szCs w:val="18"/>
                <w14:textFill>
                  <w14:solidFill>
                    <w14:schemeClr w14:val="tx1"/>
                  </w14:solidFill>
                </w14:textFill>
              </w:rPr>
              <w:t>150</w:t>
            </w:r>
            <w:r>
              <w:rPr>
                <w:color w:val="000000" w:themeColor="text1"/>
                <w:sz w:val="18"/>
                <w:szCs w:val="18"/>
                <w14:textFill>
                  <w14:solidFill>
                    <w14:schemeClr w14:val="tx1"/>
                  </w14:solidFill>
                </w14:textFill>
              </w:rPr>
              <w:t>~ DN</w:t>
            </w:r>
            <w:r>
              <w:rPr>
                <w:rFonts w:hint="eastAsia"/>
                <w:color w:val="000000" w:themeColor="text1"/>
                <w:sz w:val="18"/>
                <w:szCs w:val="18"/>
                <w14:textFill>
                  <w14:solidFill>
                    <w14:schemeClr w14:val="tx1"/>
                  </w14:solidFill>
                </w14:textFill>
              </w:rPr>
              <w:t>30</w:t>
            </w:r>
            <w:r>
              <w:rPr>
                <w:color w:val="000000" w:themeColor="text1"/>
                <w:sz w:val="18"/>
                <w:szCs w:val="18"/>
                <w14:textFill>
                  <w14:solidFill>
                    <w14:schemeClr w14:val="tx1"/>
                  </w14:solidFill>
                </w14:textFill>
              </w:rPr>
              <w:t>0</w:t>
            </w:r>
            <w:r>
              <w:rPr>
                <w:rFonts w:hint="eastAsia"/>
                <w:color w:val="000000" w:themeColor="text1"/>
                <w:sz w:val="18"/>
                <w:szCs w:val="18"/>
                <w14:textFill>
                  <w14:solidFill>
                    <w14:schemeClr w14:val="tx1"/>
                  </w14:solidFill>
                </w14:textFill>
              </w:rPr>
              <w:t>雨水管合计519.55</w:t>
            </w:r>
            <w:r>
              <w:rPr>
                <w:color w:val="000000" w:themeColor="text1"/>
                <w:sz w:val="18"/>
                <w:szCs w:val="18"/>
                <w14:textFill>
                  <w14:solidFill>
                    <w14:schemeClr w14:val="tx1"/>
                  </w14:solidFill>
                </w14:textFill>
              </w:rPr>
              <w:t>m</w:t>
            </w:r>
            <w:r>
              <w:rPr>
                <w:rFonts w:hint="eastAsia"/>
                <w:color w:val="000000" w:themeColor="text1"/>
                <w:sz w:val="18"/>
                <w:szCs w:val="18"/>
                <w14:textFill>
                  <w14:solidFill>
                    <w14:schemeClr w14:val="tx1"/>
                  </w14:solidFill>
                </w14:textFill>
              </w:rPr>
              <w:t>，雨水口17个，雨水蓄水池1座</w:t>
            </w:r>
          </w:p>
        </w:tc>
        <w:tc>
          <w:tcPr>
            <w:tcW w:w="975" w:type="pct"/>
            <w:gridSpan w:val="3"/>
            <w:vAlign w:val="center"/>
          </w:tcPr>
          <w:p w14:paraId="359B9645">
            <w:pPr>
              <w:widowControl/>
              <w:adjustRightInd/>
              <w:spacing w:line="240" w:lineRule="atLeast"/>
              <w:ind w:firstLine="0" w:firstLineChars="0"/>
              <w:jc w:val="center"/>
              <w:rPr>
                <w:color w:val="000000" w:themeColor="text1"/>
                <w:spacing w:val="-4"/>
                <w:sz w:val="18"/>
                <w:szCs w:val="18"/>
                <w14:textFill>
                  <w14:solidFill>
                    <w14:schemeClr w14:val="tx1"/>
                  </w14:solidFill>
                </w14:textFill>
              </w:rPr>
            </w:pPr>
            <w:r>
              <w:rPr>
                <w:rFonts w:hint="eastAsia"/>
                <w:color w:val="000000" w:themeColor="text1"/>
                <w:spacing w:val="-4"/>
                <w:sz w:val="18"/>
                <w:szCs w:val="18"/>
                <w14:textFill>
                  <w14:solidFill>
                    <w14:schemeClr w14:val="tx1"/>
                  </w14:solidFill>
                </w14:textFill>
              </w:rPr>
              <w:t>洗车设施1套</w:t>
            </w:r>
          </w:p>
        </w:tc>
        <w:tc>
          <w:tcPr>
            <w:tcW w:w="1344" w:type="pct"/>
            <w:gridSpan w:val="3"/>
            <w:vAlign w:val="center"/>
          </w:tcPr>
          <w:p w14:paraId="2CE0B547">
            <w:pPr>
              <w:widowControl/>
              <w:adjustRightInd/>
              <w:spacing w:line="240" w:lineRule="atLeast"/>
              <w:ind w:firstLine="0" w:firstLineChars="0"/>
              <w:rPr>
                <w:color w:val="000000" w:themeColor="text1"/>
                <w:sz w:val="18"/>
                <w:szCs w:val="18"/>
                <w14:textFill>
                  <w14:solidFill>
                    <w14:schemeClr w14:val="tx1"/>
                  </w14:solidFill>
                </w14:textFill>
              </w:rPr>
            </w:pPr>
            <w:r>
              <w:rPr>
                <w:rFonts w:hint="eastAsia"/>
                <w:color w:val="000000" w:themeColor="text1"/>
                <w:sz w:val="18"/>
                <w:szCs w:val="18"/>
                <w:u w:val="single"/>
                <w14:textFill>
                  <w14:solidFill>
                    <w14:schemeClr w14:val="tx1"/>
                  </w14:solidFill>
                </w14:textFill>
              </w:rPr>
              <w:t>密目网苫盖868m</w:t>
            </w:r>
            <w:r>
              <w:rPr>
                <w:rFonts w:hint="eastAsia"/>
                <w:color w:val="000000" w:themeColor="text1"/>
                <w:sz w:val="18"/>
                <w:szCs w:val="18"/>
                <w:u w:val="single"/>
                <w:vertAlign w:val="superscript"/>
                <w14:textFill>
                  <w14:solidFill>
                    <w14:schemeClr w14:val="tx1"/>
                  </w14:solidFill>
                </w14:textFill>
              </w:rPr>
              <w:t>2</w:t>
            </w:r>
          </w:p>
        </w:tc>
      </w:tr>
      <w:tr w14:paraId="26B33B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316" w:type="pct"/>
            <w:vMerge w:val="continue"/>
            <w:tcBorders>
              <w:right w:val="single" w:color="auto" w:sz="4" w:space="0"/>
            </w:tcBorders>
            <w:vAlign w:val="center"/>
          </w:tcPr>
          <w:p w14:paraId="17D851B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441" w:type="pct"/>
            <w:vMerge w:val="continue"/>
            <w:tcBorders>
              <w:left w:val="single" w:color="auto" w:sz="4" w:space="0"/>
            </w:tcBorders>
            <w:vAlign w:val="center"/>
          </w:tcPr>
          <w:p w14:paraId="60C4875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586" w:type="pct"/>
            <w:gridSpan w:val="3"/>
            <w:vAlign w:val="center"/>
          </w:tcPr>
          <w:p w14:paraId="6E89F477">
            <w:pPr>
              <w:spacing w:line="240" w:lineRule="auto"/>
              <w:ind w:firstLine="0" w:firstLineChars="0"/>
              <w:jc w:val="center"/>
              <w:rPr>
                <w:color w:val="000000" w:themeColor="text1"/>
                <w:spacing w:val="-4"/>
                <w:sz w:val="18"/>
                <w:szCs w:val="18"/>
                <w14:textFill>
                  <w14:solidFill>
                    <w14:schemeClr w14:val="tx1"/>
                  </w14:solidFill>
                </w14:textFill>
              </w:rPr>
            </w:pPr>
            <w:r>
              <w:rPr>
                <w:rFonts w:hint="eastAsia"/>
                <w:color w:val="000000" w:themeColor="text1"/>
                <w:spacing w:val="-4"/>
                <w:sz w:val="18"/>
                <w:szCs w:val="18"/>
                <w14:textFill>
                  <w14:solidFill>
                    <w14:schemeClr w14:val="tx1"/>
                  </w14:solidFill>
                </w14:textFill>
              </w:rPr>
              <w:t>绿化工程区</w:t>
            </w:r>
          </w:p>
        </w:tc>
        <w:tc>
          <w:tcPr>
            <w:tcW w:w="1335" w:type="pct"/>
            <w:gridSpan w:val="4"/>
            <w:vAlign w:val="center"/>
          </w:tcPr>
          <w:p w14:paraId="3D7478D5">
            <w:pPr>
              <w:spacing w:line="240" w:lineRule="auto"/>
              <w:ind w:firstLine="0" w:firstLineChars="0"/>
              <w:jc w:val="left"/>
              <w:rPr>
                <w:color w:val="000000" w:themeColor="text1"/>
                <w:sz w:val="18"/>
                <w:szCs w:val="18"/>
                <w14:textFill>
                  <w14:solidFill>
                    <w14:schemeClr w14:val="tx1"/>
                  </w14:solidFill>
                </w14:textFill>
              </w:rPr>
            </w:pPr>
            <w:r>
              <w:rPr>
                <w:rFonts w:hint="eastAsia"/>
                <w:color w:val="000000" w:themeColor="text1"/>
                <w:sz w:val="18"/>
                <w:szCs w:val="18"/>
                <w:u w:val="single"/>
                <w14:textFill>
                  <w14:solidFill>
                    <w14:schemeClr w14:val="tx1"/>
                  </w14:solidFill>
                </w14:textFill>
              </w:rPr>
              <w:t>土地整治0.12</w:t>
            </w:r>
            <w:r>
              <w:rPr>
                <w:color w:val="000000" w:themeColor="text1"/>
                <w:sz w:val="18"/>
                <w:szCs w:val="18"/>
                <w:u w:val="single"/>
                <w14:textFill>
                  <w14:solidFill>
                    <w14:schemeClr w14:val="tx1"/>
                  </w14:solidFill>
                </w14:textFill>
              </w:rPr>
              <w:t>hm²</w:t>
            </w:r>
          </w:p>
        </w:tc>
        <w:tc>
          <w:tcPr>
            <w:tcW w:w="975" w:type="pct"/>
            <w:gridSpan w:val="3"/>
            <w:vAlign w:val="center"/>
          </w:tcPr>
          <w:p w14:paraId="384C6A1B">
            <w:pPr>
              <w:widowControl/>
              <w:adjustRightInd/>
              <w:spacing w:line="240" w:lineRule="atLeast"/>
              <w:ind w:firstLine="0" w:firstLineChars="0"/>
              <w:jc w:val="left"/>
              <w:rPr>
                <w:color w:val="000000" w:themeColor="text1"/>
                <w:spacing w:val="-4"/>
                <w:sz w:val="18"/>
                <w:szCs w:val="18"/>
                <w:vertAlign w:val="superscript"/>
                <w14:textFill>
                  <w14:solidFill>
                    <w14:schemeClr w14:val="tx1"/>
                  </w14:solidFill>
                </w14:textFill>
              </w:rPr>
            </w:pPr>
            <w:r>
              <w:rPr>
                <w:rFonts w:hint="eastAsia"/>
                <w:color w:val="000000" w:themeColor="text1"/>
                <w:spacing w:val="-4"/>
                <w:sz w:val="18"/>
                <w:szCs w:val="18"/>
                <w14:textFill>
                  <w14:solidFill>
                    <w14:schemeClr w14:val="tx1"/>
                  </w14:solidFill>
                </w14:textFill>
              </w:rPr>
              <w:t>种植乔灌草绿化、</w:t>
            </w:r>
            <w:r>
              <w:rPr>
                <w:rFonts w:hint="eastAsia"/>
                <w:color w:val="000000" w:themeColor="text1"/>
                <w:spacing w:val="-4"/>
                <w:sz w:val="18"/>
                <w:szCs w:val="18"/>
                <w:u w:val="single"/>
                <w14:textFill>
                  <w14:solidFill>
                    <w14:schemeClr w14:val="tx1"/>
                  </w14:solidFill>
                </w14:textFill>
              </w:rPr>
              <w:t>抚育管理面积为0.12</w:t>
            </w:r>
            <w:r>
              <w:rPr>
                <w:color w:val="000000" w:themeColor="text1"/>
                <w:spacing w:val="-4"/>
                <w:sz w:val="18"/>
                <w:szCs w:val="18"/>
                <w:u w:val="single"/>
                <w14:textFill>
                  <w14:solidFill>
                    <w14:schemeClr w14:val="tx1"/>
                  </w14:solidFill>
                </w14:textFill>
              </w:rPr>
              <w:t>hm²</w:t>
            </w:r>
            <w:r>
              <w:rPr>
                <w:rFonts w:hint="eastAsia"/>
                <w:color w:val="000000" w:themeColor="text1"/>
                <w:spacing w:val="-4"/>
                <w:sz w:val="18"/>
                <w:szCs w:val="18"/>
                <w14:textFill>
                  <w14:solidFill>
                    <w14:schemeClr w14:val="tx1"/>
                  </w14:solidFill>
                </w14:textFill>
              </w:rPr>
              <w:t>，建设植草沟173.04</w:t>
            </w:r>
            <w:r>
              <w:rPr>
                <w:color w:val="000000" w:themeColor="text1"/>
                <w:spacing w:val="-4"/>
                <w:sz w:val="18"/>
                <w:szCs w:val="18"/>
                <w14:textFill>
                  <w14:solidFill>
                    <w14:schemeClr w14:val="tx1"/>
                  </w14:solidFill>
                </w14:textFill>
              </w:rPr>
              <w:t>m</w:t>
            </w:r>
            <w:r>
              <w:rPr>
                <w:color w:val="000000" w:themeColor="text1"/>
                <w:spacing w:val="-4"/>
                <w:sz w:val="18"/>
                <w:szCs w:val="18"/>
                <w:vertAlign w:val="superscript"/>
                <w14:textFill>
                  <w14:solidFill>
                    <w14:schemeClr w14:val="tx1"/>
                  </w14:solidFill>
                </w14:textFill>
              </w:rPr>
              <w:t>2</w:t>
            </w:r>
          </w:p>
        </w:tc>
        <w:tc>
          <w:tcPr>
            <w:tcW w:w="1344" w:type="pct"/>
            <w:gridSpan w:val="3"/>
            <w:vAlign w:val="center"/>
          </w:tcPr>
          <w:p w14:paraId="668F68C5">
            <w:pPr>
              <w:widowControl/>
              <w:adjustRightInd/>
              <w:spacing w:line="240" w:lineRule="atLeast"/>
              <w:ind w:firstLine="0" w:firstLineChars="0"/>
              <w:rPr>
                <w:color w:val="000000" w:themeColor="text1"/>
                <w:sz w:val="18"/>
                <w:szCs w:val="18"/>
                <w14:textFill>
                  <w14:solidFill>
                    <w14:schemeClr w14:val="tx1"/>
                  </w14:solidFill>
                </w14:textFill>
              </w:rPr>
            </w:pPr>
            <w:r>
              <w:rPr>
                <w:rFonts w:hint="eastAsia"/>
                <w:color w:val="000000" w:themeColor="text1"/>
                <w:sz w:val="18"/>
                <w:szCs w:val="18"/>
                <w:u w:val="single"/>
                <w14:textFill>
                  <w14:solidFill>
                    <w14:schemeClr w14:val="tx1"/>
                  </w14:solidFill>
                </w14:textFill>
              </w:rPr>
              <w:t>密目网苫盖714m</w:t>
            </w:r>
          </w:p>
        </w:tc>
      </w:tr>
      <w:tr w14:paraId="0B8049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344" w:type="pct"/>
            <w:gridSpan w:val="5"/>
            <w:vAlign w:val="center"/>
          </w:tcPr>
          <w:p w14:paraId="44ECB09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投资</w:t>
            </w:r>
            <w:r>
              <w:rPr>
                <w:rFonts w:hint="eastAsia" w:cs="宋体"/>
                <w:color w:val="000000" w:themeColor="text1"/>
                <w:sz w:val="18"/>
                <w:szCs w:val="18"/>
                <w14:textFill>
                  <w14:solidFill>
                    <w14:schemeClr w14:val="tx1"/>
                  </w14:solidFill>
                </w14:textFill>
              </w:rPr>
              <w:t>（万元）</w:t>
            </w:r>
          </w:p>
        </w:tc>
        <w:tc>
          <w:tcPr>
            <w:tcW w:w="1335" w:type="pct"/>
            <w:gridSpan w:val="4"/>
            <w:vAlign w:val="center"/>
          </w:tcPr>
          <w:p w14:paraId="473EA4E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21.89</w:t>
            </w:r>
          </w:p>
        </w:tc>
        <w:tc>
          <w:tcPr>
            <w:tcW w:w="975" w:type="pct"/>
            <w:gridSpan w:val="3"/>
            <w:vAlign w:val="center"/>
          </w:tcPr>
          <w:p w14:paraId="494855C2">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49.49</w:t>
            </w:r>
          </w:p>
        </w:tc>
        <w:tc>
          <w:tcPr>
            <w:tcW w:w="1344" w:type="pct"/>
            <w:gridSpan w:val="3"/>
            <w:vAlign w:val="center"/>
          </w:tcPr>
          <w:p w14:paraId="770EBD47">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11.36</w:t>
            </w:r>
          </w:p>
        </w:tc>
      </w:tr>
      <w:tr w14:paraId="26D623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492" w:type="pct"/>
            <w:gridSpan w:val="6"/>
            <w:vMerge w:val="restart"/>
            <w:vAlign w:val="center"/>
          </w:tcPr>
          <w:p w14:paraId="539B09D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水土保持总投资 (万元)</w:t>
            </w:r>
          </w:p>
        </w:tc>
        <w:tc>
          <w:tcPr>
            <w:tcW w:w="655" w:type="pct"/>
            <w:gridSpan w:val="2"/>
            <w:vAlign w:val="center"/>
          </w:tcPr>
          <w:p w14:paraId="7DD67AC9">
            <w:pPr>
              <w:widowControl/>
              <w:adjustRightInd/>
              <w:spacing w:line="240" w:lineRule="atLeast"/>
              <w:ind w:firstLine="0" w:firstLineChars="0"/>
              <w:jc w:val="center"/>
              <w:rPr>
                <w:rFonts w:hint="default" w:eastAsia="仿宋_GB2312" w:cs="宋体"/>
                <w:color w:val="000000" w:themeColor="text1"/>
                <w:sz w:val="18"/>
                <w:szCs w:val="18"/>
                <w:lang w:val="en-US" w:eastAsia="zh-CN"/>
                <w14:textFill>
                  <w14:solidFill>
                    <w14:schemeClr w14:val="tx1"/>
                  </w14:solidFill>
                </w14:textFill>
              </w:rPr>
            </w:pPr>
            <w:r>
              <w:rPr>
                <w:rFonts w:hint="eastAsia" w:cs="宋体"/>
                <w:color w:val="000000" w:themeColor="text1"/>
                <w:sz w:val="18"/>
                <w:szCs w:val="18"/>
                <w:lang w:val="en-US" w:eastAsia="zh-CN"/>
                <w14:textFill>
                  <w14:solidFill>
                    <w14:schemeClr w14:val="tx1"/>
                  </w14:solidFill>
                </w14:textFill>
              </w:rPr>
              <w:t>96.62</w:t>
            </w:r>
          </w:p>
        </w:tc>
        <w:tc>
          <w:tcPr>
            <w:tcW w:w="1176" w:type="pct"/>
            <w:gridSpan w:val="3"/>
            <w:tcBorders>
              <w:right w:val="single" w:color="auto" w:sz="4" w:space="0"/>
            </w:tcBorders>
            <w:vAlign w:val="center"/>
          </w:tcPr>
          <w:p w14:paraId="28317BDD">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独立费用(万元)</w:t>
            </w:r>
          </w:p>
        </w:tc>
        <w:tc>
          <w:tcPr>
            <w:tcW w:w="1675" w:type="pct"/>
            <w:gridSpan w:val="4"/>
            <w:tcBorders>
              <w:left w:val="single" w:color="auto" w:sz="4" w:space="0"/>
            </w:tcBorders>
            <w:vAlign w:val="center"/>
          </w:tcPr>
          <w:p w14:paraId="0D699718">
            <w:pPr>
              <w:spacing w:line="240" w:lineRule="atLeast"/>
              <w:ind w:firstLine="36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9.37</w:t>
            </w:r>
          </w:p>
        </w:tc>
      </w:tr>
      <w:tr w14:paraId="33E2A0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492" w:type="pct"/>
            <w:gridSpan w:val="6"/>
            <w:vMerge w:val="continue"/>
            <w:vAlign w:val="center"/>
          </w:tcPr>
          <w:p w14:paraId="002EE067">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p>
        </w:tc>
        <w:tc>
          <w:tcPr>
            <w:tcW w:w="655" w:type="pct"/>
            <w:gridSpan w:val="2"/>
            <w:vAlign w:val="center"/>
          </w:tcPr>
          <w:p w14:paraId="216373D6">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主体已有</w:t>
            </w:r>
          </w:p>
        </w:tc>
        <w:tc>
          <w:tcPr>
            <w:tcW w:w="694" w:type="pct"/>
            <w:gridSpan w:val="2"/>
            <w:tcBorders>
              <w:right w:val="single" w:color="auto" w:sz="4" w:space="0"/>
            </w:tcBorders>
            <w:vAlign w:val="center"/>
          </w:tcPr>
          <w:p w14:paraId="7F5F96DB">
            <w:pPr>
              <w:widowControl/>
              <w:adjustRightInd/>
              <w:spacing w:line="240" w:lineRule="atLeast"/>
              <w:ind w:firstLine="0" w:firstLineChars="0"/>
              <w:jc w:val="center"/>
              <w:rPr>
                <w:rFonts w:hint="eastAsia" w:eastAsia="仿宋_GB2312" w:cs="宋体"/>
                <w:color w:val="000000" w:themeColor="text1"/>
                <w:sz w:val="18"/>
                <w:szCs w:val="18"/>
                <w:highlight w:val="yellow"/>
                <w:lang w:eastAsia="zh-CN"/>
                <w14:textFill>
                  <w14:solidFill>
                    <w14:schemeClr w14:val="tx1"/>
                  </w14:solidFill>
                </w14:textFill>
              </w:rPr>
            </w:pPr>
            <w:r>
              <w:rPr>
                <w:rFonts w:hint="eastAsia" w:cs="宋体"/>
                <w:color w:val="000000" w:themeColor="text1"/>
                <w:sz w:val="18"/>
                <w:szCs w:val="18"/>
                <w:lang w:eastAsia="zh-CN"/>
                <w14:textFill>
                  <w14:solidFill>
                    <w14:schemeClr w14:val="tx1"/>
                  </w14:solidFill>
                </w14:textFill>
              </w:rPr>
              <w:t>83.03</w:t>
            </w:r>
          </w:p>
        </w:tc>
        <w:tc>
          <w:tcPr>
            <w:tcW w:w="482" w:type="pct"/>
            <w:tcBorders>
              <w:left w:val="single" w:color="auto" w:sz="4" w:space="0"/>
            </w:tcBorders>
            <w:vAlign w:val="center"/>
          </w:tcPr>
          <w:p w14:paraId="112B4E0A">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方案新增</w:t>
            </w:r>
          </w:p>
        </w:tc>
        <w:tc>
          <w:tcPr>
            <w:tcW w:w="1675" w:type="pct"/>
            <w:gridSpan w:val="4"/>
            <w:vAlign w:val="center"/>
          </w:tcPr>
          <w:p w14:paraId="455DA07C">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13.59</w:t>
            </w:r>
          </w:p>
        </w:tc>
      </w:tr>
      <w:tr w14:paraId="3981AF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55" w:type="pct"/>
            <w:gridSpan w:val="4"/>
            <w:vAlign w:val="center"/>
          </w:tcPr>
          <w:p w14:paraId="1833EDBF">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监理费(万元)</w:t>
            </w:r>
          </w:p>
        </w:tc>
        <w:tc>
          <w:tcPr>
            <w:tcW w:w="437" w:type="pct"/>
            <w:gridSpan w:val="2"/>
            <w:vAlign w:val="center"/>
          </w:tcPr>
          <w:p w14:paraId="1B34886A">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w:t>
            </w:r>
          </w:p>
        </w:tc>
        <w:tc>
          <w:tcPr>
            <w:tcW w:w="655" w:type="pct"/>
            <w:gridSpan w:val="2"/>
            <w:vAlign w:val="center"/>
          </w:tcPr>
          <w:p w14:paraId="4961FDAF">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监测费(万元)</w:t>
            </w:r>
          </w:p>
        </w:tc>
        <w:tc>
          <w:tcPr>
            <w:tcW w:w="532" w:type="pct"/>
            <w:vAlign w:val="center"/>
          </w:tcPr>
          <w:p w14:paraId="4F4DFEBC">
            <w:pPr>
              <w:widowControl/>
              <w:adjustRightInd/>
              <w:spacing w:line="240" w:lineRule="atLeast"/>
              <w:ind w:firstLine="0" w:firstLineChars="0"/>
              <w:jc w:val="center"/>
              <w:rPr>
                <w:rFonts w:hint="default" w:eastAsia="仿宋_GB2312" w:cs="宋体"/>
                <w:color w:val="000000" w:themeColor="text1"/>
                <w:sz w:val="18"/>
                <w:szCs w:val="18"/>
                <w:lang w:val="en-US" w:eastAsia="zh-CN"/>
                <w14:textFill>
                  <w14:solidFill>
                    <w14:schemeClr w14:val="tx1"/>
                  </w14:solidFill>
                </w14:textFill>
              </w:rPr>
            </w:pPr>
            <w:r>
              <w:rPr>
                <w:rFonts w:hint="eastAsia" w:cs="宋体"/>
                <w:color w:val="000000" w:themeColor="text1"/>
                <w:sz w:val="18"/>
                <w:szCs w:val="18"/>
                <w:lang w:val="en-US" w:eastAsia="zh-CN"/>
                <w14:textFill>
                  <w14:solidFill>
                    <w14:schemeClr w14:val="tx1"/>
                  </w14:solidFill>
                </w14:textFill>
              </w:rPr>
              <w:t>/</w:t>
            </w:r>
          </w:p>
        </w:tc>
        <w:tc>
          <w:tcPr>
            <w:tcW w:w="644" w:type="pct"/>
            <w:gridSpan w:val="2"/>
            <w:vAlign w:val="center"/>
          </w:tcPr>
          <w:p w14:paraId="7E325C2B">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补偿费(万元)</w:t>
            </w:r>
          </w:p>
        </w:tc>
        <w:tc>
          <w:tcPr>
            <w:tcW w:w="1675" w:type="pct"/>
            <w:gridSpan w:val="4"/>
            <w:vAlign w:val="center"/>
          </w:tcPr>
          <w:p w14:paraId="6D06D0B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1.24（12377.3元）</w:t>
            </w:r>
          </w:p>
        </w:tc>
      </w:tr>
      <w:tr w14:paraId="2BCA9E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55" w:type="pct"/>
            <w:gridSpan w:val="4"/>
            <w:vAlign w:val="center"/>
          </w:tcPr>
          <w:p w14:paraId="3F481BC0">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方案编制单位</w:t>
            </w:r>
          </w:p>
        </w:tc>
        <w:tc>
          <w:tcPr>
            <w:tcW w:w="1624" w:type="pct"/>
            <w:gridSpan w:val="5"/>
            <w:vAlign w:val="center"/>
          </w:tcPr>
          <w:p w14:paraId="4C5D751B">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bookmarkStart w:id="63" w:name="_Hlk89465376"/>
            <w:r>
              <w:rPr>
                <w:rFonts w:hint="eastAsia" w:cs="宋体"/>
                <w:color w:val="000000" w:themeColor="text1"/>
                <w:sz w:val="18"/>
                <w:szCs w:val="18"/>
                <w14:textFill>
                  <w14:solidFill>
                    <w14:schemeClr w14:val="tx1"/>
                  </w14:solidFill>
                </w14:textFill>
              </w:rPr>
              <w:t>四川乾蓉工程项目管理有限公司</w:t>
            </w:r>
            <w:bookmarkEnd w:id="63"/>
          </w:p>
        </w:tc>
        <w:tc>
          <w:tcPr>
            <w:tcW w:w="644" w:type="pct"/>
            <w:gridSpan w:val="2"/>
            <w:vAlign w:val="center"/>
          </w:tcPr>
          <w:p w14:paraId="38627D47">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建设单位</w:t>
            </w:r>
          </w:p>
        </w:tc>
        <w:tc>
          <w:tcPr>
            <w:tcW w:w="1675" w:type="pct"/>
            <w:gridSpan w:val="4"/>
            <w:vAlign w:val="center"/>
          </w:tcPr>
          <w:p w14:paraId="356CD8EC">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绵阳兆辉投资有限公司</w:t>
            </w:r>
          </w:p>
        </w:tc>
      </w:tr>
      <w:tr w14:paraId="4D2DD1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55" w:type="pct"/>
            <w:gridSpan w:val="4"/>
            <w:vAlign w:val="center"/>
          </w:tcPr>
          <w:p w14:paraId="17238A1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法定代表人</w:t>
            </w:r>
          </w:p>
        </w:tc>
        <w:tc>
          <w:tcPr>
            <w:tcW w:w="1624" w:type="pct"/>
            <w:gridSpan w:val="5"/>
            <w:vAlign w:val="center"/>
          </w:tcPr>
          <w:p w14:paraId="4974F7A8">
            <w:pPr>
              <w:pStyle w:val="65"/>
              <w:ind w:firstLine="420"/>
              <w:rPr>
                <w:rFonts w:eastAsia="仿宋_GB2312"/>
                <w:snapToGrid/>
                <w:color w:val="000000" w:themeColor="text1"/>
                <w14:textFill>
                  <w14:solidFill>
                    <w14:schemeClr w14:val="tx1"/>
                  </w14:solidFill>
                </w14:textFill>
              </w:rPr>
            </w:pPr>
            <w:r>
              <w:rPr>
                <w:rFonts w:hint="eastAsia" w:eastAsia="仿宋_GB2312"/>
                <w:snapToGrid/>
                <w:color w:val="000000" w:themeColor="text1"/>
                <w14:textFill>
                  <w14:solidFill>
                    <w14:schemeClr w14:val="tx1"/>
                  </w14:solidFill>
                </w14:textFill>
              </w:rPr>
              <w:t>周若如</w:t>
            </w:r>
          </w:p>
        </w:tc>
        <w:tc>
          <w:tcPr>
            <w:tcW w:w="644" w:type="pct"/>
            <w:gridSpan w:val="2"/>
            <w:vAlign w:val="center"/>
          </w:tcPr>
          <w:p w14:paraId="274DD26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法定代表人</w:t>
            </w:r>
          </w:p>
        </w:tc>
        <w:tc>
          <w:tcPr>
            <w:tcW w:w="1675" w:type="pct"/>
            <w:gridSpan w:val="4"/>
            <w:vAlign w:val="center"/>
          </w:tcPr>
          <w:p w14:paraId="6F8E9D1A">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李小艳</w:t>
            </w:r>
          </w:p>
        </w:tc>
      </w:tr>
      <w:tr w14:paraId="6EFBB0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55" w:type="pct"/>
            <w:gridSpan w:val="4"/>
            <w:vAlign w:val="center"/>
          </w:tcPr>
          <w:p w14:paraId="71D679EA">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联系人</w:t>
            </w:r>
            <w:r>
              <w:rPr>
                <w:rFonts w:hint="eastAsia" w:cs="宋体"/>
                <w:color w:val="000000" w:themeColor="text1"/>
                <w:sz w:val="18"/>
                <w:szCs w:val="18"/>
                <w14:textFill>
                  <w14:solidFill>
                    <w14:schemeClr w14:val="tx1"/>
                  </w14:solidFill>
                </w14:textFill>
              </w:rPr>
              <w:t>/</w:t>
            </w:r>
            <w:r>
              <w:rPr>
                <w:rFonts w:cs="宋体"/>
                <w:color w:val="000000" w:themeColor="text1"/>
                <w:sz w:val="18"/>
                <w:szCs w:val="18"/>
                <w14:textFill>
                  <w14:solidFill>
                    <w14:schemeClr w14:val="tx1"/>
                  </w14:solidFill>
                </w14:textFill>
              </w:rPr>
              <w:t>电话</w:t>
            </w:r>
          </w:p>
        </w:tc>
        <w:tc>
          <w:tcPr>
            <w:tcW w:w="1624" w:type="pct"/>
            <w:gridSpan w:val="5"/>
            <w:vAlign w:val="center"/>
          </w:tcPr>
          <w:p w14:paraId="4C0FFB0C">
            <w:pPr>
              <w:pStyle w:val="65"/>
              <w:ind w:firstLine="420"/>
              <w:rPr>
                <w:rFonts w:eastAsia="仿宋_GB2312"/>
                <w:snapToGrid/>
                <w:color w:val="000000" w:themeColor="text1"/>
                <w14:textFill>
                  <w14:solidFill>
                    <w14:schemeClr w14:val="tx1"/>
                  </w14:solidFill>
                </w14:textFill>
              </w:rPr>
            </w:pPr>
            <w:r>
              <w:rPr>
                <w:rFonts w:hint="eastAsia" w:eastAsia="仿宋_GB2312"/>
                <w:snapToGrid/>
                <w:color w:val="000000" w:themeColor="text1"/>
                <w14:textFill>
                  <w14:solidFill>
                    <w14:schemeClr w14:val="tx1"/>
                  </w14:solidFill>
                </w14:textFill>
              </w:rPr>
              <w:t>程小松/</w:t>
            </w:r>
            <w:r>
              <w:rPr>
                <w:rFonts w:eastAsia="仿宋_GB2312"/>
                <w:snapToGrid/>
                <w:color w:val="000000" w:themeColor="text1"/>
                <w14:textFill>
                  <w14:solidFill>
                    <w14:schemeClr w14:val="tx1"/>
                  </w14:solidFill>
                </w14:textFill>
              </w:rPr>
              <w:t>1</w:t>
            </w:r>
            <w:r>
              <w:rPr>
                <w:rFonts w:hint="eastAsia" w:eastAsia="仿宋_GB2312"/>
                <w:snapToGrid/>
                <w:color w:val="000000" w:themeColor="text1"/>
                <w14:textFill>
                  <w14:solidFill>
                    <w14:schemeClr w14:val="tx1"/>
                  </w14:solidFill>
                </w14:textFill>
              </w:rPr>
              <w:t>7702897664</w:t>
            </w:r>
          </w:p>
        </w:tc>
        <w:tc>
          <w:tcPr>
            <w:tcW w:w="644" w:type="pct"/>
            <w:gridSpan w:val="2"/>
            <w:vAlign w:val="center"/>
          </w:tcPr>
          <w:p w14:paraId="1C1ECAB6">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联系人</w:t>
            </w:r>
            <w:r>
              <w:rPr>
                <w:rFonts w:hint="eastAsia" w:cs="宋体"/>
                <w:color w:val="000000" w:themeColor="text1"/>
                <w:sz w:val="18"/>
                <w:szCs w:val="18"/>
                <w14:textFill>
                  <w14:solidFill>
                    <w14:schemeClr w14:val="tx1"/>
                  </w14:solidFill>
                </w14:textFill>
              </w:rPr>
              <w:t>/</w:t>
            </w:r>
            <w:r>
              <w:rPr>
                <w:rFonts w:cs="宋体"/>
                <w:color w:val="000000" w:themeColor="text1"/>
                <w:sz w:val="18"/>
                <w:szCs w:val="18"/>
                <w14:textFill>
                  <w14:solidFill>
                    <w14:schemeClr w14:val="tx1"/>
                  </w14:solidFill>
                </w14:textFill>
              </w:rPr>
              <w:t>电话</w:t>
            </w:r>
          </w:p>
        </w:tc>
        <w:tc>
          <w:tcPr>
            <w:tcW w:w="1675" w:type="pct"/>
            <w:gridSpan w:val="4"/>
            <w:vAlign w:val="center"/>
          </w:tcPr>
          <w:p w14:paraId="6453694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胥工/</w:t>
            </w:r>
            <w:r>
              <w:rPr>
                <w:color w:val="000000" w:themeColor="text1"/>
                <w14:textFill>
                  <w14:solidFill>
                    <w14:schemeClr w14:val="tx1"/>
                  </w14:solidFill>
                </w14:textFill>
              </w:rPr>
              <w:t xml:space="preserve"> </w:t>
            </w:r>
            <w:r>
              <w:rPr>
                <w:rFonts w:hint="eastAsia" w:cs="宋体"/>
                <w:color w:val="000000" w:themeColor="text1"/>
                <w:sz w:val="18"/>
                <w:szCs w:val="18"/>
                <w14:textFill>
                  <w14:solidFill>
                    <w14:schemeClr w14:val="tx1"/>
                  </w14:solidFill>
                </w14:textFill>
              </w:rPr>
              <w:t>15196228870</w:t>
            </w:r>
          </w:p>
        </w:tc>
      </w:tr>
      <w:tr w14:paraId="642FD6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55" w:type="pct"/>
            <w:gridSpan w:val="4"/>
            <w:vAlign w:val="center"/>
          </w:tcPr>
          <w:p w14:paraId="48A4613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地址</w:t>
            </w:r>
          </w:p>
        </w:tc>
        <w:tc>
          <w:tcPr>
            <w:tcW w:w="1624" w:type="pct"/>
            <w:gridSpan w:val="5"/>
            <w:vAlign w:val="center"/>
          </w:tcPr>
          <w:p w14:paraId="65321AAC">
            <w:pPr>
              <w:pStyle w:val="65"/>
              <w:rPr>
                <w:rFonts w:eastAsia="仿宋_GB2312"/>
                <w:snapToGrid/>
                <w:color w:val="000000" w:themeColor="text1"/>
                <w14:textFill>
                  <w14:solidFill>
                    <w14:schemeClr w14:val="tx1"/>
                  </w14:solidFill>
                </w14:textFill>
              </w:rPr>
            </w:pPr>
            <w:r>
              <w:rPr>
                <w:rFonts w:hint="eastAsia" w:eastAsia="仿宋_GB2312"/>
                <w:snapToGrid/>
                <w:color w:val="000000" w:themeColor="text1"/>
                <w14:textFill>
                  <w14:solidFill>
                    <w14:schemeClr w14:val="tx1"/>
                  </w14:solidFill>
                </w14:textFill>
              </w:rPr>
              <w:t>成都市金牛区花照壁西顺街399号西宸国际A座2105</w:t>
            </w:r>
          </w:p>
        </w:tc>
        <w:tc>
          <w:tcPr>
            <w:tcW w:w="644" w:type="pct"/>
            <w:gridSpan w:val="2"/>
            <w:vAlign w:val="center"/>
          </w:tcPr>
          <w:p w14:paraId="4E363251">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地址</w:t>
            </w:r>
          </w:p>
        </w:tc>
        <w:tc>
          <w:tcPr>
            <w:tcW w:w="1675" w:type="pct"/>
            <w:gridSpan w:val="4"/>
            <w:vAlign w:val="center"/>
          </w:tcPr>
          <w:p w14:paraId="1035349B">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hint="eastAsia" w:cs="宋体"/>
                <w:color w:val="000000" w:themeColor="text1"/>
                <w:sz w:val="18"/>
                <w:szCs w:val="18"/>
                <w14:textFill>
                  <w14:solidFill>
                    <w14:schemeClr w14:val="tx1"/>
                  </w14:solidFill>
                </w14:textFill>
              </w:rPr>
              <w:t>绵阳市高新区永兴镇三海路6号</w:t>
            </w:r>
          </w:p>
        </w:tc>
      </w:tr>
      <w:tr w14:paraId="1BACB9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55" w:type="pct"/>
            <w:gridSpan w:val="4"/>
            <w:vAlign w:val="center"/>
          </w:tcPr>
          <w:p w14:paraId="1A3F35C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邮编</w:t>
            </w:r>
          </w:p>
        </w:tc>
        <w:tc>
          <w:tcPr>
            <w:tcW w:w="1624" w:type="pct"/>
            <w:gridSpan w:val="5"/>
            <w:vAlign w:val="center"/>
          </w:tcPr>
          <w:p w14:paraId="05FFE406">
            <w:pPr>
              <w:pStyle w:val="65"/>
              <w:ind w:firstLine="420"/>
              <w:rPr>
                <w:rFonts w:eastAsia="仿宋_GB2312"/>
                <w:snapToGrid/>
                <w:color w:val="000000" w:themeColor="text1"/>
                <w14:textFill>
                  <w14:solidFill>
                    <w14:schemeClr w14:val="tx1"/>
                  </w14:solidFill>
                </w14:textFill>
              </w:rPr>
            </w:pPr>
            <w:r>
              <w:rPr>
                <w:rFonts w:eastAsia="仿宋_GB2312"/>
                <w:snapToGrid/>
                <w:color w:val="000000" w:themeColor="text1"/>
                <w14:textFill>
                  <w14:solidFill>
                    <w14:schemeClr w14:val="tx1"/>
                  </w14:solidFill>
                </w14:textFill>
              </w:rPr>
              <w:t>610036</w:t>
            </w:r>
          </w:p>
        </w:tc>
        <w:tc>
          <w:tcPr>
            <w:tcW w:w="644" w:type="pct"/>
            <w:gridSpan w:val="2"/>
            <w:vAlign w:val="center"/>
          </w:tcPr>
          <w:p w14:paraId="44DB78E5">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邮编</w:t>
            </w:r>
          </w:p>
        </w:tc>
        <w:tc>
          <w:tcPr>
            <w:tcW w:w="1675" w:type="pct"/>
            <w:gridSpan w:val="4"/>
            <w:vAlign w:val="center"/>
          </w:tcPr>
          <w:p w14:paraId="32B9C44E">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621050</w:t>
            </w:r>
          </w:p>
        </w:tc>
      </w:tr>
      <w:tr w14:paraId="6DF656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55" w:type="pct"/>
            <w:gridSpan w:val="4"/>
            <w:vAlign w:val="center"/>
          </w:tcPr>
          <w:p w14:paraId="4C509E4C">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电子邮箱</w:t>
            </w:r>
          </w:p>
        </w:tc>
        <w:tc>
          <w:tcPr>
            <w:tcW w:w="1624" w:type="pct"/>
            <w:gridSpan w:val="5"/>
            <w:vAlign w:val="center"/>
          </w:tcPr>
          <w:p w14:paraId="4BD59E34">
            <w:pPr>
              <w:pStyle w:val="65"/>
              <w:ind w:firstLine="420"/>
              <w:rPr>
                <w:rFonts w:eastAsia="仿宋_GB2312"/>
                <w:snapToGrid/>
                <w:color w:val="000000" w:themeColor="text1"/>
                <w14:textFill>
                  <w14:solidFill>
                    <w14:schemeClr w14:val="tx1"/>
                  </w14:solidFill>
                </w14:textFill>
              </w:rPr>
            </w:pPr>
            <w:r>
              <w:rPr>
                <w:rFonts w:hint="eastAsia" w:eastAsia="仿宋_GB2312"/>
                <w:snapToGrid/>
                <w:color w:val="000000" w:themeColor="text1"/>
                <w14:textFill>
                  <w14:solidFill>
                    <w14:schemeClr w14:val="tx1"/>
                  </w14:solidFill>
                </w14:textFill>
              </w:rPr>
              <w:t>987471501</w:t>
            </w:r>
            <w:r>
              <w:rPr>
                <w:rFonts w:eastAsia="仿宋_GB2312"/>
                <w:snapToGrid/>
                <w:color w:val="000000" w:themeColor="text1"/>
                <w14:textFill>
                  <w14:solidFill>
                    <w14:schemeClr w14:val="tx1"/>
                  </w14:solidFill>
                </w14:textFill>
              </w:rPr>
              <w:t>@qq.com</w:t>
            </w:r>
          </w:p>
        </w:tc>
        <w:tc>
          <w:tcPr>
            <w:tcW w:w="644" w:type="pct"/>
            <w:gridSpan w:val="2"/>
            <w:vAlign w:val="center"/>
          </w:tcPr>
          <w:p w14:paraId="5D230D80">
            <w:pPr>
              <w:widowControl/>
              <w:adjustRightInd/>
              <w:spacing w:line="240" w:lineRule="atLeast"/>
              <w:ind w:firstLine="0" w:firstLineChars="0"/>
              <w:jc w:val="center"/>
              <w:rPr>
                <w:rFonts w:cs="宋体"/>
                <w:color w:val="000000" w:themeColor="text1"/>
                <w:sz w:val="18"/>
                <w:szCs w:val="18"/>
                <w14:textFill>
                  <w14:solidFill>
                    <w14:schemeClr w14:val="tx1"/>
                  </w14:solidFill>
                </w14:textFill>
              </w:rPr>
            </w:pPr>
            <w:r>
              <w:rPr>
                <w:rFonts w:cs="宋体"/>
                <w:color w:val="000000" w:themeColor="text1"/>
                <w:sz w:val="18"/>
                <w:szCs w:val="18"/>
                <w14:textFill>
                  <w14:solidFill>
                    <w14:schemeClr w14:val="tx1"/>
                  </w14:solidFill>
                </w14:textFill>
              </w:rPr>
              <w:t>电子邮箱</w:t>
            </w:r>
          </w:p>
        </w:tc>
        <w:tc>
          <w:tcPr>
            <w:tcW w:w="1675" w:type="pct"/>
            <w:gridSpan w:val="4"/>
            <w:vAlign w:val="center"/>
          </w:tcPr>
          <w:p w14:paraId="24C9D4D3">
            <w:pPr>
              <w:widowControl/>
              <w:adjustRightInd/>
              <w:spacing w:line="240" w:lineRule="atLeast"/>
              <w:ind w:firstLine="0" w:firstLineChars="0"/>
              <w:jc w:val="center"/>
              <w:rPr>
                <w:rFonts w:cs="宋体"/>
                <w:color w:val="000000" w:themeColor="text1"/>
                <w:sz w:val="18"/>
                <w:szCs w:val="18"/>
                <w:highlight w:val="green"/>
                <w14:textFill>
                  <w14:solidFill>
                    <w14:schemeClr w14:val="tx1"/>
                  </w14:solidFill>
                </w14:textFill>
              </w:rPr>
            </w:pPr>
            <w:r>
              <w:rPr>
                <w:rFonts w:hint="eastAsia" w:cs="宋体"/>
                <w:color w:val="000000" w:themeColor="text1"/>
                <w:sz w:val="18"/>
                <w:szCs w:val="18"/>
                <w14:textFill>
                  <w14:solidFill>
                    <w14:schemeClr w14:val="tx1"/>
                  </w14:solidFill>
                </w14:textFill>
              </w:rPr>
              <w:t>391415516@qq.com</w:t>
            </w:r>
          </w:p>
        </w:tc>
      </w:tr>
      <w:bookmarkEnd w:id="62"/>
    </w:tbl>
    <w:p w14:paraId="0793CD7A">
      <w:pPr>
        <w:ind w:firstLine="0" w:firstLineChars="0"/>
        <w:rPr>
          <w:b/>
          <w:bCs/>
          <w:color w:val="000000" w:themeColor="text1"/>
          <w14:textFill>
            <w14:solidFill>
              <w14:schemeClr w14:val="tx1"/>
            </w14:solidFill>
          </w14:textFill>
        </w:rPr>
        <w:sectPr>
          <w:headerReference r:id="rId15" w:type="default"/>
          <w:footerReference r:id="rId17" w:type="default"/>
          <w:headerReference r:id="rId16" w:type="even"/>
          <w:footerReference r:id="rId18" w:type="even"/>
          <w:pgSz w:w="11850" w:h="16783"/>
          <w:pgMar w:top="1440" w:right="1800" w:bottom="1440" w:left="1800" w:header="851" w:footer="992" w:gutter="0"/>
          <w:pgNumType w:start="1"/>
          <w:cols w:space="425" w:num="1"/>
          <w:docGrid w:type="lines" w:linePitch="326" w:charSpace="0"/>
        </w:sectPr>
      </w:pPr>
    </w:p>
    <w:p w14:paraId="75606F17">
      <w:pPr>
        <w:pStyle w:val="2"/>
        <w:rPr>
          <w:rFonts w:eastAsia="宋体"/>
          <w:color w:val="000000" w:themeColor="text1"/>
          <w14:textFill>
            <w14:solidFill>
              <w14:schemeClr w14:val="tx1"/>
            </w14:solidFill>
          </w14:textFill>
        </w:rPr>
      </w:pPr>
      <w:bookmarkStart w:id="64" w:name="_Toc29949"/>
      <w:r>
        <w:rPr>
          <w:rFonts w:hint="eastAsia"/>
          <w:color w:val="000000" w:themeColor="text1"/>
          <w14:textFill>
            <w14:solidFill>
              <w14:schemeClr w14:val="tx1"/>
            </w14:solidFill>
          </w14:textFill>
        </w:rPr>
        <w:t>2项目概况</w:t>
      </w:r>
      <w:bookmarkEnd w:id="64"/>
    </w:p>
    <w:p w14:paraId="0F92C38A">
      <w:pPr>
        <w:pStyle w:val="3"/>
        <w:rPr>
          <w:color w:val="000000" w:themeColor="text1"/>
          <w14:textFill>
            <w14:solidFill>
              <w14:schemeClr w14:val="tx1"/>
            </w14:solidFill>
          </w14:textFill>
        </w:rPr>
      </w:pPr>
      <w:bookmarkStart w:id="65" w:name="_Toc31339"/>
      <w:r>
        <w:rPr>
          <w:rFonts w:hint="eastAsia"/>
          <w:color w:val="000000" w:themeColor="text1"/>
          <w14:textFill>
            <w14:solidFill>
              <w14:schemeClr w14:val="tx1"/>
            </w14:solidFill>
          </w14:textFill>
        </w:rPr>
        <w:t>2.1</w:t>
      </w:r>
      <w:bookmarkStart w:id="66" w:name="_Hlk136437555"/>
      <w:r>
        <w:rPr>
          <w:rFonts w:hint="eastAsia"/>
          <w:color w:val="000000" w:themeColor="text1"/>
          <w14:textFill>
            <w14:solidFill>
              <w14:schemeClr w14:val="tx1"/>
            </w14:solidFill>
          </w14:textFill>
        </w:rPr>
        <w:t>项目组成及工程布置</w:t>
      </w:r>
      <w:bookmarkEnd w:id="65"/>
    </w:p>
    <w:bookmarkEnd w:id="66"/>
    <w:p w14:paraId="0C64341E">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2.1.1</w:t>
      </w:r>
      <w:bookmarkStart w:id="67" w:name="_Hlk136437565"/>
      <w:r>
        <w:rPr>
          <w:rFonts w:hint="eastAsia"/>
          <w:color w:val="000000" w:themeColor="text1"/>
          <w14:textFill>
            <w14:solidFill>
              <w14:schemeClr w14:val="tx1"/>
            </w14:solidFill>
          </w14:textFill>
        </w:rPr>
        <w:t>项目建设基本情况</w:t>
      </w:r>
      <w:bookmarkEnd w:id="67"/>
    </w:p>
    <w:p w14:paraId="7B30121A">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2.1.1.1 地理位置</w:t>
      </w:r>
    </w:p>
    <w:p w14:paraId="7E3359E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本项目建设地址位于四川省绵阳市高新区永兴镇三海路6号。（项目坐标：东经104°42′0</w:t>
      </w: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″，北纬：31°30′0</w:t>
      </w:r>
      <w:r>
        <w:rPr>
          <w:rFonts w:hint="eastAsia"/>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″），项目紧邻创新大道、科技城大道和成渝环线高速，交通十分方便。四周规划道路网完善，交通便利。</w:t>
      </w:r>
    </w:p>
    <w:p w14:paraId="130D6A8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项目地理位置见图2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p>
    <w:p w14:paraId="04BDAFDE">
      <w:pPr>
        <w:ind w:firstLine="0" w:firstLineChars="0"/>
        <w:jc w:val="center"/>
        <w:rPr>
          <w:color w:val="000000" w:themeColor="text1"/>
          <w14:textFill>
            <w14:solidFill>
              <w14:schemeClr w14:val="tx1"/>
            </w14:solidFill>
          </w14:textFill>
        </w:rPr>
      </w:pPr>
      <w:r>
        <w:drawing>
          <wp:inline distT="0" distB="0" distL="114300" distR="114300">
            <wp:extent cx="5270500" cy="3439160"/>
            <wp:effectExtent l="0" t="0" r="6350" b="8890"/>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48"/>
                    <a:stretch>
                      <a:fillRect/>
                    </a:stretch>
                  </pic:blipFill>
                  <pic:spPr>
                    <a:xfrm>
                      <a:off x="0" y="0"/>
                      <a:ext cx="5270500" cy="3439160"/>
                    </a:xfrm>
                    <a:prstGeom prst="rect">
                      <a:avLst/>
                    </a:prstGeom>
                    <a:noFill/>
                    <a:ln>
                      <a:noFill/>
                    </a:ln>
                  </pic:spPr>
                </pic:pic>
              </a:graphicData>
            </a:graphic>
          </wp:inline>
        </w:drawing>
      </w:r>
    </w:p>
    <w:p w14:paraId="7C1088CC">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图2.1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  地理位置示意图</w:t>
      </w:r>
    </w:p>
    <w:p w14:paraId="215D004F">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2.1.1.2 基本情况</w:t>
      </w:r>
    </w:p>
    <w:p w14:paraId="07E19678">
      <w:pPr>
        <w:adjustRightInd/>
        <w:ind w:firstLine="472"/>
        <w:rPr>
          <w:color w:val="000000" w:themeColor="text1"/>
          <w:spacing w:val="-4"/>
          <w14:textFill>
            <w14:solidFill>
              <w14:schemeClr w14:val="tx1"/>
            </w14:solidFill>
          </w14:textFill>
        </w:rPr>
      </w:pPr>
      <w:bookmarkStart w:id="68" w:name="_Hlk136437845"/>
      <w:r>
        <w:rPr>
          <w:rFonts w:hint="eastAsia"/>
          <w:color w:val="000000" w:themeColor="text1"/>
          <w:spacing w:val="-4"/>
          <w14:textFill>
            <w14:solidFill>
              <w14:schemeClr w14:val="tx1"/>
            </w14:solidFill>
          </w14:textFill>
        </w:rPr>
        <w:t>项目名称：高新区兆辉新能源工业园及基础设施配套项目（二期）</w:t>
      </w:r>
    </w:p>
    <w:p w14:paraId="74561CCF">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建设单位：绵阳兆辉投资有限公司</w:t>
      </w:r>
    </w:p>
    <w:p w14:paraId="269C1947">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建设地点：绵阳市高新区永兴镇三海路6号</w:t>
      </w:r>
    </w:p>
    <w:p w14:paraId="4D8277CF">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项目性质：新建，建设类项目</w:t>
      </w:r>
    </w:p>
    <w:p w14:paraId="213B10D3">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所属流域：长江流域</w:t>
      </w:r>
    </w:p>
    <w:p w14:paraId="6E9C2DA7">
      <w:pPr>
        <w:adjustRightInd/>
        <w:ind w:firstLine="472"/>
        <w:rPr>
          <w:rFonts w:hint="eastAsia" w:eastAsia="仿宋_GB2312"/>
          <w:bCs/>
          <w:color w:val="000000" w:themeColor="text1"/>
          <w:lang w:eastAsia="zh-CN"/>
          <w14:textFill>
            <w14:solidFill>
              <w14:schemeClr w14:val="tx1"/>
            </w14:solidFill>
          </w14:textFill>
        </w:rPr>
      </w:pPr>
      <w:r>
        <w:rPr>
          <w:rFonts w:hint="eastAsia"/>
          <w:color w:val="000000" w:themeColor="text1"/>
          <w:spacing w:val="-4"/>
          <w14:textFill>
            <w14:solidFill>
              <w14:schemeClr w14:val="tx1"/>
            </w14:solidFill>
          </w14:textFill>
        </w:rPr>
        <w:t>建设规模：</w:t>
      </w:r>
      <w:r>
        <w:rPr>
          <w:rFonts w:hint="eastAsia"/>
          <w:bCs/>
          <w:color w:val="000000" w:themeColor="text1"/>
          <w14:textFill>
            <w14:solidFill>
              <w14:schemeClr w14:val="tx1"/>
            </w14:solidFill>
          </w14:textFill>
        </w:rPr>
        <w:t>本项目总建筑面积为42257.55平方米，厂房建筑面积14080.78平方米，</w:t>
      </w:r>
      <w:r>
        <w:rPr>
          <w:rFonts w:hint="eastAsia"/>
          <w:bCs/>
          <w:color w:val="000000" w:themeColor="text1"/>
          <w:lang w:val="en-US" w:eastAsia="zh-CN"/>
          <w14:textFill>
            <w14:solidFill>
              <w14:schemeClr w14:val="tx1"/>
            </w14:solidFill>
          </w14:textFill>
        </w:rPr>
        <w:t>倒班房建筑面积5277.32</w:t>
      </w:r>
      <w:r>
        <w:rPr>
          <w:rFonts w:hint="eastAsia"/>
          <w:bCs/>
          <w:color w:val="000000" w:themeColor="text1"/>
          <w14:textFill>
            <w14:solidFill>
              <w14:schemeClr w14:val="tx1"/>
            </w14:solidFill>
          </w14:textFill>
        </w:rPr>
        <w:t>平方米，</w:t>
      </w:r>
      <w:r>
        <w:rPr>
          <w:rFonts w:hint="eastAsia"/>
          <w:bCs/>
          <w:color w:val="000000" w:themeColor="text1"/>
          <w:lang w:val="en-US" w:eastAsia="zh-CN"/>
          <w14:textFill>
            <w14:solidFill>
              <w14:schemeClr w14:val="tx1"/>
            </w14:solidFill>
          </w14:textFill>
        </w:rPr>
        <w:t>办公建筑面积3707.69</w:t>
      </w:r>
      <w:r>
        <w:rPr>
          <w:rFonts w:hint="eastAsia"/>
          <w:bCs/>
          <w:color w:val="000000" w:themeColor="text1"/>
          <w14:textFill>
            <w14:solidFill>
              <w14:schemeClr w14:val="tx1"/>
            </w14:solidFill>
          </w14:textFill>
        </w:rPr>
        <w:t>平方米，配套用房及附属用房</w:t>
      </w:r>
      <w:r>
        <w:rPr>
          <w:rFonts w:hint="eastAsia"/>
          <w:bCs/>
          <w:color w:val="000000" w:themeColor="text1"/>
          <w:lang w:val="en-US" w:eastAsia="zh-CN"/>
          <w14:textFill>
            <w14:solidFill>
              <w14:schemeClr w14:val="tx1"/>
            </w14:solidFill>
          </w14:textFill>
        </w:rPr>
        <w:t>建筑面积144.2</w:t>
      </w:r>
      <w:r>
        <w:rPr>
          <w:rFonts w:hint="eastAsia"/>
          <w:bCs/>
          <w:color w:val="000000" w:themeColor="text1"/>
          <w14:textFill>
            <w14:solidFill>
              <w14:schemeClr w14:val="tx1"/>
            </w14:solidFill>
          </w14:textFill>
        </w:rPr>
        <w:t>平方米</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其中一期主要为10824.54平方米</w:t>
      </w:r>
      <w:r>
        <w:rPr>
          <w:rFonts w:hint="eastAsia"/>
          <w:bCs/>
          <w:color w:val="000000" w:themeColor="text1"/>
          <w:lang w:eastAsia="zh-CN"/>
          <w14:textFill>
            <w14:solidFill>
              <w14:schemeClr w14:val="tx1"/>
            </w14:solidFill>
          </w14:textFill>
        </w:rPr>
        <w:t>的</w:t>
      </w:r>
      <w:r>
        <w:rPr>
          <w:rFonts w:hint="eastAsia"/>
          <w:bCs/>
          <w:color w:val="000000" w:themeColor="text1"/>
          <w14:textFill>
            <w14:solidFill>
              <w14:schemeClr w14:val="tx1"/>
            </w14:solidFill>
          </w14:textFill>
        </w:rPr>
        <w:t>生产厂房及9237.45平方米</w:t>
      </w:r>
      <w:r>
        <w:rPr>
          <w:rFonts w:hint="eastAsia"/>
          <w:bCs/>
          <w:color w:val="000000" w:themeColor="text1"/>
          <w:lang w:eastAsia="zh-CN"/>
          <w14:textFill>
            <w14:solidFill>
              <w14:schemeClr w14:val="tx1"/>
            </w14:solidFill>
          </w14:textFill>
        </w:rPr>
        <w:t>的</w:t>
      </w:r>
      <w:r>
        <w:rPr>
          <w:rFonts w:hint="eastAsia"/>
          <w:bCs/>
          <w:color w:val="000000" w:themeColor="text1"/>
          <w14:textFill>
            <w14:solidFill>
              <w14:schemeClr w14:val="tx1"/>
            </w14:solidFill>
          </w14:textFill>
        </w:rPr>
        <w:t>服务配套工程</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一期</w:t>
      </w:r>
      <w:r>
        <w:rPr>
          <w:rFonts w:hint="eastAsia"/>
          <w:bCs/>
          <w:color w:val="000000" w:themeColor="text1"/>
          <w:lang w:eastAsia="zh-CN"/>
          <w14:textFill>
            <w14:solidFill>
              <w14:schemeClr w14:val="tx1"/>
            </w14:solidFill>
          </w14:textFill>
        </w:rPr>
        <w:t>已建设完成；</w:t>
      </w:r>
      <w:r>
        <w:rPr>
          <w:rFonts w:hint="eastAsia"/>
          <w:bCs/>
          <w:color w:val="000000" w:themeColor="text1"/>
          <w14:textFill>
            <w14:solidFill>
              <w14:schemeClr w14:val="tx1"/>
            </w14:solidFill>
          </w14:textFill>
        </w:rPr>
        <w:t>二期建设项目主要</w:t>
      </w:r>
      <w:r>
        <w:rPr>
          <w:rFonts w:hint="eastAsia"/>
          <w:bCs/>
          <w:color w:val="000000" w:themeColor="text1"/>
          <w:lang w:eastAsia="zh-CN"/>
          <w14:textFill>
            <w14:solidFill>
              <w14:schemeClr w14:val="tx1"/>
            </w14:solidFill>
          </w14:textFill>
        </w:rPr>
        <w:t>为</w:t>
      </w:r>
      <w:r>
        <w:rPr>
          <w:rFonts w:hint="eastAsia"/>
          <w:bCs/>
          <w:color w:val="000000" w:themeColor="text1"/>
          <w14:textFill>
            <w14:solidFill>
              <w14:schemeClr w14:val="tx1"/>
            </w14:solidFill>
          </w14:textFill>
        </w:rPr>
        <w:t>22195.56平方米的生产厂房及72.8平方米的室内外附属配套工程</w:t>
      </w:r>
      <w:r>
        <w:rPr>
          <w:rFonts w:hint="eastAsia"/>
          <w:bCs/>
          <w:color w:val="000000" w:themeColor="text1"/>
          <w:lang w:eastAsia="zh-CN"/>
          <w14:textFill>
            <w14:solidFill>
              <w14:schemeClr w14:val="tx1"/>
            </w14:solidFill>
          </w14:textFill>
        </w:rPr>
        <w:t>，</w:t>
      </w:r>
      <w:r>
        <w:rPr>
          <w:rFonts w:hint="eastAsia"/>
        </w:rPr>
        <w:t>本次项目建设内容为二期</w:t>
      </w:r>
      <w:r>
        <w:rPr>
          <w:rFonts w:hint="eastAsia"/>
          <w:bCs/>
          <w:color w:val="000000" w:themeColor="text1"/>
          <w:lang w:eastAsia="zh-CN"/>
          <w14:textFill>
            <w14:solidFill>
              <w14:schemeClr w14:val="tx1"/>
            </w14:solidFill>
          </w14:textFill>
        </w:rPr>
        <w:t>。</w:t>
      </w:r>
    </w:p>
    <w:p w14:paraId="3316802D">
      <w:pPr>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项目占地：</w:t>
      </w:r>
      <w:r>
        <w:rPr>
          <w:rFonts w:hint="eastAsia"/>
          <w:color w:val="000000" w:themeColor="text1"/>
          <w:spacing w:val="-4"/>
          <w:lang w:eastAsia="zh-CN"/>
          <w14:textFill>
            <w14:solidFill>
              <w14:schemeClr w14:val="tx1"/>
            </w14:solidFill>
          </w14:textFill>
        </w:rPr>
        <w:t>本项目的</w:t>
      </w:r>
      <w:r>
        <w:rPr>
          <w:rFonts w:hint="eastAsia"/>
          <w:color w:val="000000" w:themeColor="text1"/>
          <w:spacing w:val="-4"/>
          <w14:textFill>
            <w14:solidFill>
              <w14:schemeClr w14:val="tx1"/>
            </w14:solidFill>
          </w14:textFill>
        </w:rPr>
        <w:t>总占地面积</w:t>
      </w:r>
      <w:r>
        <w:rPr>
          <w:rFonts w:hint="eastAsia"/>
          <w:color w:val="000000" w:themeColor="text1"/>
          <w:spacing w:val="-4"/>
          <w:lang w:eastAsia="zh-CN"/>
          <w14:textFill>
            <w14:solidFill>
              <w14:schemeClr w14:val="tx1"/>
            </w14:solidFill>
          </w14:textFill>
        </w:rPr>
        <w:t>为3.61</w:t>
      </w:r>
      <w:r>
        <w:rPr>
          <w:rFonts w:hint="eastAsia"/>
          <w:color w:val="000000" w:themeColor="text1"/>
          <w:spacing w:val="-4"/>
          <w14:textFill>
            <w14:solidFill>
              <w14:schemeClr w14:val="tx1"/>
            </w14:solidFill>
          </w14:textFill>
        </w:rPr>
        <w:t>hm</w:t>
      </w:r>
      <w:r>
        <w:rPr>
          <w:rFonts w:hint="eastAsia"/>
          <w:color w:val="000000" w:themeColor="text1"/>
          <w:spacing w:val="-4"/>
          <w:vertAlign w:val="superscript"/>
          <w14:textFill>
            <w14:solidFill>
              <w14:schemeClr w14:val="tx1"/>
            </w14:solidFill>
          </w14:textFill>
        </w:rPr>
        <w:t>2</w:t>
      </w:r>
      <w:r>
        <w:rPr>
          <w:rFonts w:hint="eastAsia"/>
          <w:color w:val="000000" w:themeColor="text1"/>
          <w:spacing w:val="-4"/>
          <w:lang w:eastAsia="zh-CN"/>
          <w14:textFill>
            <w14:solidFill>
              <w14:schemeClr w14:val="tx1"/>
            </w14:solidFill>
          </w14:textFill>
        </w:rPr>
        <w:t>，其中</w:t>
      </w:r>
      <w:r>
        <w:rPr>
          <w:rFonts w:hint="eastAsia"/>
          <w:bCs/>
          <w:color w:val="000000" w:themeColor="text1"/>
          <w14:textFill>
            <w14:solidFill>
              <w14:schemeClr w14:val="tx1"/>
            </w14:solidFill>
          </w14:textFill>
        </w:rPr>
        <w:t>二期建设项目</w:t>
      </w:r>
      <w:r>
        <w:rPr>
          <w:rFonts w:hint="eastAsia"/>
          <w:color w:val="000000" w:themeColor="text1"/>
          <w:spacing w:val="-4"/>
          <w14:textFill>
            <w14:solidFill>
              <w14:schemeClr w14:val="tx1"/>
            </w14:solidFill>
          </w14:textFill>
        </w:rPr>
        <w:t>总占地面积0.95hm</w:t>
      </w:r>
      <w:r>
        <w:rPr>
          <w:rFonts w:hint="eastAsia"/>
          <w:color w:val="000000" w:themeColor="text1"/>
          <w:spacing w:val="-4"/>
          <w:vertAlign w:val="superscript"/>
          <w14:textFill>
            <w14:solidFill>
              <w14:schemeClr w14:val="tx1"/>
            </w14:solidFill>
          </w14:textFill>
        </w:rPr>
        <w:t>2</w:t>
      </w:r>
      <w:r>
        <w:rPr>
          <w:rFonts w:hint="eastAsia"/>
          <w:color w:val="000000" w:themeColor="text1"/>
          <w:spacing w:val="-4"/>
          <w14:textFill>
            <w14:solidFill>
              <w14:schemeClr w14:val="tx1"/>
            </w14:solidFill>
          </w14:textFill>
        </w:rPr>
        <w:t>，其中永久占地0.95hm</w:t>
      </w:r>
      <w:r>
        <w:rPr>
          <w:rFonts w:hint="eastAsia"/>
          <w:color w:val="000000" w:themeColor="text1"/>
          <w:spacing w:val="-4"/>
          <w:vertAlign w:val="superscript"/>
          <w14:textFill>
            <w14:solidFill>
              <w14:schemeClr w14:val="tx1"/>
            </w14:solidFill>
          </w14:textFill>
        </w:rPr>
        <w:t>2</w:t>
      </w:r>
      <w:r>
        <w:rPr>
          <w:rFonts w:hint="eastAsia"/>
          <w:color w:val="000000" w:themeColor="text1"/>
          <w:spacing w:val="-4"/>
          <w14:textFill>
            <w14:solidFill>
              <w14:schemeClr w14:val="tx1"/>
            </w14:solidFill>
          </w14:textFill>
        </w:rPr>
        <w:t>，</w:t>
      </w:r>
      <w:r>
        <w:rPr>
          <w:rFonts w:hint="eastAsia"/>
        </w:rPr>
        <w:t>本次防治则范围为二期占地</w:t>
      </w:r>
      <w:r>
        <w:rPr>
          <w:rFonts w:hint="eastAsia"/>
          <w:color w:val="000000" w:themeColor="text1"/>
          <w:spacing w:val="-4"/>
          <w14:textFill>
            <w14:solidFill>
              <w14:schemeClr w14:val="tx1"/>
            </w14:solidFill>
          </w14:textFill>
        </w:rPr>
        <w:t>0.95hm</w:t>
      </w:r>
      <w:r>
        <w:rPr>
          <w:rFonts w:hint="eastAsia"/>
          <w:color w:val="000000" w:themeColor="text1"/>
          <w:spacing w:val="-4"/>
          <w:vertAlign w:val="superscript"/>
          <w14:textFill>
            <w14:solidFill>
              <w14:schemeClr w14:val="tx1"/>
            </w14:solidFill>
          </w14:textFill>
        </w:rPr>
        <w:t>2</w:t>
      </w:r>
      <w:r>
        <w:rPr>
          <w:rFonts w:hint="eastAsia"/>
          <w:color w:val="000000" w:themeColor="text1"/>
          <w:spacing w:val="-4"/>
          <w:lang w:eastAsia="zh-CN"/>
          <w14:textFill>
            <w14:solidFill>
              <w14:schemeClr w14:val="tx1"/>
            </w14:solidFill>
          </w14:textFill>
        </w:rPr>
        <w:t>，</w:t>
      </w:r>
      <w:r>
        <w:rPr>
          <w:rFonts w:hint="eastAsia"/>
          <w:color w:val="000000" w:themeColor="text1"/>
          <w:spacing w:val="-4"/>
          <w14:textFill>
            <w14:solidFill>
              <w14:schemeClr w14:val="tx1"/>
            </w14:solidFill>
          </w14:textFill>
        </w:rPr>
        <w:t>占地范围全部为项目红线范围内用地。占地类型为工业用地。</w:t>
      </w:r>
    </w:p>
    <w:p w14:paraId="1020F715">
      <w:pPr>
        <w:ind w:firstLine="480"/>
        <w:rPr>
          <w:rFonts w:hint="eastAsia"/>
          <w:color w:val="000000" w:themeColor="text1"/>
          <w:spacing w:val="-4"/>
          <w:highlight w:val="none"/>
          <w14:textFill>
            <w14:solidFill>
              <w14:schemeClr w14:val="tx1"/>
            </w14:solidFill>
          </w14:textFill>
        </w:rPr>
      </w:pPr>
      <w:r>
        <w:rPr>
          <w:rFonts w:hint="eastAsia"/>
          <w:bCs/>
          <w:color w:val="000000" w:themeColor="text1"/>
          <w14:textFill>
            <w14:solidFill>
              <w14:schemeClr w14:val="tx1"/>
            </w14:solidFill>
          </w14:textFill>
        </w:rPr>
        <w:t>土石方：</w:t>
      </w:r>
      <w:r>
        <w:rPr>
          <w:rFonts w:hint="eastAsia"/>
          <w:color w:val="000000" w:themeColor="text1"/>
          <w14:textFill>
            <w14:solidFill>
              <w14:schemeClr w14:val="tx1"/>
            </w14:solidFill>
          </w14:textFill>
        </w:rPr>
        <w:t>项目土石方开挖总量为3.41万</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含表土剥离0.10万</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），土石方回填量为0.37万</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含表土剥离0.10万</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），余方3.04万</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w:t>
      </w:r>
      <w:r>
        <w:rPr>
          <w:rFonts w:hint="eastAsia"/>
          <w:color w:val="000000" w:themeColor="text1"/>
          <w:highlight w:val="none"/>
          <w14:textFill>
            <w14:solidFill>
              <w14:schemeClr w14:val="tx1"/>
            </w14:solidFill>
          </w14:textFill>
        </w:rPr>
        <w:t>余方运送至距离项目</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5公里的</w:t>
      </w:r>
      <w:r>
        <w:rPr>
          <w:rFonts w:hint="eastAsia"/>
          <w:color w:val="000000" w:themeColor="text1"/>
          <w:spacing w:val="-4"/>
          <w:highlight w:val="none"/>
          <w14:textFill>
            <w14:solidFill>
              <w14:schemeClr w14:val="tx1"/>
            </w14:solidFill>
          </w14:textFill>
        </w:rPr>
        <w:t>绵阳会展中心综合体项目周边道路建设项目（三期）</w:t>
      </w:r>
      <w:r>
        <w:rPr>
          <w:rFonts w:hint="eastAsia"/>
          <w:color w:val="000000" w:themeColor="text1"/>
          <w:highlight w:val="none"/>
          <w14:textFill>
            <w14:solidFill>
              <w14:schemeClr w14:val="tx1"/>
            </w14:solidFill>
          </w14:textFill>
        </w:rPr>
        <w:t>回填后综合利用</w:t>
      </w:r>
      <w:r>
        <w:rPr>
          <w:rFonts w:hint="eastAsia"/>
          <w:color w:val="000000" w:themeColor="text1"/>
          <w:spacing w:val="-4"/>
          <w:highlight w:val="none"/>
          <w14:textFill>
            <w14:solidFill>
              <w14:schemeClr w14:val="tx1"/>
            </w14:solidFill>
          </w14:textFill>
        </w:rPr>
        <w:t>。</w:t>
      </w:r>
    </w:p>
    <w:p w14:paraId="023767A1">
      <w:pPr>
        <w:ind w:firstLine="480"/>
        <w:rPr>
          <w:color w:val="000000" w:themeColor="text1"/>
          <w14:textFill>
            <w14:solidFill>
              <w14:schemeClr w14:val="tx1"/>
            </w14:solidFill>
          </w14:textFill>
        </w:rPr>
      </w:pPr>
      <w:r>
        <w:rPr>
          <w:rFonts w:hint="eastAsia"/>
          <w:color w:val="000000" w:themeColor="text1"/>
          <w:spacing w:val="-4"/>
          <w:highlight w:val="none"/>
          <w14:textFill>
            <w14:solidFill>
              <w14:schemeClr w14:val="tx1"/>
            </w14:solidFill>
          </w14:textFill>
        </w:rPr>
        <w:t>绵阳会展中心综合体项目周边道路建设项目（三期）于2023年10月开工，预计2025 年2月完工，总占地3.40hm</w:t>
      </w:r>
      <w:r>
        <w:rPr>
          <w:rFonts w:hint="eastAsia"/>
          <w:color w:val="000000" w:themeColor="text1"/>
          <w:spacing w:val="-4"/>
          <w:highlight w:val="none"/>
          <w:vertAlign w:val="superscript"/>
          <w14:textFill>
            <w14:solidFill>
              <w14:schemeClr w14:val="tx1"/>
            </w14:solidFill>
          </w14:textFill>
        </w:rPr>
        <w:t>2</w:t>
      </w:r>
      <w:r>
        <w:rPr>
          <w:rFonts w:hint="eastAsia"/>
          <w:color w:val="000000" w:themeColor="text1"/>
          <w:spacing w:val="-4"/>
          <w:highlight w:val="none"/>
          <w14:textFill>
            <w14:solidFill>
              <w14:schemeClr w14:val="tx1"/>
            </w14:solidFill>
          </w14:textFill>
        </w:rPr>
        <w:t>，挖填土石方总量</w:t>
      </w:r>
      <w:r>
        <w:rPr>
          <w:rFonts w:hint="eastAsia"/>
          <w:color w:val="000000" w:themeColor="text1"/>
          <w:spacing w:val="-4"/>
          <w:highlight w:val="none"/>
          <w:lang w:val="en-US" w:eastAsia="zh-CN"/>
          <w14:textFill>
            <w14:solidFill>
              <w14:schemeClr w14:val="tx1"/>
            </w14:solidFill>
          </w14:textFill>
        </w:rPr>
        <w:t>5.54</w:t>
      </w:r>
      <w:r>
        <w:rPr>
          <w:rFonts w:hint="eastAsia"/>
          <w:color w:val="000000" w:themeColor="text1"/>
          <w:spacing w:val="-4"/>
          <w:highlight w:val="none"/>
          <w14:textFill>
            <w14:solidFill>
              <w14:schemeClr w14:val="tx1"/>
            </w14:solidFill>
          </w14:textFill>
        </w:rPr>
        <w:t>万m³，其中：挖方量1.</w:t>
      </w:r>
      <w:r>
        <w:rPr>
          <w:rFonts w:hint="eastAsia"/>
          <w:color w:val="000000" w:themeColor="text1"/>
          <w:spacing w:val="-4"/>
          <w:highlight w:val="none"/>
          <w:lang w:val="en-US" w:eastAsia="zh-CN"/>
          <w14:textFill>
            <w14:solidFill>
              <w14:schemeClr w14:val="tx1"/>
            </w14:solidFill>
          </w14:textFill>
        </w:rPr>
        <w:t>0</w:t>
      </w:r>
      <w:r>
        <w:rPr>
          <w:rFonts w:hint="eastAsia"/>
          <w:color w:val="000000" w:themeColor="text1"/>
          <w:spacing w:val="-4"/>
          <w:highlight w:val="none"/>
          <w14:textFill>
            <w14:solidFill>
              <w14:schemeClr w14:val="tx1"/>
            </w14:solidFill>
          </w14:textFill>
        </w:rPr>
        <w:t>5万m³，填方量</w:t>
      </w:r>
      <w:r>
        <w:rPr>
          <w:rFonts w:hint="eastAsia"/>
          <w:color w:val="000000" w:themeColor="text1"/>
          <w:spacing w:val="-4"/>
          <w:highlight w:val="none"/>
          <w:lang w:val="en-US" w:eastAsia="zh-CN"/>
          <w14:textFill>
            <w14:solidFill>
              <w14:schemeClr w14:val="tx1"/>
            </w14:solidFill>
          </w14:textFill>
        </w:rPr>
        <w:t>4</w:t>
      </w:r>
      <w:r>
        <w:rPr>
          <w:rFonts w:hint="eastAsia"/>
          <w:color w:val="000000" w:themeColor="text1"/>
          <w:spacing w:val="-4"/>
          <w:highlight w:val="none"/>
          <w14:textFill>
            <w14:solidFill>
              <w14:schemeClr w14:val="tx1"/>
            </w14:solidFill>
          </w14:textFill>
        </w:rPr>
        <w:t>.49万 m³，包括排洪沟建设 1012.27m，排洪沟建设分为改线后的排水箱涵主体工程、箱涵顶部的绿化工程和边坡防护工程</w:t>
      </w:r>
      <w:r>
        <w:rPr>
          <w:rFonts w:hint="eastAsia"/>
          <w:color w:val="000000" w:themeColor="text1"/>
          <w:spacing w:val="-4"/>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项目水保方案已编制正在上报审批，土方调运时序为202</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年</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月-</w:t>
      </w:r>
      <w:r>
        <w:rPr>
          <w:color w:val="000000" w:themeColor="text1"/>
          <w:highlight w:val="none"/>
          <w14:textFill>
            <w14:solidFill>
              <w14:schemeClr w14:val="tx1"/>
            </w14:solidFill>
          </w14:textFill>
        </w:rPr>
        <w:t>12</w:t>
      </w:r>
      <w:r>
        <w:rPr>
          <w:rFonts w:hint="eastAsia"/>
          <w:color w:val="000000" w:themeColor="text1"/>
          <w:highlight w:val="none"/>
          <w14:textFill>
            <w14:solidFill>
              <w14:schemeClr w14:val="tx1"/>
            </w14:solidFill>
          </w14:textFill>
        </w:rPr>
        <w:t>月，满足本项目余方运送的施工安排。</w:t>
      </w:r>
    </w:p>
    <w:p w14:paraId="5869168D">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建设工期：本项目为补报水保方案，实际开工日期为2</w:t>
      </w:r>
      <w:r>
        <w:rPr>
          <w:color w:val="000000" w:themeColor="text1"/>
          <w:spacing w:val="-4"/>
          <w14:textFill>
            <w14:solidFill>
              <w14:schemeClr w14:val="tx1"/>
            </w14:solidFill>
          </w14:textFill>
        </w:rPr>
        <w:t>02</w:t>
      </w:r>
      <w:r>
        <w:rPr>
          <w:rFonts w:hint="eastAsia"/>
          <w:color w:val="000000" w:themeColor="text1"/>
          <w:spacing w:val="-4"/>
          <w14:textFill>
            <w14:solidFill>
              <w14:schemeClr w14:val="tx1"/>
            </w14:solidFill>
          </w14:textFill>
        </w:rPr>
        <w:t>3年6月22日，计划竣工日期为2</w:t>
      </w:r>
      <w:r>
        <w:rPr>
          <w:color w:val="000000" w:themeColor="text1"/>
          <w:spacing w:val="-4"/>
          <w14:textFill>
            <w14:solidFill>
              <w14:schemeClr w14:val="tx1"/>
            </w14:solidFill>
          </w14:textFill>
        </w:rPr>
        <w:t>024</w:t>
      </w:r>
      <w:r>
        <w:rPr>
          <w:rFonts w:hint="eastAsia"/>
          <w:color w:val="000000" w:themeColor="text1"/>
          <w:spacing w:val="-4"/>
          <w14:textFill>
            <w14:solidFill>
              <w14:schemeClr w14:val="tx1"/>
            </w14:solidFill>
          </w14:textFill>
        </w:rPr>
        <w:t>年</w:t>
      </w:r>
      <w:r>
        <w:rPr>
          <w:rFonts w:hint="eastAsia"/>
          <w:color w:val="000000" w:themeColor="text1"/>
          <w:spacing w:val="-4"/>
          <w:lang w:val="en-US" w:eastAsia="zh-CN"/>
          <w14:textFill>
            <w14:solidFill>
              <w14:schemeClr w14:val="tx1"/>
            </w14:solidFill>
          </w14:textFill>
        </w:rPr>
        <w:t>12</w:t>
      </w:r>
      <w:r>
        <w:rPr>
          <w:rFonts w:hint="eastAsia"/>
          <w:color w:val="000000" w:themeColor="text1"/>
          <w:spacing w:val="-4"/>
          <w14:textFill>
            <w14:solidFill>
              <w14:schemeClr w14:val="tx1"/>
            </w14:solidFill>
          </w14:textFill>
        </w:rPr>
        <w:t>月3</w:t>
      </w:r>
      <w:r>
        <w:rPr>
          <w:color w:val="000000" w:themeColor="text1"/>
          <w:spacing w:val="-4"/>
          <w14:textFill>
            <w14:solidFill>
              <w14:schemeClr w14:val="tx1"/>
            </w14:solidFill>
          </w14:textFill>
        </w:rPr>
        <w:t>1</w:t>
      </w:r>
      <w:r>
        <w:rPr>
          <w:rFonts w:hint="eastAsia"/>
          <w:color w:val="000000" w:themeColor="text1"/>
          <w:spacing w:val="-4"/>
          <w14:textFill>
            <w14:solidFill>
              <w14:schemeClr w14:val="tx1"/>
            </w14:solidFill>
          </w14:textFill>
        </w:rPr>
        <w:t>日，总工期1</w:t>
      </w:r>
      <w:r>
        <w:rPr>
          <w:rFonts w:hint="eastAsia"/>
          <w:color w:val="000000" w:themeColor="text1"/>
          <w:spacing w:val="-4"/>
          <w:lang w:val="en-US" w:eastAsia="zh-CN"/>
          <w14:textFill>
            <w14:solidFill>
              <w14:schemeClr w14:val="tx1"/>
            </w14:solidFill>
          </w14:textFill>
        </w:rPr>
        <w:t>8</w:t>
      </w:r>
      <w:r>
        <w:rPr>
          <w:rFonts w:hint="eastAsia"/>
          <w:color w:val="000000" w:themeColor="text1"/>
          <w:spacing w:val="-4"/>
          <w14:textFill>
            <w14:solidFill>
              <w14:schemeClr w14:val="tx1"/>
            </w14:solidFill>
          </w14:textFill>
        </w:rPr>
        <w:t>个月。</w:t>
      </w:r>
    </w:p>
    <w:p w14:paraId="52930C21">
      <w:pPr>
        <w:ind w:firstLine="472"/>
        <w:rPr>
          <w:color w:val="000000" w:themeColor="text1"/>
          <w:spacing w:val="-4"/>
          <w14:textFill>
            <w14:solidFill>
              <w14:schemeClr w14:val="tx1"/>
            </w14:solidFill>
          </w14:textFill>
        </w:rPr>
      </w:pPr>
      <w:r>
        <w:rPr>
          <w:color w:val="000000" w:themeColor="text1"/>
          <w:spacing w:val="-4"/>
          <w14:textFill>
            <w14:solidFill>
              <w14:schemeClr w14:val="tx1"/>
            </w14:solidFill>
          </w14:textFill>
        </w:rPr>
        <w:t>拆迁安置：本工程不涉及移民拆迁安置工程。</w:t>
      </w:r>
    </w:p>
    <w:p w14:paraId="6E453B88">
      <w:pPr>
        <w:ind w:firstLine="480"/>
        <w:rPr>
          <w:color w:val="000000" w:themeColor="text1"/>
          <w:spacing w:val="-4"/>
          <w14:textFill>
            <w14:solidFill>
              <w14:schemeClr w14:val="tx1"/>
            </w14:solidFill>
          </w14:textFill>
        </w:rPr>
      </w:pPr>
      <w:r>
        <w:rPr>
          <w:color w:val="000000" w:themeColor="text1"/>
          <w14:textFill>
            <w14:solidFill>
              <w14:schemeClr w14:val="tx1"/>
            </w14:solidFill>
          </w14:textFill>
        </w:rPr>
        <w:t>项目投资：</w:t>
      </w:r>
      <w:r>
        <w:rPr>
          <w:rFonts w:hint="eastAsia"/>
          <w:color w:val="000000" w:themeColor="text1"/>
          <w:spacing w:val="-4"/>
          <w14:textFill>
            <w14:solidFill>
              <w14:schemeClr w14:val="tx1"/>
            </w14:solidFill>
          </w14:textFill>
        </w:rPr>
        <w:t>本项目动态总投资约20000.00万元，本项目工程费用为14164.34万元；工程建设其它费用4523.81万元；预备费用771.85万元；债券建设期利息540.00万元。建设项目的资金来源为业主自筹＋发行专项债券＋其他</w:t>
      </w:r>
      <w:r>
        <w:rPr>
          <w:color w:val="000000" w:themeColor="text1"/>
          <w14:textFill>
            <w14:solidFill>
              <w14:schemeClr w14:val="tx1"/>
            </w14:solidFill>
          </w14:textFill>
        </w:rPr>
        <w:t>。</w:t>
      </w:r>
    </w:p>
    <w:p w14:paraId="7109BFAC">
      <w:pPr>
        <w:ind w:firstLine="472"/>
        <w:rPr>
          <w:color w:val="000000" w:themeColor="text1"/>
          <w:spacing w:val="-4"/>
          <w14:textFill>
            <w14:solidFill>
              <w14:schemeClr w14:val="tx1"/>
            </w14:solidFill>
          </w14:textFill>
        </w:rPr>
      </w:pPr>
      <w:r>
        <w:rPr>
          <w:color w:val="000000" w:themeColor="text1"/>
          <w:spacing w:val="-4"/>
          <w14:textFill>
            <w14:solidFill>
              <w14:schemeClr w14:val="tx1"/>
            </w14:solidFill>
          </w14:textFill>
        </w:rPr>
        <w:t>取土（石、砂） 场数量：经现场调查及踏勘，项目不设专门的取土场</w:t>
      </w:r>
      <w:r>
        <w:rPr>
          <w:rFonts w:hint="eastAsia"/>
          <w:color w:val="000000" w:themeColor="text1"/>
          <w:spacing w:val="-4"/>
          <w14:textFill>
            <w14:solidFill>
              <w14:schemeClr w14:val="tx1"/>
            </w14:solidFill>
          </w14:textFill>
        </w:rPr>
        <w:t>。</w:t>
      </w:r>
    </w:p>
    <w:p w14:paraId="1E0B1FA6">
      <w:pPr>
        <w:ind w:firstLine="472"/>
        <w:rPr>
          <w:color w:val="000000" w:themeColor="text1"/>
          <w:spacing w:val="-4"/>
          <w14:textFill>
            <w14:solidFill>
              <w14:schemeClr w14:val="tx1"/>
            </w14:solidFill>
          </w14:textFill>
        </w:rPr>
      </w:pPr>
      <w:r>
        <w:rPr>
          <w:color w:val="000000" w:themeColor="text1"/>
          <w:spacing w:val="-4"/>
          <w14:textFill>
            <w14:solidFill>
              <w14:schemeClr w14:val="tx1"/>
            </w14:solidFill>
          </w14:textFill>
        </w:rPr>
        <w:t>弃土（渣）场数量：</w:t>
      </w:r>
      <w:r>
        <w:rPr>
          <w:rFonts w:hint="eastAsia"/>
          <w:color w:val="000000" w:themeColor="text1"/>
          <w:spacing w:val="-4"/>
          <w14:textFill>
            <w14:solidFill>
              <w14:schemeClr w14:val="tx1"/>
            </w14:solidFill>
          </w14:textFill>
        </w:rPr>
        <w:t>本项目不设置弃土场，减少了因弃渣场设置造成的占地和水土流失。</w:t>
      </w:r>
    </w:p>
    <w:p w14:paraId="2BC9E804">
      <w:pPr>
        <w:ind w:firstLine="472"/>
        <w:rPr>
          <w:color w:val="000000" w:themeColor="text1"/>
          <w14:textFill>
            <w14:solidFill>
              <w14:schemeClr w14:val="tx1"/>
            </w14:solidFill>
          </w14:textFill>
        </w:rPr>
      </w:pPr>
      <w:r>
        <w:rPr>
          <w:rFonts w:hint="eastAsia"/>
          <w:color w:val="000000" w:themeColor="text1"/>
          <w:spacing w:val="-4"/>
          <w14:textFill>
            <w14:solidFill>
              <w14:schemeClr w14:val="tx1"/>
            </w14:solidFill>
          </w14:textFill>
        </w:rPr>
        <w:t>工程特性表详见表2</w:t>
      </w:r>
      <w:r>
        <w:rPr>
          <w:color w:val="000000" w:themeColor="text1"/>
          <w:spacing w:val="-4"/>
          <w14:textFill>
            <w14:solidFill>
              <w14:schemeClr w14:val="tx1"/>
            </w14:solidFill>
          </w14:textFill>
        </w:rPr>
        <w:t>.1-</w:t>
      </w:r>
      <w:r>
        <w:rPr>
          <w:rFonts w:hint="eastAsia"/>
          <w:color w:val="000000" w:themeColor="text1"/>
          <w:spacing w:val="-4"/>
          <w14:textFill>
            <w14:solidFill>
              <w14:schemeClr w14:val="tx1"/>
            </w14:solidFill>
          </w14:textFill>
        </w:rPr>
        <w:t>1，综合技术经济指标表见2</w:t>
      </w:r>
      <w:r>
        <w:rPr>
          <w:color w:val="000000" w:themeColor="text1"/>
          <w:spacing w:val="-4"/>
          <w14:textFill>
            <w14:solidFill>
              <w14:schemeClr w14:val="tx1"/>
            </w14:solidFill>
          </w14:textFill>
        </w:rPr>
        <w:t>.1-2</w:t>
      </w:r>
      <w:r>
        <w:rPr>
          <w:rFonts w:hint="eastAsia"/>
          <w:color w:val="000000" w:themeColor="text1"/>
          <w:spacing w:val="-4"/>
          <w14:textFill>
            <w14:solidFill>
              <w14:schemeClr w14:val="tx1"/>
            </w14:solidFill>
          </w14:textFill>
        </w:rPr>
        <w:t>。</w:t>
      </w:r>
    </w:p>
    <w:bookmarkEnd w:id="68"/>
    <w:p w14:paraId="7BD6AA94">
      <w:pPr>
        <w:pStyle w:val="33"/>
        <w:jc w:val="center"/>
        <w:rPr>
          <w:color w:val="000000" w:themeColor="text1"/>
          <w14:textFill>
            <w14:solidFill>
              <w14:schemeClr w14:val="tx1"/>
            </w14:solidFill>
          </w14:textFill>
        </w:rPr>
      </w:pPr>
      <w:bookmarkStart w:id="69" w:name="_Hlk136440118"/>
      <w:r>
        <w:rPr>
          <w:rFonts w:hint="eastAsia"/>
          <w:color w:val="000000" w:themeColor="text1"/>
          <w14:textFill>
            <w14:solidFill>
              <w14:schemeClr w14:val="tx1"/>
            </w14:solidFill>
          </w14:textFill>
        </w:rPr>
        <w:t>表2.1-1                     工程特性表</w:t>
      </w:r>
    </w:p>
    <w:tbl>
      <w:tblPr>
        <w:tblStyle w:val="26"/>
        <w:tblW w:w="518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960"/>
        <w:gridCol w:w="99"/>
        <w:gridCol w:w="986"/>
        <w:gridCol w:w="1130"/>
        <w:gridCol w:w="66"/>
        <w:gridCol w:w="1014"/>
        <w:gridCol w:w="749"/>
        <w:gridCol w:w="336"/>
        <w:gridCol w:w="754"/>
        <w:gridCol w:w="754"/>
        <w:gridCol w:w="803"/>
      </w:tblGrid>
      <w:tr w14:paraId="3E52BC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1"/>
            <w:tcBorders>
              <w:tl2br w:val="nil"/>
              <w:tr2bl w:val="nil"/>
            </w:tcBorders>
            <w:vAlign w:val="center"/>
          </w:tcPr>
          <w:p w14:paraId="755AFAC1">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一、项目特性</w:t>
            </w:r>
          </w:p>
        </w:tc>
      </w:tr>
      <w:tr w14:paraId="6D2ADF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070B7ECC">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工程名称</w:t>
            </w:r>
          </w:p>
        </w:tc>
        <w:tc>
          <w:tcPr>
            <w:tcW w:w="3866" w:type="pct"/>
            <w:gridSpan w:val="10"/>
            <w:tcBorders>
              <w:tl2br w:val="nil"/>
              <w:tr2bl w:val="nil"/>
            </w:tcBorders>
            <w:vAlign w:val="center"/>
          </w:tcPr>
          <w:p w14:paraId="5F0C1267">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高新区兆辉新能源工业园及基础设施配套项目（二期）</w:t>
            </w:r>
          </w:p>
        </w:tc>
      </w:tr>
      <w:tr w14:paraId="0AB857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20C907B3">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建设地点</w:t>
            </w:r>
          </w:p>
        </w:tc>
        <w:tc>
          <w:tcPr>
            <w:tcW w:w="1280" w:type="pct"/>
            <w:gridSpan w:val="3"/>
            <w:tcBorders>
              <w:tl2br w:val="nil"/>
              <w:tr2bl w:val="nil"/>
            </w:tcBorders>
            <w:vAlign w:val="center"/>
          </w:tcPr>
          <w:p w14:paraId="5B3927FB">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绵阳市高新区永兴镇，科技城大道南段南侧</w:t>
            </w:r>
          </w:p>
        </w:tc>
        <w:tc>
          <w:tcPr>
            <w:tcW w:w="1057" w:type="pct"/>
            <w:gridSpan w:val="3"/>
            <w:tcBorders>
              <w:tl2br w:val="nil"/>
              <w:tr2bl w:val="nil"/>
            </w:tcBorders>
            <w:vAlign w:val="center"/>
          </w:tcPr>
          <w:p w14:paraId="3ABFACBD">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所属流域</w:t>
            </w:r>
          </w:p>
        </w:tc>
        <w:tc>
          <w:tcPr>
            <w:tcW w:w="1528" w:type="pct"/>
            <w:gridSpan w:val="4"/>
            <w:tcBorders>
              <w:tl2br w:val="nil"/>
              <w:tr2bl w:val="nil"/>
            </w:tcBorders>
            <w:vAlign w:val="center"/>
          </w:tcPr>
          <w:p w14:paraId="66529F5B">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长江流域</w:t>
            </w:r>
          </w:p>
        </w:tc>
      </w:tr>
      <w:tr w14:paraId="3569E9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5D12E2B6">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工程性质</w:t>
            </w:r>
          </w:p>
        </w:tc>
        <w:tc>
          <w:tcPr>
            <w:tcW w:w="1280" w:type="pct"/>
            <w:gridSpan w:val="3"/>
            <w:tcBorders>
              <w:tl2br w:val="nil"/>
              <w:tr2bl w:val="nil"/>
            </w:tcBorders>
            <w:vAlign w:val="center"/>
          </w:tcPr>
          <w:p w14:paraId="38904D5D">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新建，建设类项目</w:t>
            </w:r>
          </w:p>
        </w:tc>
        <w:tc>
          <w:tcPr>
            <w:tcW w:w="1057" w:type="pct"/>
            <w:gridSpan w:val="3"/>
            <w:tcBorders>
              <w:tl2br w:val="nil"/>
              <w:tr2bl w:val="nil"/>
            </w:tcBorders>
            <w:vAlign w:val="center"/>
          </w:tcPr>
          <w:p w14:paraId="12F4BC2F">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建设单位</w:t>
            </w:r>
          </w:p>
        </w:tc>
        <w:tc>
          <w:tcPr>
            <w:tcW w:w="1528" w:type="pct"/>
            <w:gridSpan w:val="4"/>
            <w:tcBorders>
              <w:tl2br w:val="nil"/>
              <w:tr2bl w:val="nil"/>
            </w:tcBorders>
            <w:vAlign w:val="center"/>
          </w:tcPr>
          <w:p w14:paraId="51E410EB">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绵阳兆辉投资有限公司</w:t>
            </w:r>
          </w:p>
        </w:tc>
      </w:tr>
      <w:tr w14:paraId="28CF6D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3B3F174A">
            <w:pPr>
              <w:pStyle w:val="34"/>
              <w:rPr>
                <w:color w:val="000000" w:themeColor="text1"/>
                <w:sz w:val="21"/>
                <w14:textFill>
                  <w14:solidFill>
                    <w14:schemeClr w14:val="tx1"/>
                  </w14:solidFill>
                </w14:textFill>
              </w:rPr>
            </w:pPr>
            <w:r>
              <w:rPr>
                <w:rFonts w:hint="eastAsia"/>
                <w:color w:val="000000" w:themeColor="text1"/>
                <w:spacing w:val="-4"/>
                <w:sz w:val="21"/>
                <w14:textFill>
                  <w14:solidFill>
                    <w14:schemeClr w14:val="tx1"/>
                  </w14:solidFill>
                </w14:textFill>
              </w:rPr>
              <w:t>总投资</w:t>
            </w:r>
          </w:p>
        </w:tc>
        <w:tc>
          <w:tcPr>
            <w:tcW w:w="1280" w:type="pct"/>
            <w:gridSpan w:val="3"/>
            <w:tcBorders>
              <w:tl2br w:val="nil"/>
              <w:tr2bl w:val="nil"/>
            </w:tcBorders>
            <w:vAlign w:val="center"/>
          </w:tcPr>
          <w:p w14:paraId="7E6D3996">
            <w:pPr>
              <w:pStyle w:val="34"/>
              <w:rPr>
                <w:color w:val="000000" w:themeColor="text1"/>
                <w:sz w:val="21"/>
                <w14:textFill>
                  <w14:solidFill>
                    <w14:schemeClr w14:val="tx1"/>
                  </w14:solidFill>
                </w14:textFill>
              </w:rPr>
            </w:pPr>
            <w:r>
              <w:rPr>
                <w:rFonts w:hint="eastAsia"/>
                <w:color w:val="000000" w:themeColor="text1"/>
                <w:spacing w:val="-4"/>
                <w:sz w:val="21"/>
                <w14:textFill>
                  <w14:solidFill>
                    <w14:schemeClr w14:val="tx1"/>
                  </w14:solidFill>
                </w14:textFill>
              </w:rPr>
              <w:t>20000.00万元</w:t>
            </w:r>
          </w:p>
        </w:tc>
        <w:tc>
          <w:tcPr>
            <w:tcW w:w="1057" w:type="pct"/>
            <w:gridSpan w:val="3"/>
            <w:tcBorders>
              <w:tl2br w:val="nil"/>
              <w:tr2bl w:val="nil"/>
            </w:tcBorders>
            <w:vAlign w:val="center"/>
          </w:tcPr>
          <w:p w14:paraId="3F47292D">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土建投资</w:t>
            </w:r>
          </w:p>
        </w:tc>
        <w:tc>
          <w:tcPr>
            <w:tcW w:w="1528" w:type="pct"/>
            <w:gridSpan w:val="4"/>
            <w:tcBorders>
              <w:tl2br w:val="nil"/>
              <w:tr2bl w:val="nil"/>
            </w:tcBorders>
            <w:vAlign w:val="center"/>
          </w:tcPr>
          <w:p w14:paraId="28037C97">
            <w:pPr>
              <w:pStyle w:val="34"/>
              <w:rPr>
                <w:color w:val="000000" w:themeColor="text1"/>
                <w:sz w:val="21"/>
                <w14:textFill>
                  <w14:solidFill>
                    <w14:schemeClr w14:val="tx1"/>
                  </w14:solidFill>
                </w14:textFill>
              </w:rPr>
            </w:pPr>
            <w:r>
              <w:rPr>
                <w:rFonts w:hint="eastAsia"/>
                <w:color w:val="000000" w:themeColor="text1"/>
                <w:spacing w:val="-4"/>
                <w:sz w:val="21"/>
                <w14:textFill>
                  <w14:solidFill>
                    <w14:schemeClr w14:val="tx1"/>
                  </w14:solidFill>
                </w14:textFill>
              </w:rPr>
              <w:t>14164.34万元</w:t>
            </w:r>
          </w:p>
        </w:tc>
      </w:tr>
      <w:tr w14:paraId="3B8517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389AF870">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建设规模</w:t>
            </w:r>
          </w:p>
        </w:tc>
        <w:tc>
          <w:tcPr>
            <w:tcW w:w="3866" w:type="pct"/>
            <w:gridSpan w:val="10"/>
            <w:tcBorders>
              <w:tl2br w:val="nil"/>
              <w:tr2bl w:val="nil"/>
            </w:tcBorders>
            <w:vAlign w:val="center"/>
          </w:tcPr>
          <w:p w14:paraId="2C39ABEB">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本项目总建筑面积为42257.55平方米，本项目占地面积为36123.59平方米，其中一期已建成项目主要为生产厂房10824.54平方米及服务配套工程9237.45平方米，二期建设项目主要新建22195.56平方米的生产厂房及室内外附属配套工程。</w:t>
            </w:r>
          </w:p>
        </w:tc>
      </w:tr>
      <w:tr w14:paraId="5B2B40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1"/>
            <w:tcBorders>
              <w:tl2br w:val="nil"/>
              <w:tr2bl w:val="nil"/>
            </w:tcBorders>
            <w:vAlign w:val="center"/>
          </w:tcPr>
          <w:p w14:paraId="7BF40330">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二、项目组成及工程占地</w:t>
            </w:r>
          </w:p>
        </w:tc>
      </w:tr>
      <w:tr w14:paraId="0417BB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90" w:type="pct"/>
            <w:gridSpan w:val="2"/>
            <w:vMerge w:val="restart"/>
            <w:tcBorders>
              <w:tl2br w:val="nil"/>
              <w:tr2bl w:val="nil"/>
            </w:tcBorders>
            <w:vAlign w:val="center"/>
          </w:tcPr>
          <w:p w14:paraId="255DDB09">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项目组成</w:t>
            </w:r>
          </w:p>
        </w:tc>
        <w:tc>
          <w:tcPr>
            <w:tcW w:w="2474" w:type="pct"/>
            <w:gridSpan w:val="6"/>
            <w:vMerge w:val="restart"/>
            <w:tcBorders>
              <w:tl2br w:val="nil"/>
              <w:tr2bl w:val="nil"/>
            </w:tcBorders>
            <w:vAlign w:val="center"/>
          </w:tcPr>
          <w:p w14:paraId="1CA8B11A">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建设项目</w:t>
            </w:r>
          </w:p>
        </w:tc>
        <w:tc>
          <w:tcPr>
            <w:tcW w:w="1335" w:type="pct"/>
            <w:gridSpan w:val="3"/>
            <w:tcBorders>
              <w:tl2br w:val="nil"/>
              <w:tr2bl w:val="nil"/>
            </w:tcBorders>
            <w:vAlign w:val="center"/>
          </w:tcPr>
          <w:p w14:paraId="0E9EFB34">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占地面积（</w:t>
            </w:r>
            <w:r>
              <w:rPr>
                <w:color w:val="000000" w:themeColor="text1"/>
                <w:sz w:val="21"/>
                <w14:textFill>
                  <w14:solidFill>
                    <w14:schemeClr w14:val="tx1"/>
                  </w14:solidFill>
                </w14:textFill>
              </w:rPr>
              <w:t>hm</w:t>
            </w:r>
            <w:r>
              <w:rPr>
                <w:color w:val="000000" w:themeColor="text1"/>
                <w:sz w:val="21"/>
                <w:vertAlign w:val="superscript"/>
                <w14:textFill>
                  <w14:solidFill>
                    <w14:schemeClr w14:val="tx1"/>
                  </w14:solidFill>
                </w14:textFill>
              </w:rPr>
              <w:t>2</w:t>
            </w:r>
            <w:r>
              <w:rPr>
                <w:rFonts w:hint="eastAsia"/>
                <w:color w:val="000000" w:themeColor="text1"/>
                <w:sz w:val="21"/>
                <w14:textFill>
                  <w14:solidFill>
                    <w14:schemeClr w14:val="tx1"/>
                  </w14:solidFill>
                </w14:textFill>
              </w:rPr>
              <w:t>）</w:t>
            </w:r>
          </w:p>
        </w:tc>
      </w:tr>
      <w:tr w14:paraId="0B971D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90" w:type="pct"/>
            <w:gridSpan w:val="2"/>
            <w:vMerge w:val="continue"/>
            <w:tcBorders>
              <w:tl2br w:val="nil"/>
              <w:tr2bl w:val="nil"/>
            </w:tcBorders>
            <w:vAlign w:val="center"/>
          </w:tcPr>
          <w:p w14:paraId="1D87C81F">
            <w:pPr>
              <w:pStyle w:val="34"/>
              <w:rPr>
                <w:color w:val="000000" w:themeColor="text1"/>
                <w:sz w:val="21"/>
                <w14:textFill>
                  <w14:solidFill>
                    <w14:schemeClr w14:val="tx1"/>
                  </w14:solidFill>
                </w14:textFill>
              </w:rPr>
            </w:pPr>
          </w:p>
        </w:tc>
        <w:tc>
          <w:tcPr>
            <w:tcW w:w="2474" w:type="pct"/>
            <w:gridSpan w:val="6"/>
            <w:vMerge w:val="continue"/>
            <w:tcBorders>
              <w:tl2br w:val="nil"/>
              <w:tr2bl w:val="nil"/>
            </w:tcBorders>
            <w:vAlign w:val="center"/>
          </w:tcPr>
          <w:p w14:paraId="7D1512CB">
            <w:pPr>
              <w:pStyle w:val="34"/>
              <w:rPr>
                <w:color w:val="000000" w:themeColor="text1"/>
                <w:sz w:val="21"/>
                <w14:textFill>
                  <w14:solidFill>
                    <w14:schemeClr w14:val="tx1"/>
                  </w14:solidFill>
                </w14:textFill>
              </w:rPr>
            </w:pPr>
          </w:p>
        </w:tc>
        <w:tc>
          <w:tcPr>
            <w:tcW w:w="436" w:type="pct"/>
            <w:tcBorders>
              <w:tl2br w:val="nil"/>
              <w:tr2bl w:val="nil"/>
            </w:tcBorders>
            <w:vAlign w:val="center"/>
          </w:tcPr>
          <w:p w14:paraId="2C7EE52A">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永久占地</w:t>
            </w:r>
          </w:p>
        </w:tc>
        <w:tc>
          <w:tcPr>
            <w:tcW w:w="436" w:type="pct"/>
            <w:tcBorders>
              <w:tl2br w:val="nil"/>
              <w:tr2bl w:val="nil"/>
            </w:tcBorders>
            <w:vAlign w:val="center"/>
          </w:tcPr>
          <w:p w14:paraId="1B2A59FF">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临时占地</w:t>
            </w:r>
          </w:p>
        </w:tc>
        <w:tc>
          <w:tcPr>
            <w:tcW w:w="461" w:type="pct"/>
            <w:tcBorders>
              <w:tl2br w:val="nil"/>
              <w:tr2bl w:val="nil"/>
            </w:tcBorders>
            <w:vAlign w:val="center"/>
          </w:tcPr>
          <w:p w14:paraId="42CB4807">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合计</w:t>
            </w:r>
          </w:p>
        </w:tc>
      </w:tr>
      <w:tr w14:paraId="24DFAF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90" w:type="pct"/>
            <w:gridSpan w:val="2"/>
            <w:tcBorders>
              <w:tl2br w:val="nil"/>
              <w:tr2bl w:val="nil"/>
            </w:tcBorders>
            <w:vAlign w:val="center"/>
          </w:tcPr>
          <w:p w14:paraId="3F5FBCA2">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地下工程区</w:t>
            </w:r>
          </w:p>
        </w:tc>
        <w:tc>
          <w:tcPr>
            <w:tcW w:w="2474" w:type="pct"/>
            <w:gridSpan w:val="6"/>
            <w:tcBorders>
              <w:tl2br w:val="nil"/>
              <w:tr2bl w:val="nil"/>
            </w:tcBorders>
            <w:vAlign w:val="center"/>
          </w:tcPr>
          <w:p w14:paraId="56D4674B">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配套设备用房</w:t>
            </w:r>
          </w:p>
        </w:tc>
        <w:tc>
          <w:tcPr>
            <w:tcW w:w="436" w:type="pct"/>
            <w:tcBorders>
              <w:tl2br w:val="nil"/>
              <w:tr2bl w:val="nil"/>
            </w:tcBorders>
            <w:vAlign w:val="center"/>
          </w:tcPr>
          <w:p w14:paraId="2D8B9D49">
            <w:pPr>
              <w:pStyle w:val="34"/>
              <w:rPr>
                <w:color w:val="000000" w:themeColor="text1"/>
                <w:sz w:val="21"/>
                <w14:textFill>
                  <w14:solidFill>
                    <w14:schemeClr w14:val="tx1"/>
                  </w14:solidFill>
                </w14:textFill>
              </w:rPr>
            </w:pPr>
          </w:p>
        </w:tc>
        <w:tc>
          <w:tcPr>
            <w:tcW w:w="436" w:type="pct"/>
            <w:tcBorders>
              <w:tl2br w:val="nil"/>
              <w:tr2bl w:val="nil"/>
            </w:tcBorders>
            <w:vAlign w:val="center"/>
          </w:tcPr>
          <w:p w14:paraId="601DC8B8">
            <w:pPr>
              <w:pStyle w:val="34"/>
              <w:rPr>
                <w:color w:val="000000" w:themeColor="text1"/>
                <w:sz w:val="21"/>
                <w14:textFill>
                  <w14:solidFill>
                    <w14:schemeClr w14:val="tx1"/>
                  </w14:solidFill>
                </w14:textFill>
              </w:rPr>
            </w:pPr>
            <w:r>
              <w:rPr>
                <w:rFonts w:hint="eastAsia" w:cs="Times New Roman"/>
                <w:color w:val="000000" w:themeColor="text1"/>
                <w:spacing w:val="-1"/>
                <w:sz w:val="21"/>
                <w14:textFill>
                  <w14:solidFill>
                    <w14:schemeClr w14:val="tx1"/>
                  </w14:solidFill>
                </w14:textFill>
              </w:rPr>
              <w:t>0.44</w:t>
            </w:r>
            <w:r>
              <w:rPr>
                <w:rFonts w:cs="Times New Roman"/>
                <w:color w:val="000000" w:themeColor="text1"/>
                <w:spacing w:val="-1"/>
                <w:sz w:val="21"/>
                <w14:textFill>
                  <w14:solidFill>
                    <w14:schemeClr w14:val="tx1"/>
                  </w14:solidFill>
                </w14:textFill>
              </w:rPr>
              <w:t>*</w:t>
            </w:r>
          </w:p>
        </w:tc>
        <w:tc>
          <w:tcPr>
            <w:tcW w:w="461" w:type="pct"/>
            <w:tcBorders>
              <w:tl2br w:val="nil"/>
              <w:tr2bl w:val="nil"/>
            </w:tcBorders>
            <w:vAlign w:val="center"/>
          </w:tcPr>
          <w:p w14:paraId="71AA1475">
            <w:pPr>
              <w:pStyle w:val="34"/>
              <w:rPr>
                <w:color w:val="000000" w:themeColor="text1"/>
                <w:sz w:val="21"/>
                <w14:textFill>
                  <w14:solidFill>
                    <w14:schemeClr w14:val="tx1"/>
                  </w14:solidFill>
                </w14:textFill>
              </w:rPr>
            </w:pPr>
          </w:p>
        </w:tc>
      </w:tr>
      <w:tr w14:paraId="6EFD1C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90" w:type="pct"/>
            <w:gridSpan w:val="2"/>
            <w:tcBorders>
              <w:tl2br w:val="nil"/>
              <w:tr2bl w:val="nil"/>
            </w:tcBorders>
            <w:vAlign w:val="center"/>
          </w:tcPr>
          <w:p w14:paraId="3461BFAE">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建构筑物工程区</w:t>
            </w:r>
          </w:p>
        </w:tc>
        <w:tc>
          <w:tcPr>
            <w:tcW w:w="2474" w:type="pct"/>
            <w:gridSpan w:val="6"/>
            <w:tcBorders>
              <w:tl2br w:val="nil"/>
              <w:tr2bl w:val="nil"/>
            </w:tcBorders>
            <w:vAlign w:val="center"/>
          </w:tcPr>
          <w:p w14:paraId="25034A48">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生产厂房、倒班房、食堂</w:t>
            </w:r>
          </w:p>
        </w:tc>
        <w:tc>
          <w:tcPr>
            <w:tcW w:w="436" w:type="pct"/>
            <w:tcBorders>
              <w:tl2br w:val="nil"/>
              <w:tr2bl w:val="nil"/>
            </w:tcBorders>
            <w:vAlign w:val="center"/>
          </w:tcPr>
          <w:p w14:paraId="0A457E5B">
            <w:pPr>
              <w:pStyle w:val="34"/>
              <w:rPr>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0.45</w:t>
            </w:r>
          </w:p>
        </w:tc>
        <w:tc>
          <w:tcPr>
            <w:tcW w:w="436" w:type="pct"/>
            <w:tcBorders>
              <w:tl2br w:val="nil"/>
              <w:tr2bl w:val="nil"/>
            </w:tcBorders>
            <w:vAlign w:val="center"/>
          </w:tcPr>
          <w:p w14:paraId="270D2680">
            <w:pPr>
              <w:pStyle w:val="34"/>
              <w:rPr>
                <w:color w:val="000000" w:themeColor="text1"/>
                <w:sz w:val="21"/>
                <w14:textFill>
                  <w14:solidFill>
                    <w14:schemeClr w14:val="tx1"/>
                  </w14:solidFill>
                </w14:textFill>
              </w:rPr>
            </w:pPr>
          </w:p>
        </w:tc>
        <w:tc>
          <w:tcPr>
            <w:tcW w:w="461" w:type="pct"/>
            <w:tcBorders>
              <w:tl2br w:val="nil"/>
              <w:tr2bl w:val="nil"/>
            </w:tcBorders>
            <w:vAlign w:val="center"/>
          </w:tcPr>
          <w:p w14:paraId="3E8AD43E">
            <w:pPr>
              <w:pStyle w:val="34"/>
              <w:rPr>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0.45</w:t>
            </w:r>
          </w:p>
        </w:tc>
      </w:tr>
      <w:tr w14:paraId="422ED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90" w:type="pct"/>
            <w:gridSpan w:val="2"/>
            <w:tcBorders>
              <w:tl2br w:val="nil"/>
              <w:tr2bl w:val="nil"/>
            </w:tcBorders>
            <w:vAlign w:val="center"/>
          </w:tcPr>
          <w:p w14:paraId="7F4A7D3E">
            <w:pPr>
              <w:pStyle w:val="34"/>
              <w:rPr>
                <w:color w:val="000000" w:themeColor="text1"/>
                <w:sz w:val="21"/>
                <w14:textFill>
                  <w14:solidFill>
                    <w14:schemeClr w14:val="tx1"/>
                  </w14:solidFill>
                </w14:textFill>
              </w:rPr>
            </w:pPr>
            <w:r>
              <w:rPr>
                <w:rFonts w:hint="eastAsia" w:ascii="仿宋_GB2312"/>
                <w:color w:val="000000" w:themeColor="text1"/>
                <w:sz w:val="21"/>
                <w14:textFill>
                  <w14:solidFill>
                    <w14:schemeClr w14:val="tx1"/>
                  </w14:solidFill>
                </w14:textFill>
              </w:rPr>
              <w:t>场内道路广场及硬化工程区</w:t>
            </w:r>
          </w:p>
        </w:tc>
        <w:tc>
          <w:tcPr>
            <w:tcW w:w="2474" w:type="pct"/>
            <w:gridSpan w:val="6"/>
            <w:tcBorders>
              <w:tl2br w:val="nil"/>
              <w:tr2bl w:val="nil"/>
            </w:tcBorders>
            <w:vAlign w:val="center"/>
          </w:tcPr>
          <w:p w14:paraId="67B39DB2">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场内硬化道路、停车区及其他硬化区</w:t>
            </w:r>
          </w:p>
        </w:tc>
        <w:tc>
          <w:tcPr>
            <w:tcW w:w="436" w:type="pct"/>
            <w:tcBorders>
              <w:tl2br w:val="nil"/>
              <w:tr2bl w:val="nil"/>
            </w:tcBorders>
            <w:vAlign w:val="center"/>
          </w:tcPr>
          <w:p w14:paraId="70B59E56">
            <w:pPr>
              <w:pStyle w:val="34"/>
              <w:rPr>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0.38</w:t>
            </w:r>
          </w:p>
        </w:tc>
        <w:tc>
          <w:tcPr>
            <w:tcW w:w="436" w:type="pct"/>
            <w:tcBorders>
              <w:tl2br w:val="nil"/>
              <w:tr2bl w:val="nil"/>
            </w:tcBorders>
            <w:vAlign w:val="center"/>
          </w:tcPr>
          <w:p w14:paraId="02883FEF">
            <w:pPr>
              <w:pStyle w:val="34"/>
              <w:rPr>
                <w:color w:val="000000" w:themeColor="text1"/>
                <w:sz w:val="21"/>
                <w14:textFill>
                  <w14:solidFill>
                    <w14:schemeClr w14:val="tx1"/>
                  </w14:solidFill>
                </w14:textFill>
              </w:rPr>
            </w:pPr>
          </w:p>
        </w:tc>
        <w:tc>
          <w:tcPr>
            <w:tcW w:w="461" w:type="pct"/>
            <w:tcBorders>
              <w:tl2br w:val="nil"/>
              <w:tr2bl w:val="nil"/>
            </w:tcBorders>
            <w:vAlign w:val="center"/>
          </w:tcPr>
          <w:p w14:paraId="40095C83">
            <w:pPr>
              <w:pStyle w:val="34"/>
              <w:rPr>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0.38</w:t>
            </w:r>
          </w:p>
        </w:tc>
      </w:tr>
      <w:tr w14:paraId="16EA40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90" w:type="pct"/>
            <w:gridSpan w:val="2"/>
            <w:tcBorders>
              <w:tl2br w:val="nil"/>
              <w:tr2bl w:val="nil"/>
            </w:tcBorders>
            <w:vAlign w:val="center"/>
          </w:tcPr>
          <w:p w14:paraId="1A520815">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景观绿化工程区</w:t>
            </w:r>
          </w:p>
        </w:tc>
        <w:tc>
          <w:tcPr>
            <w:tcW w:w="2474" w:type="pct"/>
            <w:gridSpan w:val="6"/>
            <w:tcBorders>
              <w:tl2br w:val="nil"/>
              <w:tr2bl w:val="nil"/>
            </w:tcBorders>
            <w:vAlign w:val="center"/>
          </w:tcPr>
          <w:p w14:paraId="580CC334">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场内集中绿化</w:t>
            </w:r>
          </w:p>
        </w:tc>
        <w:tc>
          <w:tcPr>
            <w:tcW w:w="436" w:type="pct"/>
            <w:tcBorders>
              <w:tl2br w:val="nil"/>
              <w:tr2bl w:val="nil"/>
            </w:tcBorders>
            <w:vAlign w:val="center"/>
          </w:tcPr>
          <w:p w14:paraId="7CA976DB">
            <w:pPr>
              <w:pStyle w:val="34"/>
              <w:rPr>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0.12</w:t>
            </w:r>
          </w:p>
        </w:tc>
        <w:tc>
          <w:tcPr>
            <w:tcW w:w="436" w:type="pct"/>
            <w:tcBorders>
              <w:tl2br w:val="nil"/>
              <w:tr2bl w:val="nil"/>
            </w:tcBorders>
            <w:vAlign w:val="center"/>
          </w:tcPr>
          <w:p w14:paraId="0C41AF04">
            <w:pPr>
              <w:pStyle w:val="34"/>
              <w:rPr>
                <w:color w:val="000000" w:themeColor="text1"/>
                <w:sz w:val="21"/>
                <w14:textFill>
                  <w14:solidFill>
                    <w14:schemeClr w14:val="tx1"/>
                  </w14:solidFill>
                </w14:textFill>
              </w:rPr>
            </w:pPr>
          </w:p>
        </w:tc>
        <w:tc>
          <w:tcPr>
            <w:tcW w:w="461" w:type="pct"/>
            <w:tcBorders>
              <w:tl2br w:val="nil"/>
              <w:tr2bl w:val="nil"/>
            </w:tcBorders>
            <w:vAlign w:val="center"/>
          </w:tcPr>
          <w:p w14:paraId="4EE3DEE1">
            <w:pPr>
              <w:pStyle w:val="34"/>
              <w:rPr>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0.12</w:t>
            </w:r>
          </w:p>
        </w:tc>
      </w:tr>
      <w:tr w14:paraId="498BA4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664" w:type="pct"/>
            <w:gridSpan w:val="8"/>
            <w:tcBorders>
              <w:tl2br w:val="nil"/>
              <w:tr2bl w:val="nil"/>
            </w:tcBorders>
            <w:vAlign w:val="center"/>
          </w:tcPr>
          <w:p w14:paraId="33CA4A46">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合计</w:t>
            </w:r>
          </w:p>
        </w:tc>
        <w:tc>
          <w:tcPr>
            <w:tcW w:w="436" w:type="pct"/>
            <w:tcBorders>
              <w:tl2br w:val="nil"/>
              <w:tr2bl w:val="nil"/>
            </w:tcBorders>
            <w:vAlign w:val="center"/>
          </w:tcPr>
          <w:p w14:paraId="72902868">
            <w:pPr>
              <w:pStyle w:val="34"/>
              <w:rPr>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0.95</w:t>
            </w:r>
          </w:p>
        </w:tc>
        <w:tc>
          <w:tcPr>
            <w:tcW w:w="436" w:type="pct"/>
            <w:tcBorders>
              <w:tl2br w:val="nil"/>
              <w:tr2bl w:val="nil"/>
            </w:tcBorders>
            <w:vAlign w:val="center"/>
          </w:tcPr>
          <w:p w14:paraId="1F6B1AD7">
            <w:pPr>
              <w:pStyle w:val="34"/>
              <w:rPr>
                <w:color w:val="000000" w:themeColor="text1"/>
                <w:sz w:val="21"/>
                <w14:textFill>
                  <w14:solidFill>
                    <w14:schemeClr w14:val="tx1"/>
                  </w14:solidFill>
                </w14:textFill>
              </w:rPr>
            </w:pPr>
          </w:p>
        </w:tc>
        <w:tc>
          <w:tcPr>
            <w:tcW w:w="461" w:type="pct"/>
            <w:tcBorders>
              <w:tl2br w:val="nil"/>
              <w:tr2bl w:val="nil"/>
            </w:tcBorders>
            <w:vAlign w:val="center"/>
          </w:tcPr>
          <w:p w14:paraId="6AF163B9">
            <w:pPr>
              <w:pStyle w:val="34"/>
              <w:rPr>
                <w:color w:val="000000" w:themeColor="text1"/>
                <w:sz w:val="21"/>
                <w14:textFill>
                  <w14:solidFill>
                    <w14:schemeClr w14:val="tx1"/>
                  </w14:solidFill>
                </w14:textFill>
              </w:rPr>
            </w:pPr>
            <w:r>
              <w:rPr>
                <w:rFonts w:hint="eastAsia" w:cs="Times New Roman"/>
                <w:color w:val="000000" w:themeColor="text1"/>
                <w:sz w:val="21"/>
                <w14:textFill>
                  <w14:solidFill>
                    <w14:schemeClr w14:val="tx1"/>
                  </w14:solidFill>
                </w14:textFill>
              </w:rPr>
              <w:t>0.95</w:t>
            </w:r>
          </w:p>
        </w:tc>
      </w:tr>
      <w:tr w14:paraId="2A4128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11"/>
            <w:tcBorders>
              <w:tl2br w:val="nil"/>
              <w:tr2bl w:val="nil"/>
            </w:tcBorders>
            <w:vAlign w:val="center"/>
          </w:tcPr>
          <w:p w14:paraId="0D26F2E6">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三、项目土石方工程量（万</w:t>
            </w:r>
            <w:r>
              <w:rPr>
                <w:color w:val="000000" w:themeColor="text1"/>
                <w:sz w:val="21"/>
                <w14:textFill>
                  <w14:solidFill>
                    <w14:schemeClr w14:val="tx1"/>
                  </w14:solidFill>
                </w14:textFill>
              </w:rPr>
              <w:t>m</w:t>
            </w:r>
            <w:r>
              <w:rPr>
                <w:color w:val="000000" w:themeColor="text1"/>
                <w:sz w:val="21"/>
                <w:vertAlign w:val="superscript"/>
                <w14:textFill>
                  <w14:solidFill>
                    <w14:schemeClr w14:val="tx1"/>
                  </w14:solidFill>
                </w14:textFill>
              </w:rPr>
              <w:t>3</w:t>
            </w:r>
            <w:r>
              <w:rPr>
                <w:rFonts w:hint="eastAsia"/>
                <w:color w:val="000000" w:themeColor="text1"/>
                <w:sz w:val="21"/>
                <w14:textFill>
                  <w14:solidFill>
                    <w14:schemeClr w14:val="tx1"/>
                  </w14:solidFill>
                </w14:textFill>
              </w:rPr>
              <w:t>）（自然方）</w:t>
            </w:r>
          </w:p>
        </w:tc>
      </w:tr>
      <w:tr w14:paraId="79196A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20ADA49A">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项目组成</w:t>
            </w:r>
          </w:p>
        </w:tc>
        <w:tc>
          <w:tcPr>
            <w:tcW w:w="627" w:type="pct"/>
            <w:gridSpan w:val="2"/>
            <w:tcBorders>
              <w:tl2br w:val="nil"/>
              <w:tr2bl w:val="nil"/>
            </w:tcBorders>
            <w:vAlign w:val="center"/>
          </w:tcPr>
          <w:p w14:paraId="40907246">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挖方</w:t>
            </w:r>
          </w:p>
        </w:tc>
        <w:tc>
          <w:tcPr>
            <w:tcW w:w="691" w:type="pct"/>
            <w:gridSpan w:val="2"/>
            <w:tcBorders>
              <w:tl2br w:val="nil"/>
              <w:tr2bl w:val="nil"/>
            </w:tcBorders>
            <w:vAlign w:val="center"/>
          </w:tcPr>
          <w:p w14:paraId="007CC877">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填方</w:t>
            </w:r>
          </w:p>
        </w:tc>
        <w:tc>
          <w:tcPr>
            <w:tcW w:w="586" w:type="pct"/>
            <w:tcBorders>
              <w:tl2br w:val="nil"/>
              <w:tr2bl w:val="nil"/>
            </w:tcBorders>
            <w:vAlign w:val="center"/>
          </w:tcPr>
          <w:p w14:paraId="4E233953">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借方</w:t>
            </w:r>
          </w:p>
        </w:tc>
        <w:tc>
          <w:tcPr>
            <w:tcW w:w="624" w:type="pct"/>
            <w:gridSpan w:val="2"/>
            <w:tcBorders>
              <w:tl2br w:val="nil"/>
              <w:tr2bl w:val="nil"/>
            </w:tcBorders>
            <w:vAlign w:val="center"/>
          </w:tcPr>
          <w:p w14:paraId="385AF28E">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余方</w:t>
            </w:r>
          </w:p>
        </w:tc>
        <w:tc>
          <w:tcPr>
            <w:tcW w:w="1335" w:type="pct"/>
            <w:gridSpan w:val="3"/>
            <w:tcBorders>
              <w:tl2br w:val="nil"/>
              <w:tr2bl w:val="nil"/>
            </w:tcBorders>
            <w:vAlign w:val="center"/>
          </w:tcPr>
          <w:p w14:paraId="141808E1">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备注</w:t>
            </w:r>
          </w:p>
        </w:tc>
      </w:tr>
      <w:tr w14:paraId="12C2A9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5F1DEE2C">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地下建筑</w:t>
            </w:r>
          </w:p>
        </w:tc>
        <w:tc>
          <w:tcPr>
            <w:tcW w:w="627" w:type="pct"/>
            <w:gridSpan w:val="2"/>
            <w:tcBorders>
              <w:tl2br w:val="nil"/>
              <w:tr2bl w:val="nil"/>
            </w:tcBorders>
            <w:vAlign w:val="center"/>
          </w:tcPr>
          <w:p w14:paraId="1A46F5EA">
            <w:pPr>
              <w:pStyle w:val="34"/>
              <w:rPr>
                <w:rFonts w:hint="eastAsia" w:eastAsia="仿宋_GB2312"/>
                <w:color w:val="000000" w:themeColor="text1"/>
                <w:sz w:val="21"/>
                <w:highlight w:val="none"/>
                <w:lang w:eastAsia="zh-CN"/>
                <w14:textFill>
                  <w14:solidFill>
                    <w14:schemeClr w14:val="tx1"/>
                  </w14:solidFill>
                </w14:textFill>
              </w:rPr>
            </w:pPr>
            <w:r>
              <w:rPr>
                <w:rFonts w:hint="eastAsia"/>
                <w:color w:val="000000" w:themeColor="text1"/>
                <w:sz w:val="21"/>
                <w:highlight w:val="none"/>
                <w14:textFill>
                  <w14:solidFill>
                    <w14:schemeClr w14:val="tx1"/>
                  </w14:solidFill>
                </w14:textFill>
              </w:rPr>
              <w:t>1.32</w:t>
            </w:r>
          </w:p>
        </w:tc>
        <w:tc>
          <w:tcPr>
            <w:tcW w:w="691" w:type="pct"/>
            <w:gridSpan w:val="2"/>
            <w:tcBorders>
              <w:tl2br w:val="nil"/>
              <w:tr2bl w:val="nil"/>
            </w:tcBorders>
            <w:vAlign w:val="center"/>
          </w:tcPr>
          <w:p w14:paraId="2F54C303">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0.10</w:t>
            </w:r>
          </w:p>
        </w:tc>
        <w:tc>
          <w:tcPr>
            <w:tcW w:w="586" w:type="pct"/>
            <w:tcBorders>
              <w:tl2br w:val="nil"/>
              <w:tr2bl w:val="nil"/>
            </w:tcBorders>
            <w:vAlign w:val="center"/>
          </w:tcPr>
          <w:p w14:paraId="61CA1BFC">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w:t>
            </w:r>
          </w:p>
        </w:tc>
        <w:tc>
          <w:tcPr>
            <w:tcW w:w="624" w:type="pct"/>
            <w:gridSpan w:val="2"/>
            <w:tcBorders>
              <w:top w:val="nil"/>
              <w:left w:val="nil"/>
              <w:bottom w:val="single" w:color="auto" w:sz="8" w:space="0"/>
              <w:right w:val="single" w:color="auto" w:sz="12" w:space="0"/>
            </w:tcBorders>
            <w:shd w:val="clear" w:color="auto" w:fill="auto"/>
            <w:vAlign w:val="center"/>
          </w:tcPr>
          <w:p w14:paraId="21A080D8">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1.22</w:t>
            </w:r>
          </w:p>
        </w:tc>
        <w:tc>
          <w:tcPr>
            <w:tcW w:w="1335" w:type="pct"/>
            <w:gridSpan w:val="3"/>
            <w:vMerge w:val="restart"/>
            <w:tcBorders>
              <w:tl2br w:val="nil"/>
              <w:tr2bl w:val="nil"/>
            </w:tcBorders>
            <w:vAlign w:val="center"/>
          </w:tcPr>
          <w:p w14:paraId="257BA055">
            <w:pPr>
              <w:pStyle w:val="34"/>
              <w:rPr>
                <w:color w:val="000000" w:themeColor="text1"/>
                <w:sz w:val="21"/>
                <w14:textFill>
                  <w14:solidFill>
                    <w14:schemeClr w14:val="tx1"/>
                  </w14:solidFill>
                </w14:textFill>
              </w:rPr>
            </w:pPr>
            <w:r>
              <w:rPr>
                <w:rFonts w:hint="eastAsia"/>
                <w:color w:val="000000" w:themeColor="text1"/>
                <w:sz w:val="21"/>
                <w:highlight w:val="none"/>
                <w14:textFill>
                  <w14:solidFill>
                    <w14:schemeClr w14:val="tx1"/>
                  </w14:solidFill>
                </w14:textFill>
              </w:rPr>
              <w:t>余方运送至绵阳会展中心综合体项目周边道路建设项目（三期）回填后综合利用。</w:t>
            </w:r>
          </w:p>
        </w:tc>
      </w:tr>
      <w:tr w14:paraId="14B416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50F738E3">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建构筑物工程区</w:t>
            </w:r>
          </w:p>
        </w:tc>
        <w:tc>
          <w:tcPr>
            <w:tcW w:w="627" w:type="pct"/>
            <w:gridSpan w:val="2"/>
            <w:tcBorders>
              <w:tl2br w:val="nil"/>
              <w:tr2bl w:val="nil"/>
            </w:tcBorders>
            <w:vAlign w:val="center"/>
          </w:tcPr>
          <w:p w14:paraId="374E4C42">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1.62</w:t>
            </w:r>
            <w:r>
              <w:rPr>
                <w:rFonts w:hint="eastAsia"/>
                <w:color w:val="000000" w:themeColor="text1"/>
                <w:sz w:val="21"/>
                <w:highlight w:val="none"/>
                <w:lang w:eastAsia="zh-CN"/>
                <w14:textFill>
                  <w14:solidFill>
                    <w14:schemeClr w14:val="tx1"/>
                  </w14:solidFill>
                </w14:textFill>
              </w:rPr>
              <w:t>（</w:t>
            </w:r>
            <w:r>
              <w:rPr>
                <w:rFonts w:hint="eastAsia"/>
                <w:color w:val="000000" w:themeColor="text1"/>
                <w:sz w:val="21"/>
                <w:highlight w:val="none"/>
                <w:lang w:val="en-US" w:eastAsia="zh-CN"/>
                <w14:textFill>
                  <w14:solidFill>
                    <w14:schemeClr w14:val="tx1"/>
                  </w14:solidFill>
                </w14:textFill>
              </w:rPr>
              <w:t>0.05</w:t>
            </w:r>
            <w:r>
              <w:rPr>
                <w:rFonts w:hint="eastAsia"/>
                <w:color w:val="000000" w:themeColor="text1"/>
                <w:sz w:val="21"/>
                <w:highlight w:val="none"/>
                <w:lang w:eastAsia="zh-CN"/>
                <w14:textFill>
                  <w14:solidFill>
                    <w14:schemeClr w14:val="tx1"/>
                  </w14:solidFill>
                </w14:textFill>
              </w:rPr>
              <w:t>）</w:t>
            </w:r>
          </w:p>
        </w:tc>
        <w:tc>
          <w:tcPr>
            <w:tcW w:w="691" w:type="pct"/>
            <w:gridSpan w:val="2"/>
            <w:tcBorders>
              <w:tl2br w:val="nil"/>
              <w:tr2bl w:val="nil"/>
            </w:tcBorders>
            <w:vAlign w:val="center"/>
          </w:tcPr>
          <w:p w14:paraId="51D05A1D">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0.09</w:t>
            </w:r>
          </w:p>
        </w:tc>
        <w:tc>
          <w:tcPr>
            <w:tcW w:w="586" w:type="pct"/>
            <w:tcBorders>
              <w:tl2br w:val="nil"/>
              <w:tr2bl w:val="nil"/>
            </w:tcBorders>
            <w:vAlign w:val="center"/>
          </w:tcPr>
          <w:p w14:paraId="411DF815">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w:t>
            </w:r>
          </w:p>
        </w:tc>
        <w:tc>
          <w:tcPr>
            <w:tcW w:w="624" w:type="pct"/>
            <w:gridSpan w:val="2"/>
            <w:tcBorders>
              <w:top w:val="nil"/>
              <w:left w:val="nil"/>
              <w:bottom w:val="single" w:color="auto" w:sz="8" w:space="0"/>
              <w:right w:val="single" w:color="auto" w:sz="12" w:space="0"/>
            </w:tcBorders>
            <w:shd w:val="clear" w:color="auto" w:fill="auto"/>
            <w:vAlign w:val="center"/>
          </w:tcPr>
          <w:p w14:paraId="35C30689">
            <w:pPr>
              <w:pStyle w:val="34"/>
              <w:rPr>
                <w:rFonts w:hint="default" w:eastAsia="仿宋_GB2312"/>
                <w:color w:val="000000" w:themeColor="text1"/>
                <w:sz w:val="21"/>
                <w:highlight w:val="none"/>
                <w:lang w:val="en-US" w:eastAsia="zh-CN"/>
                <w14:textFill>
                  <w14:solidFill>
                    <w14:schemeClr w14:val="tx1"/>
                  </w14:solidFill>
                </w14:textFill>
              </w:rPr>
            </w:pPr>
            <w:r>
              <w:rPr>
                <w:rFonts w:hint="eastAsia"/>
                <w:color w:val="000000" w:themeColor="text1"/>
                <w:sz w:val="21"/>
                <w:highlight w:val="none"/>
                <w14:textFill>
                  <w14:solidFill>
                    <w14:schemeClr w14:val="tx1"/>
                  </w14:solidFill>
                </w14:textFill>
              </w:rPr>
              <w:t>1.</w:t>
            </w:r>
            <w:r>
              <w:rPr>
                <w:rFonts w:hint="eastAsia"/>
                <w:color w:val="000000" w:themeColor="text1"/>
                <w:sz w:val="21"/>
                <w:highlight w:val="none"/>
                <w:lang w:val="en-US" w:eastAsia="zh-CN"/>
                <w14:textFill>
                  <w14:solidFill>
                    <w14:schemeClr w14:val="tx1"/>
                  </w14:solidFill>
                </w14:textFill>
              </w:rPr>
              <w:t>48</w:t>
            </w:r>
          </w:p>
        </w:tc>
        <w:tc>
          <w:tcPr>
            <w:tcW w:w="1335" w:type="pct"/>
            <w:gridSpan w:val="3"/>
            <w:vMerge w:val="continue"/>
            <w:tcBorders>
              <w:tl2br w:val="nil"/>
              <w:tr2bl w:val="nil"/>
            </w:tcBorders>
            <w:vAlign w:val="center"/>
          </w:tcPr>
          <w:p w14:paraId="15DE857F">
            <w:pPr>
              <w:pStyle w:val="34"/>
              <w:rPr>
                <w:color w:val="000000" w:themeColor="text1"/>
                <w:sz w:val="21"/>
                <w14:textFill>
                  <w14:solidFill>
                    <w14:schemeClr w14:val="tx1"/>
                  </w14:solidFill>
                </w14:textFill>
              </w:rPr>
            </w:pPr>
          </w:p>
        </w:tc>
      </w:tr>
      <w:tr w14:paraId="706D86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5BDBA31E">
            <w:pPr>
              <w:pStyle w:val="34"/>
              <w:rPr>
                <w:color w:val="000000" w:themeColor="text1"/>
                <w:sz w:val="21"/>
                <w14:textFill>
                  <w14:solidFill>
                    <w14:schemeClr w14:val="tx1"/>
                  </w14:solidFill>
                </w14:textFill>
              </w:rPr>
            </w:pPr>
            <w:r>
              <w:rPr>
                <w:rFonts w:hint="eastAsia" w:ascii="仿宋_GB2312"/>
                <w:color w:val="000000" w:themeColor="text1"/>
                <w:sz w:val="21"/>
                <w14:textFill>
                  <w14:solidFill>
                    <w14:schemeClr w14:val="tx1"/>
                  </w14:solidFill>
                </w14:textFill>
              </w:rPr>
              <w:t>场内道路广场及硬化工程区</w:t>
            </w:r>
          </w:p>
        </w:tc>
        <w:tc>
          <w:tcPr>
            <w:tcW w:w="627" w:type="pct"/>
            <w:gridSpan w:val="2"/>
            <w:tcBorders>
              <w:tl2br w:val="nil"/>
              <w:tr2bl w:val="nil"/>
            </w:tcBorders>
            <w:vAlign w:val="center"/>
          </w:tcPr>
          <w:p w14:paraId="140D9E47">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0.38</w:t>
            </w:r>
            <w:r>
              <w:rPr>
                <w:rFonts w:hint="eastAsia"/>
                <w:color w:val="000000" w:themeColor="text1"/>
                <w:sz w:val="21"/>
                <w:highlight w:val="none"/>
                <w:lang w:eastAsia="zh-CN"/>
                <w14:textFill>
                  <w14:solidFill>
                    <w14:schemeClr w14:val="tx1"/>
                  </w14:solidFill>
                </w14:textFill>
              </w:rPr>
              <w:t>（</w:t>
            </w:r>
            <w:r>
              <w:rPr>
                <w:rFonts w:hint="eastAsia"/>
                <w:color w:val="000000" w:themeColor="text1"/>
                <w:sz w:val="21"/>
                <w:highlight w:val="none"/>
                <w:lang w:val="en-US" w:eastAsia="zh-CN"/>
                <w14:textFill>
                  <w14:solidFill>
                    <w14:schemeClr w14:val="tx1"/>
                  </w14:solidFill>
                </w14:textFill>
              </w:rPr>
              <w:t>0.05</w:t>
            </w:r>
            <w:r>
              <w:rPr>
                <w:rFonts w:hint="eastAsia"/>
                <w:color w:val="000000" w:themeColor="text1"/>
                <w:sz w:val="21"/>
                <w:highlight w:val="none"/>
                <w:lang w:eastAsia="zh-CN"/>
                <w14:textFill>
                  <w14:solidFill>
                    <w14:schemeClr w14:val="tx1"/>
                  </w14:solidFill>
                </w14:textFill>
              </w:rPr>
              <w:t>）</w:t>
            </w:r>
          </w:p>
        </w:tc>
        <w:tc>
          <w:tcPr>
            <w:tcW w:w="691" w:type="pct"/>
            <w:gridSpan w:val="2"/>
            <w:tcBorders>
              <w:tl2br w:val="nil"/>
              <w:tr2bl w:val="nil"/>
            </w:tcBorders>
            <w:vAlign w:val="center"/>
          </w:tcPr>
          <w:p w14:paraId="697DBE3E">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0.12</w:t>
            </w:r>
          </w:p>
        </w:tc>
        <w:tc>
          <w:tcPr>
            <w:tcW w:w="586" w:type="pct"/>
            <w:tcBorders>
              <w:tl2br w:val="nil"/>
              <w:tr2bl w:val="nil"/>
            </w:tcBorders>
            <w:vAlign w:val="center"/>
          </w:tcPr>
          <w:p w14:paraId="17F8300F">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w:t>
            </w:r>
          </w:p>
        </w:tc>
        <w:tc>
          <w:tcPr>
            <w:tcW w:w="624" w:type="pct"/>
            <w:gridSpan w:val="2"/>
            <w:tcBorders>
              <w:top w:val="nil"/>
              <w:left w:val="nil"/>
              <w:bottom w:val="single" w:color="auto" w:sz="8" w:space="0"/>
              <w:right w:val="single" w:color="auto" w:sz="12" w:space="0"/>
            </w:tcBorders>
            <w:shd w:val="clear" w:color="auto" w:fill="auto"/>
            <w:vAlign w:val="center"/>
          </w:tcPr>
          <w:p w14:paraId="275879A1">
            <w:pPr>
              <w:pStyle w:val="34"/>
              <w:rPr>
                <w:rFonts w:hint="eastAsia" w:eastAsia="仿宋_GB2312"/>
                <w:color w:val="000000" w:themeColor="text1"/>
                <w:sz w:val="21"/>
                <w:highlight w:val="none"/>
                <w:lang w:eastAsia="zh-CN"/>
                <w14:textFill>
                  <w14:solidFill>
                    <w14:schemeClr w14:val="tx1"/>
                  </w14:solidFill>
                </w14:textFill>
              </w:rPr>
            </w:pPr>
            <w:r>
              <w:rPr>
                <w:rFonts w:hint="eastAsia"/>
                <w:color w:val="000000" w:themeColor="text1"/>
                <w:sz w:val="21"/>
                <w:highlight w:val="none"/>
                <w14:textFill>
                  <w14:solidFill>
                    <w14:schemeClr w14:val="tx1"/>
                  </w14:solidFill>
                </w14:textFill>
              </w:rPr>
              <w:t>0.2</w:t>
            </w:r>
            <w:r>
              <w:rPr>
                <w:rFonts w:hint="eastAsia"/>
                <w:color w:val="000000" w:themeColor="text1"/>
                <w:sz w:val="21"/>
                <w:highlight w:val="none"/>
                <w:lang w:val="en-US" w:eastAsia="zh-CN"/>
                <w14:textFill>
                  <w14:solidFill>
                    <w14:schemeClr w14:val="tx1"/>
                  </w14:solidFill>
                </w14:textFill>
              </w:rPr>
              <w:t>1</w:t>
            </w:r>
          </w:p>
        </w:tc>
        <w:tc>
          <w:tcPr>
            <w:tcW w:w="1335" w:type="pct"/>
            <w:gridSpan w:val="3"/>
            <w:vMerge w:val="continue"/>
            <w:tcBorders>
              <w:tl2br w:val="nil"/>
              <w:tr2bl w:val="nil"/>
            </w:tcBorders>
            <w:vAlign w:val="center"/>
          </w:tcPr>
          <w:p w14:paraId="083EE896">
            <w:pPr>
              <w:pStyle w:val="34"/>
              <w:rPr>
                <w:color w:val="000000" w:themeColor="text1"/>
                <w:sz w:val="21"/>
                <w14:textFill>
                  <w14:solidFill>
                    <w14:schemeClr w14:val="tx1"/>
                  </w14:solidFill>
                </w14:textFill>
              </w:rPr>
            </w:pPr>
          </w:p>
        </w:tc>
      </w:tr>
      <w:tr w14:paraId="4F7FA1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34DA3FAB">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景观绿化工程</w:t>
            </w:r>
          </w:p>
        </w:tc>
        <w:tc>
          <w:tcPr>
            <w:tcW w:w="627" w:type="pct"/>
            <w:gridSpan w:val="2"/>
            <w:tcBorders>
              <w:tl2br w:val="nil"/>
              <w:tr2bl w:val="nil"/>
            </w:tcBorders>
            <w:vAlign w:val="center"/>
          </w:tcPr>
          <w:p w14:paraId="33C95611">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0.09</w:t>
            </w:r>
          </w:p>
        </w:tc>
        <w:tc>
          <w:tcPr>
            <w:tcW w:w="691" w:type="pct"/>
            <w:gridSpan w:val="2"/>
            <w:tcBorders>
              <w:tl2br w:val="nil"/>
              <w:tr2bl w:val="nil"/>
            </w:tcBorders>
            <w:vAlign w:val="center"/>
          </w:tcPr>
          <w:p w14:paraId="5E10926D">
            <w:pPr>
              <w:pStyle w:val="34"/>
              <w:rPr>
                <w:rFonts w:hint="eastAsia"/>
                <w:color w:val="000000" w:themeColor="text1"/>
                <w:sz w:val="21"/>
                <w:highlight w:val="none"/>
                <w:lang w:val="en-US" w:eastAsia="zh-CN"/>
                <w14:textFill>
                  <w14:solidFill>
                    <w14:schemeClr w14:val="tx1"/>
                  </w14:solidFill>
                </w14:textFill>
              </w:rPr>
            </w:pPr>
            <w:r>
              <w:rPr>
                <w:rFonts w:hint="eastAsia"/>
                <w:color w:val="000000" w:themeColor="text1"/>
                <w:sz w:val="21"/>
                <w:highlight w:val="none"/>
                <w:lang w:val="en-US" w:eastAsia="zh-CN"/>
                <w14:textFill>
                  <w14:solidFill>
                    <w14:schemeClr w14:val="tx1"/>
                  </w14:solidFill>
                </w14:textFill>
              </w:rPr>
              <w:t>0.10</w:t>
            </w:r>
          </w:p>
          <w:p w14:paraId="4DF7A6F0">
            <w:pPr>
              <w:pStyle w:val="34"/>
              <w:rPr>
                <w:color w:val="000000" w:themeColor="text1"/>
                <w:sz w:val="21"/>
                <w:highlight w:val="none"/>
                <w14:textFill>
                  <w14:solidFill>
                    <w14:schemeClr w14:val="tx1"/>
                  </w14:solidFill>
                </w14:textFill>
              </w:rPr>
            </w:pPr>
            <w:r>
              <w:rPr>
                <w:rFonts w:hint="eastAsia"/>
                <w:color w:val="000000" w:themeColor="text1"/>
                <w:sz w:val="21"/>
                <w:highlight w:val="none"/>
                <w:lang w:eastAsia="zh-CN"/>
                <w14:textFill>
                  <w14:solidFill>
                    <w14:schemeClr w14:val="tx1"/>
                  </w14:solidFill>
                </w14:textFill>
              </w:rPr>
              <w:t>（</w:t>
            </w:r>
            <w:r>
              <w:rPr>
                <w:rFonts w:hint="eastAsia"/>
                <w:color w:val="000000" w:themeColor="text1"/>
                <w:sz w:val="21"/>
                <w:highlight w:val="none"/>
                <w:lang w:val="en-US" w:eastAsia="zh-CN"/>
                <w14:textFill>
                  <w14:solidFill>
                    <w14:schemeClr w14:val="tx1"/>
                  </w14:solidFill>
                </w14:textFill>
              </w:rPr>
              <w:t>0.10</w:t>
            </w:r>
            <w:r>
              <w:rPr>
                <w:rFonts w:hint="eastAsia"/>
                <w:color w:val="000000" w:themeColor="text1"/>
                <w:sz w:val="21"/>
                <w:highlight w:val="none"/>
                <w:lang w:eastAsia="zh-CN"/>
                <w14:textFill>
                  <w14:solidFill>
                    <w14:schemeClr w14:val="tx1"/>
                  </w14:solidFill>
                </w14:textFill>
              </w:rPr>
              <w:t>）</w:t>
            </w:r>
          </w:p>
        </w:tc>
        <w:tc>
          <w:tcPr>
            <w:tcW w:w="586" w:type="pct"/>
            <w:tcBorders>
              <w:tl2br w:val="nil"/>
              <w:tr2bl w:val="nil"/>
            </w:tcBorders>
            <w:vAlign w:val="center"/>
          </w:tcPr>
          <w:p w14:paraId="30CC1A15">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w:t>
            </w:r>
          </w:p>
        </w:tc>
        <w:tc>
          <w:tcPr>
            <w:tcW w:w="624" w:type="pct"/>
            <w:gridSpan w:val="2"/>
            <w:tcBorders>
              <w:top w:val="nil"/>
              <w:left w:val="nil"/>
              <w:bottom w:val="single" w:color="auto" w:sz="8" w:space="0"/>
              <w:right w:val="single" w:color="auto" w:sz="12" w:space="0"/>
            </w:tcBorders>
            <w:shd w:val="clear" w:color="auto" w:fill="auto"/>
            <w:vAlign w:val="center"/>
          </w:tcPr>
          <w:p w14:paraId="211169C1">
            <w:pPr>
              <w:pStyle w:val="34"/>
              <w:rPr>
                <w:rFonts w:hint="eastAsia" w:eastAsia="仿宋_GB2312"/>
                <w:color w:val="000000" w:themeColor="text1"/>
                <w:sz w:val="21"/>
                <w:highlight w:val="none"/>
                <w:lang w:eastAsia="zh-CN"/>
                <w14:textFill>
                  <w14:solidFill>
                    <w14:schemeClr w14:val="tx1"/>
                  </w14:solidFill>
                </w14:textFill>
              </w:rPr>
            </w:pPr>
            <w:r>
              <w:rPr>
                <w:rFonts w:hint="eastAsia"/>
                <w:color w:val="000000" w:themeColor="text1"/>
                <w:sz w:val="21"/>
                <w:highlight w:val="none"/>
                <w:lang w:eastAsia="zh-CN"/>
                <w14:textFill>
                  <w14:solidFill>
                    <w14:schemeClr w14:val="tx1"/>
                  </w14:solidFill>
                </w14:textFill>
              </w:rPr>
              <w:t>0.0</w:t>
            </w:r>
            <w:r>
              <w:rPr>
                <w:rFonts w:hint="eastAsia"/>
                <w:color w:val="000000" w:themeColor="text1"/>
                <w:sz w:val="21"/>
                <w:highlight w:val="none"/>
                <w:lang w:val="en-US" w:eastAsia="zh-CN"/>
                <w14:textFill>
                  <w14:solidFill>
                    <w14:schemeClr w14:val="tx1"/>
                  </w14:solidFill>
                </w14:textFill>
              </w:rPr>
              <w:t>9</w:t>
            </w:r>
          </w:p>
        </w:tc>
        <w:tc>
          <w:tcPr>
            <w:tcW w:w="1335" w:type="pct"/>
            <w:gridSpan w:val="3"/>
            <w:vMerge w:val="continue"/>
            <w:tcBorders>
              <w:tl2br w:val="nil"/>
              <w:tr2bl w:val="nil"/>
            </w:tcBorders>
            <w:vAlign w:val="center"/>
          </w:tcPr>
          <w:p w14:paraId="3412C796">
            <w:pPr>
              <w:pStyle w:val="34"/>
              <w:rPr>
                <w:color w:val="000000" w:themeColor="text1"/>
                <w:sz w:val="21"/>
                <w14:textFill>
                  <w14:solidFill>
                    <w14:schemeClr w14:val="tx1"/>
                  </w14:solidFill>
                </w14:textFill>
              </w:rPr>
            </w:pPr>
          </w:p>
        </w:tc>
      </w:tr>
      <w:tr w14:paraId="73BAB7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 w:type="pct"/>
            <w:tcBorders>
              <w:tl2br w:val="nil"/>
              <w:tr2bl w:val="nil"/>
            </w:tcBorders>
            <w:vAlign w:val="center"/>
          </w:tcPr>
          <w:p w14:paraId="6E5DEE0E">
            <w:pPr>
              <w:pStyle w:val="34"/>
              <w:rPr>
                <w:color w:val="000000" w:themeColor="text1"/>
                <w:sz w:val="21"/>
                <w14:textFill>
                  <w14:solidFill>
                    <w14:schemeClr w14:val="tx1"/>
                  </w14:solidFill>
                </w14:textFill>
              </w:rPr>
            </w:pPr>
            <w:r>
              <w:rPr>
                <w:rFonts w:hint="eastAsia"/>
                <w:color w:val="000000" w:themeColor="text1"/>
                <w:sz w:val="21"/>
                <w14:textFill>
                  <w14:solidFill>
                    <w14:schemeClr w14:val="tx1"/>
                  </w14:solidFill>
                </w14:textFill>
              </w:rPr>
              <w:t>合计</w:t>
            </w:r>
          </w:p>
        </w:tc>
        <w:tc>
          <w:tcPr>
            <w:tcW w:w="627" w:type="pct"/>
            <w:gridSpan w:val="2"/>
            <w:tcBorders>
              <w:tl2br w:val="nil"/>
              <w:tr2bl w:val="nil"/>
            </w:tcBorders>
            <w:vAlign w:val="center"/>
          </w:tcPr>
          <w:p w14:paraId="248292A9">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3.41</w:t>
            </w:r>
          </w:p>
        </w:tc>
        <w:tc>
          <w:tcPr>
            <w:tcW w:w="691" w:type="pct"/>
            <w:gridSpan w:val="2"/>
            <w:tcBorders>
              <w:tl2br w:val="nil"/>
              <w:tr2bl w:val="nil"/>
            </w:tcBorders>
            <w:vAlign w:val="center"/>
          </w:tcPr>
          <w:p w14:paraId="404135BC">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0.37</w:t>
            </w:r>
          </w:p>
        </w:tc>
        <w:tc>
          <w:tcPr>
            <w:tcW w:w="586" w:type="pct"/>
            <w:tcBorders>
              <w:tl2br w:val="nil"/>
              <w:tr2bl w:val="nil"/>
            </w:tcBorders>
            <w:vAlign w:val="center"/>
          </w:tcPr>
          <w:p w14:paraId="20B74D0F">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w:t>
            </w:r>
          </w:p>
        </w:tc>
        <w:tc>
          <w:tcPr>
            <w:tcW w:w="624" w:type="pct"/>
            <w:gridSpan w:val="2"/>
            <w:tcBorders>
              <w:top w:val="nil"/>
              <w:left w:val="nil"/>
              <w:bottom w:val="single" w:color="auto" w:sz="12" w:space="0"/>
              <w:right w:val="single" w:color="auto" w:sz="12" w:space="0"/>
            </w:tcBorders>
            <w:shd w:val="clear" w:color="auto" w:fill="auto"/>
            <w:vAlign w:val="center"/>
          </w:tcPr>
          <w:p w14:paraId="3313F12C">
            <w:pPr>
              <w:pStyle w:val="34"/>
              <w:rPr>
                <w:color w:val="000000" w:themeColor="text1"/>
                <w:sz w:val="21"/>
                <w:highlight w:val="none"/>
                <w14:textFill>
                  <w14:solidFill>
                    <w14:schemeClr w14:val="tx1"/>
                  </w14:solidFill>
                </w14:textFill>
              </w:rPr>
            </w:pPr>
            <w:r>
              <w:rPr>
                <w:rFonts w:hint="eastAsia"/>
                <w:color w:val="000000" w:themeColor="text1"/>
                <w:sz w:val="21"/>
                <w:highlight w:val="none"/>
                <w14:textFill>
                  <w14:solidFill>
                    <w14:schemeClr w14:val="tx1"/>
                  </w14:solidFill>
                </w14:textFill>
              </w:rPr>
              <w:t>3.04</w:t>
            </w:r>
          </w:p>
        </w:tc>
        <w:tc>
          <w:tcPr>
            <w:tcW w:w="1335" w:type="pct"/>
            <w:gridSpan w:val="3"/>
            <w:vMerge w:val="continue"/>
            <w:tcBorders>
              <w:tl2br w:val="nil"/>
              <w:tr2bl w:val="nil"/>
            </w:tcBorders>
            <w:vAlign w:val="center"/>
          </w:tcPr>
          <w:p w14:paraId="1F17EBB8">
            <w:pPr>
              <w:pStyle w:val="34"/>
              <w:rPr>
                <w:color w:val="000000" w:themeColor="text1"/>
                <w:sz w:val="21"/>
                <w14:textFill>
                  <w14:solidFill>
                    <w14:schemeClr w14:val="tx1"/>
                  </w14:solidFill>
                </w14:textFill>
              </w:rPr>
            </w:pPr>
          </w:p>
        </w:tc>
      </w:tr>
      <w:bookmarkEnd w:id="69"/>
    </w:tbl>
    <w:p w14:paraId="54DA16F7">
      <w:pPr>
        <w:pStyle w:val="33"/>
        <w:keepNext/>
        <w:keepLines w:val="0"/>
        <w:pageBreakBefore w:val="0"/>
        <w:widowControl w:val="0"/>
        <w:kinsoku/>
        <w:wordWrap/>
        <w:overflowPunct/>
        <w:topLinePunct w:val="0"/>
        <w:autoSpaceDE/>
        <w:autoSpaceDN/>
        <w:bidi w:val="0"/>
        <w:adjustRightInd w:val="0"/>
        <w:snapToGrid w:val="0"/>
        <w:spacing w:before="157" w:beforeLines="50" w:after="157" w:afterLines="50"/>
        <w:jc w:val="center"/>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 2.1-</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 xml:space="preserve"> </w:t>
      </w:r>
      <w:r>
        <w:rPr>
          <w:rFonts w:hint="eastAsia"/>
          <w:color w:val="000000" w:themeColor="text1"/>
          <w:lang w:eastAsia="zh-CN"/>
          <w14:textFill>
            <w14:solidFill>
              <w14:schemeClr w14:val="tx1"/>
            </w14:solidFill>
          </w14:textFill>
        </w:rPr>
        <w:t>高新区兆辉新能源工业园及基础设施配套项目</w:t>
      </w:r>
      <w:r>
        <w:rPr>
          <w:rFonts w:hint="eastAsia"/>
          <w:color w:val="000000" w:themeColor="text1"/>
          <w14:textFill>
            <w14:solidFill>
              <w14:schemeClr w14:val="tx1"/>
            </w14:solidFill>
          </w14:textFill>
        </w:rPr>
        <w:t>经济技术指标</w:t>
      </w:r>
      <w:r>
        <w:rPr>
          <w:rFonts w:hint="eastAsia"/>
          <w:color w:val="000000" w:themeColor="text1"/>
          <w:lang w:eastAsia="zh-CN"/>
          <w14:textFill>
            <w14:solidFill>
              <w14:schemeClr w14:val="tx1"/>
            </w14:solidFill>
          </w14:textFill>
        </w:rPr>
        <w:t>总</w:t>
      </w:r>
      <w:r>
        <w:rPr>
          <w:rFonts w:hint="eastAsia"/>
          <w:color w:val="000000" w:themeColor="text1"/>
          <w14:textFill>
            <w14:solidFill>
              <w14:schemeClr w14:val="tx1"/>
            </w14:solidFill>
          </w14:textFill>
        </w:rPr>
        <w:t>表</w:t>
      </w:r>
    </w:p>
    <w:tbl>
      <w:tblPr>
        <w:tblStyle w:val="26"/>
        <w:tblW w:w="5096" w:type="pct"/>
        <w:tblInd w:w="-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199"/>
        <w:gridCol w:w="1401"/>
        <w:gridCol w:w="725"/>
        <w:gridCol w:w="2362"/>
      </w:tblGrid>
      <w:tr w14:paraId="68803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rPr>
        <w:tc>
          <w:tcPr>
            <w:tcW w:w="2416" w:type="pct"/>
            <w:shd w:val="clear" w:color="auto" w:fill="auto"/>
            <w:noWrap/>
            <w:vAlign w:val="center"/>
          </w:tcPr>
          <w:p w14:paraId="6941073C">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类型</w:t>
            </w:r>
          </w:p>
        </w:tc>
        <w:tc>
          <w:tcPr>
            <w:tcW w:w="806" w:type="pct"/>
            <w:shd w:val="clear" w:color="auto" w:fill="auto"/>
            <w:noWrap/>
            <w:vAlign w:val="center"/>
          </w:tcPr>
          <w:p w14:paraId="4A3287C5">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数值</w:t>
            </w:r>
          </w:p>
        </w:tc>
        <w:tc>
          <w:tcPr>
            <w:tcW w:w="417" w:type="pct"/>
            <w:shd w:val="clear" w:color="auto" w:fill="auto"/>
            <w:noWrap/>
            <w:vAlign w:val="center"/>
          </w:tcPr>
          <w:p w14:paraId="395DE6D0">
            <w:pPr>
              <w:widowControl/>
              <w:adjustRightInd/>
              <w:snapToGrid/>
              <w:spacing w:line="240" w:lineRule="auto"/>
              <w:ind w:firstLine="0" w:firstLineChars="0"/>
              <w:jc w:val="center"/>
              <w:rPr>
                <w:rFonts w:hint="eastAsia"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单位</w:t>
            </w:r>
          </w:p>
        </w:tc>
        <w:tc>
          <w:tcPr>
            <w:tcW w:w="1359" w:type="pct"/>
            <w:shd w:val="clear" w:color="auto" w:fill="auto"/>
            <w:noWrap/>
            <w:vAlign w:val="center"/>
          </w:tcPr>
          <w:p w14:paraId="51A6872F">
            <w:pPr>
              <w:widowControl/>
              <w:adjustRightInd/>
              <w:snapToGrid/>
              <w:spacing w:line="240" w:lineRule="auto"/>
              <w:ind w:firstLine="0" w:firstLineChars="0"/>
              <w:jc w:val="center"/>
              <w:rPr>
                <w:rFonts w:hint="eastAsia"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备注</w:t>
            </w:r>
          </w:p>
        </w:tc>
      </w:tr>
      <w:tr w14:paraId="32B2A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13A7B266">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一、</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用地面积</w:t>
            </w:r>
          </w:p>
        </w:tc>
        <w:tc>
          <w:tcPr>
            <w:tcW w:w="806" w:type="pct"/>
            <w:shd w:val="clear" w:color="auto" w:fill="auto"/>
            <w:noWrap/>
            <w:vAlign w:val="center"/>
          </w:tcPr>
          <w:p w14:paraId="2B70C013">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36123.59</w:t>
            </w:r>
          </w:p>
        </w:tc>
        <w:tc>
          <w:tcPr>
            <w:tcW w:w="417" w:type="pct"/>
            <w:shd w:val="clear" w:color="auto" w:fill="auto"/>
            <w:noWrap/>
            <w:vAlign w:val="center"/>
          </w:tcPr>
          <w:p w14:paraId="1923613A">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5CF5DAA6">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58798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796D3C9F">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二、</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建筑占地面积</w:t>
            </w:r>
          </w:p>
        </w:tc>
        <w:tc>
          <w:tcPr>
            <w:tcW w:w="806" w:type="pct"/>
            <w:shd w:val="clear" w:color="auto" w:fill="auto"/>
            <w:noWrap/>
            <w:vAlign w:val="center"/>
          </w:tcPr>
          <w:p w14:paraId="6D99C211">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15865.01</w:t>
            </w:r>
          </w:p>
        </w:tc>
        <w:tc>
          <w:tcPr>
            <w:tcW w:w="417" w:type="pct"/>
            <w:shd w:val="clear" w:color="auto" w:fill="auto"/>
            <w:noWrap/>
            <w:vAlign w:val="center"/>
          </w:tcPr>
          <w:p w14:paraId="0CE13DAD">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694F7A0D">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0FC19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39B32772">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（一）</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厂房建筑占地面积</w:t>
            </w:r>
          </w:p>
        </w:tc>
        <w:tc>
          <w:tcPr>
            <w:tcW w:w="806" w:type="pct"/>
            <w:shd w:val="clear" w:color="auto" w:fill="auto"/>
            <w:noWrap/>
            <w:vAlign w:val="center"/>
          </w:tcPr>
          <w:p w14:paraId="0A43189C">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14080.78</w:t>
            </w:r>
          </w:p>
        </w:tc>
        <w:tc>
          <w:tcPr>
            <w:tcW w:w="417" w:type="pct"/>
            <w:shd w:val="clear" w:color="auto" w:fill="auto"/>
            <w:noWrap/>
            <w:vAlign w:val="center"/>
          </w:tcPr>
          <w:p w14:paraId="6B033D27">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01107333">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78C93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5C3A8251">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eastAsia="方正仿宋_GB2312" w:cs="Times New Roman"/>
                <w:color w:val="000000" w:themeColor="text1"/>
                <w:kern w:val="0"/>
                <w:sz w:val="21"/>
                <w:szCs w:val="21"/>
                <w:lang w:eastAsia="zh-CN"/>
                <w14:textFill>
                  <w14:solidFill>
                    <w14:schemeClr w14:val="tx1"/>
                  </w14:solidFill>
                </w14:textFill>
              </w:rPr>
              <w:t>二</w:t>
            </w: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办公楼建筑占地面积</w:t>
            </w:r>
          </w:p>
        </w:tc>
        <w:tc>
          <w:tcPr>
            <w:tcW w:w="806" w:type="pct"/>
            <w:shd w:val="clear" w:color="auto" w:fill="auto"/>
            <w:noWrap/>
            <w:vAlign w:val="center"/>
          </w:tcPr>
          <w:p w14:paraId="3A10AD8E">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768.34</w:t>
            </w:r>
          </w:p>
        </w:tc>
        <w:tc>
          <w:tcPr>
            <w:tcW w:w="417" w:type="pct"/>
            <w:shd w:val="clear" w:color="auto" w:fill="auto"/>
            <w:noWrap/>
            <w:vAlign w:val="center"/>
          </w:tcPr>
          <w:p w14:paraId="3FE9C4FB">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74274CB3">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77A2E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132289B3">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eastAsia="方正仿宋_GB2312" w:cs="Times New Roman"/>
                <w:color w:val="000000" w:themeColor="text1"/>
                <w:kern w:val="0"/>
                <w:sz w:val="21"/>
                <w:szCs w:val="21"/>
                <w:lang w:eastAsia="zh-CN"/>
                <w14:textFill>
                  <w14:solidFill>
                    <w14:schemeClr w14:val="tx1"/>
                  </w14:solidFill>
                </w14:textFill>
              </w:rPr>
              <w:t>三</w:t>
            </w: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倒班房建筑占地面积</w:t>
            </w:r>
          </w:p>
        </w:tc>
        <w:tc>
          <w:tcPr>
            <w:tcW w:w="806" w:type="pct"/>
            <w:shd w:val="clear" w:color="auto" w:fill="auto"/>
            <w:noWrap/>
            <w:vAlign w:val="center"/>
          </w:tcPr>
          <w:p w14:paraId="7DA7A1E4">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871.69</w:t>
            </w:r>
          </w:p>
        </w:tc>
        <w:tc>
          <w:tcPr>
            <w:tcW w:w="417" w:type="pct"/>
            <w:shd w:val="clear" w:color="auto" w:fill="auto"/>
            <w:noWrap/>
            <w:vAlign w:val="center"/>
          </w:tcPr>
          <w:p w14:paraId="7033D25C">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3439C7ED">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439EE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61A14479">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eastAsia="方正仿宋_GB2312" w:cs="Times New Roman"/>
                <w:color w:val="000000" w:themeColor="text1"/>
                <w:kern w:val="0"/>
                <w:sz w:val="21"/>
                <w:szCs w:val="21"/>
                <w:lang w:eastAsia="zh-CN"/>
                <w14:textFill>
                  <w14:solidFill>
                    <w14:schemeClr w14:val="tx1"/>
                  </w14:solidFill>
                </w14:textFill>
              </w:rPr>
              <w:t>四</w:t>
            </w: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配套用房及附属用房占地</w:t>
            </w:r>
          </w:p>
        </w:tc>
        <w:tc>
          <w:tcPr>
            <w:tcW w:w="806" w:type="pct"/>
            <w:shd w:val="clear" w:color="auto" w:fill="auto"/>
            <w:noWrap/>
            <w:vAlign w:val="center"/>
          </w:tcPr>
          <w:p w14:paraId="099BAC95">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144.2</w:t>
            </w:r>
          </w:p>
        </w:tc>
        <w:tc>
          <w:tcPr>
            <w:tcW w:w="417" w:type="pct"/>
            <w:shd w:val="clear" w:color="auto" w:fill="auto"/>
            <w:noWrap/>
            <w:vAlign w:val="center"/>
          </w:tcPr>
          <w:p w14:paraId="7813CBE4">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4CA1292E">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4415E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0889F435">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eastAsia="zh-CN"/>
                <w14:textFill>
                  <w14:solidFill>
                    <w14:schemeClr w14:val="tx1"/>
                  </w14:solidFill>
                </w14:textFill>
              </w:rPr>
              <w:t>三</w:t>
            </w: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总建筑面积</w:t>
            </w:r>
          </w:p>
        </w:tc>
        <w:tc>
          <w:tcPr>
            <w:tcW w:w="806" w:type="pct"/>
            <w:shd w:val="clear" w:color="auto" w:fill="auto"/>
            <w:noWrap/>
            <w:vAlign w:val="center"/>
          </w:tcPr>
          <w:p w14:paraId="60EC7D68">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41893.3</w:t>
            </w:r>
          </w:p>
        </w:tc>
        <w:tc>
          <w:tcPr>
            <w:tcW w:w="417" w:type="pct"/>
            <w:shd w:val="clear" w:color="auto" w:fill="auto"/>
            <w:noWrap/>
            <w:vAlign w:val="center"/>
          </w:tcPr>
          <w:p w14:paraId="7DC5542D">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0D0553E2">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25F2F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5DD595BF">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（一）</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厂房建筑面积</w:t>
            </w:r>
          </w:p>
        </w:tc>
        <w:tc>
          <w:tcPr>
            <w:tcW w:w="806" w:type="pct"/>
            <w:shd w:val="clear" w:color="auto" w:fill="auto"/>
            <w:noWrap/>
            <w:vAlign w:val="center"/>
          </w:tcPr>
          <w:p w14:paraId="0FBA3DAE">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14080.78</w:t>
            </w:r>
          </w:p>
        </w:tc>
        <w:tc>
          <w:tcPr>
            <w:tcW w:w="417" w:type="pct"/>
            <w:shd w:val="clear" w:color="auto" w:fill="auto"/>
            <w:noWrap/>
            <w:vAlign w:val="center"/>
          </w:tcPr>
          <w:p w14:paraId="4D921787">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1B257247">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27652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7E7A65AB">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eastAsia="方正仿宋_GB2312" w:cs="Times New Roman"/>
                <w:color w:val="000000" w:themeColor="text1"/>
                <w:kern w:val="0"/>
                <w:sz w:val="21"/>
                <w:szCs w:val="21"/>
                <w:lang w:eastAsia="zh-CN"/>
                <w14:textFill>
                  <w14:solidFill>
                    <w14:schemeClr w14:val="tx1"/>
                  </w14:solidFill>
                </w14:textFill>
              </w:rPr>
              <w:t>二</w:t>
            </w: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倒班房建筑面积</w:t>
            </w:r>
          </w:p>
        </w:tc>
        <w:tc>
          <w:tcPr>
            <w:tcW w:w="806" w:type="pct"/>
            <w:shd w:val="clear" w:color="auto" w:fill="auto"/>
            <w:noWrap/>
            <w:vAlign w:val="center"/>
          </w:tcPr>
          <w:p w14:paraId="4B444B78">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5277. 32</w:t>
            </w:r>
          </w:p>
        </w:tc>
        <w:tc>
          <w:tcPr>
            <w:tcW w:w="417" w:type="pct"/>
            <w:shd w:val="clear" w:color="auto" w:fill="auto"/>
            <w:noWrap/>
            <w:vAlign w:val="center"/>
          </w:tcPr>
          <w:p w14:paraId="17723D3F">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53D6D026">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6A2FF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72E65130">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eastAsia="方正仿宋_GB2312" w:cs="Times New Roman"/>
                <w:color w:val="000000" w:themeColor="text1"/>
                <w:kern w:val="0"/>
                <w:sz w:val="21"/>
                <w:szCs w:val="21"/>
                <w:lang w:eastAsia="zh-CN"/>
                <w14:textFill>
                  <w14:solidFill>
                    <w14:schemeClr w14:val="tx1"/>
                  </w14:solidFill>
                </w14:textFill>
              </w:rPr>
              <w:t>三</w:t>
            </w: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办公建筑面积</w:t>
            </w:r>
          </w:p>
        </w:tc>
        <w:tc>
          <w:tcPr>
            <w:tcW w:w="806" w:type="pct"/>
            <w:shd w:val="clear" w:color="auto" w:fill="auto"/>
            <w:noWrap/>
            <w:vAlign w:val="center"/>
          </w:tcPr>
          <w:p w14:paraId="7008223D">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3707.69</w:t>
            </w:r>
          </w:p>
        </w:tc>
        <w:tc>
          <w:tcPr>
            <w:tcW w:w="417" w:type="pct"/>
            <w:shd w:val="clear" w:color="auto" w:fill="auto"/>
            <w:noWrap/>
            <w:vAlign w:val="center"/>
          </w:tcPr>
          <w:p w14:paraId="4CD45B99">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2D1E3D45">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64011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144908C8">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eastAsia="方正仿宋_GB2312" w:cs="Times New Roman"/>
                <w:color w:val="000000" w:themeColor="text1"/>
                <w:kern w:val="0"/>
                <w:sz w:val="21"/>
                <w:szCs w:val="21"/>
                <w:lang w:eastAsia="zh-CN"/>
                <w14:textFill>
                  <w14:solidFill>
                    <w14:schemeClr w14:val="tx1"/>
                  </w14:solidFill>
                </w14:textFill>
              </w:rPr>
              <w:t>四</w:t>
            </w: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配套用房及附属用房面积</w:t>
            </w:r>
          </w:p>
        </w:tc>
        <w:tc>
          <w:tcPr>
            <w:tcW w:w="806" w:type="pct"/>
            <w:shd w:val="clear" w:color="auto" w:fill="auto"/>
            <w:noWrap/>
            <w:vAlign w:val="center"/>
          </w:tcPr>
          <w:p w14:paraId="40F54F73">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144.2</w:t>
            </w:r>
          </w:p>
        </w:tc>
        <w:tc>
          <w:tcPr>
            <w:tcW w:w="417" w:type="pct"/>
            <w:shd w:val="clear" w:color="auto" w:fill="auto"/>
            <w:noWrap/>
            <w:vAlign w:val="center"/>
          </w:tcPr>
          <w:p w14:paraId="3148C880">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1B53C309">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4DB55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1BBA199E">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四、</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计容面积</w:t>
            </w:r>
          </w:p>
        </w:tc>
        <w:tc>
          <w:tcPr>
            <w:tcW w:w="806" w:type="pct"/>
            <w:shd w:val="clear" w:color="auto" w:fill="auto"/>
            <w:noWrap/>
            <w:vAlign w:val="center"/>
          </w:tcPr>
          <w:p w14:paraId="660FECF6">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46082.97</w:t>
            </w:r>
          </w:p>
        </w:tc>
        <w:tc>
          <w:tcPr>
            <w:tcW w:w="417" w:type="pct"/>
            <w:shd w:val="clear" w:color="auto" w:fill="auto"/>
            <w:noWrap/>
            <w:vAlign w:val="center"/>
          </w:tcPr>
          <w:p w14:paraId="162B0CCB">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bidi="ar-SA"/>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39B5D3AE">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69D94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15891F3C">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五、</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建筑密度%</w:t>
            </w:r>
          </w:p>
        </w:tc>
        <w:tc>
          <w:tcPr>
            <w:tcW w:w="806" w:type="pct"/>
            <w:shd w:val="clear" w:color="auto" w:fill="auto"/>
            <w:noWrap/>
            <w:vAlign w:val="center"/>
          </w:tcPr>
          <w:p w14:paraId="4318DF8D">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43.92</w:t>
            </w:r>
          </w:p>
        </w:tc>
        <w:tc>
          <w:tcPr>
            <w:tcW w:w="417" w:type="pct"/>
            <w:shd w:val="clear" w:color="auto" w:fill="auto"/>
            <w:noWrap/>
            <w:vAlign w:val="center"/>
          </w:tcPr>
          <w:p w14:paraId="55094A7C">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w:t>
            </w:r>
          </w:p>
        </w:tc>
        <w:tc>
          <w:tcPr>
            <w:tcW w:w="1359" w:type="pct"/>
            <w:shd w:val="clear" w:color="auto" w:fill="auto"/>
            <w:noWrap/>
            <w:vAlign w:val="center"/>
          </w:tcPr>
          <w:p w14:paraId="5A6FF03E">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5F2A4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41E8F94A">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eastAsia="zh-CN"/>
                <w14:textFill>
                  <w14:solidFill>
                    <w14:schemeClr w14:val="tx1"/>
                  </w14:solidFill>
                </w14:textFill>
              </w:rPr>
              <w:t>六</w:t>
            </w: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配套用房总占地面积</w:t>
            </w:r>
          </w:p>
        </w:tc>
        <w:tc>
          <w:tcPr>
            <w:tcW w:w="806" w:type="pct"/>
            <w:shd w:val="clear" w:color="auto" w:fill="auto"/>
            <w:noWrap/>
            <w:vAlign w:val="center"/>
          </w:tcPr>
          <w:p w14:paraId="2536987C">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1784. 23</w:t>
            </w:r>
          </w:p>
        </w:tc>
        <w:tc>
          <w:tcPr>
            <w:tcW w:w="417" w:type="pct"/>
            <w:shd w:val="clear" w:color="auto" w:fill="auto"/>
            <w:noWrap/>
            <w:vAlign w:val="center"/>
          </w:tcPr>
          <w:p w14:paraId="323898D9">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bidi="ar-SA"/>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71828C40">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53BAD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6CFCD4DB">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办公及服务建筑用地比重</w:t>
            </w:r>
          </w:p>
        </w:tc>
        <w:tc>
          <w:tcPr>
            <w:tcW w:w="806" w:type="pct"/>
            <w:shd w:val="clear" w:color="auto" w:fill="auto"/>
            <w:noWrap/>
            <w:vAlign w:val="center"/>
          </w:tcPr>
          <w:p w14:paraId="30FF5B13">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4. 94</w:t>
            </w:r>
          </w:p>
        </w:tc>
        <w:tc>
          <w:tcPr>
            <w:tcW w:w="417" w:type="pct"/>
            <w:shd w:val="clear" w:color="auto" w:fill="auto"/>
            <w:noWrap/>
            <w:vAlign w:val="center"/>
          </w:tcPr>
          <w:p w14:paraId="6F3B723F">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w:t>
            </w:r>
          </w:p>
        </w:tc>
        <w:tc>
          <w:tcPr>
            <w:tcW w:w="1359" w:type="pct"/>
            <w:shd w:val="clear" w:color="auto" w:fill="auto"/>
            <w:noWrap/>
            <w:vAlign w:val="center"/>
          </w:tcPr>
          <w:p w14:paraId="0771E708">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22682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4951C673">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七、</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绿化面积</w:t>
            </w:r>
          </w:p>
        </w:tc>
        <w:tc>
          <w:tcPr>
            <w:tcW w:w="806" w:type="pct"/>
            <w:shd w:val="clear" w:color="auto" w:fill="auto"/>
            <w:noWrap/>
            <w:vAlign w:val="center"/>
          </w:tcPr>
          <w:p w14:paraId="380F3BE8">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5679.1</w:t>
            </w:r>
          </w:p>
        </w:tc>
        <w:tc>
          <w:tcPr>
            <w:tcW w:w="725" w:type="dxa"/>
            <w:shd w:val="clear" w:color="auto" w:fill="auto"/>
            <w:noWrap/>
            <w:vAlign w:val="center"/>
          </w:tcPr>
          <w:p w14:paraId="36D0985D">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601964B1">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3DBD7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13165348">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八、</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容积率</w:t>
            </w:r>
          </w:p>
        </w:tc>
        <w:tc>
          <w:tcPr>
            <w:tcW w:w="806" w:type="pct"/>
            <w:shd w:val="clear" w:color="auto" w:fill="auto"/>
            <w:noWrap/>
            <w:vAlign w:val="center"/>
          </w:tcPr>
          <w:p w14:paraId="532F54FB">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1. 28</w:t>
            </w:r>
          </w:p>
        </w:tc>
        <w:tc>
          <w:tcPr>
            <w:tcW w:w="417" w:type="pct"/>
            <w:shd w:val="clear" w:color="auto" w:fill="auto"/>
            <w:noWrap/>
            <w:vAlign w:val="center"/>
          </w:tcPr>
          <w:p w14:paraId="4108AF90">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c>
          <w:tcPr>
            <w:tcW w:w="1359" w:type="pct"/>
            <w:shd w:val="clear" w:color="auto" w:fill="auto"/>
            <w:noWrap/>
            <w:vAlign w:val="center"/>
          </w:tcPr>
          <w:p w14:paraId="51F45C4D">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42C18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4F7C8D8F">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九、</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绿化率</w:t>
            </w:r>
          </w:p>
        </w:tc>
        <w:tc>
          <w:tcPr>
            <w:tcW w:w="806" w:type="pct"/>
            <w:shd w:val="clear" w:color="auto" w:fill="auto"/>
            <w:noWrap/>
            <w:vAlign w:val="center"/>
          </w:tcPr>
          <w:p w14:paraId="7259328C">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16%</w:t>
            </w:r>
          </w:p>
        </w:tc>
        <w:tc>
          <w:tcPr>
            <w:tcW w:w="417" w:type="pct"/>
            <w:shd w:val="clear" w:color="auto" w:fill="auto"/>
            <w:noWrap/>
            <w:vAlign w:val="center"/>
          </w:tcPr>
          <w:p w14:paraId="6ACA1A04">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w:t>
            </w:r>
          </w:p>
        </w:tc>
        <w:tc>
          <w:tcPr>
            <w:tcW w:w="1359" w:type="pct"/>
            <w:shd w:val="clear" w:color="auto" w:fill="auto"/>
            <w:noWrap/>
            <w:vAlign w:val="center"/>
          </w:tcPr>
          <w:p w14:paraId="37BA1FBC">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762D0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48A7ABEE">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十、</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机动车停车位</w:t>
            </w:r>
          </w:p>
        </w:tc>
        <w:tc>
          <w:tcPr>
            <w:tcW w:w="806" w:type="pct"/>
            <w:shd w:val="clear" w:color="auto" w:fill="auto"/>
            <w:noWrap/>
            <w:vAlign w:val="center"/>
          </w:tcPr>
          <w:p w14:paraId="29F956BD">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100</w:t>
            </w:r>
          </w:p>
        </w:tc>
        <w:tc>
          <w:tcPr>
            <w:tcW w:w="417" w:type="pct"/>
            <w:shd w:val="clear" w:color="auto" w:fill="auto"/>
            <w:noWrap/>
            <w:vAlign w:val="center"/>
          </w:tcPr>
          <w:p w14:paraId="2D5D57AB">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个</w:t>
            </w:r>
          </w:p>
        </w:tc>
        <w:tc>
          <w:tcPr>
            <w:tcW w:w="1359" w:type="pct"/>
            <w:shd w:val="clear" w:color="auto" w:fill="auto"/>
            <w:noWrap/>
            <w:vAlign w:val="center"/>
          </w:tcPr>
          <w:p w14:paraId="5384DB1F">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4EF80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07C85A8A">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十一、</w:t>
            </w: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已建项目建筑面积合计</w:t>
            </w:r>
          </w:p>
        </w:tc>
        <w:tc>
          <w:tcPr>
            <w:tcW w:w="806" w:type="pct"/>
            <w:shd w:val="clear" w:color="auto" w:fill="auto"/>
            <w:noWrap/>
            <w:vAlign w:val="center"/>
          </w:tcPr>
          <w:p w14:paraId="0131D473">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19880.95</w:t>
            </w:r>
          </w:p>
        </w:tc>
        <w:tc>
          <w:tcPr>
            <w:tcW w:w="725" w:type="dxa"/>
            <w:shd w:val="clear" w:color="auto" w:fill="auto"/>
            <w:noWrap/>
            <w:vAlign w:val="center"/>
          </w:tcPr>
          <w:p w14:paraId="14BB0F47">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7491082B">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r w14:paraId="2AE52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16" w:type="pct"/>
            <w:shd w:val="clear" w:color="auto" w:fill="auto"/>
            <w:noWrap/>
            <w:vAlign w:val="center"/>
          </w:tcPr>
          <w:p w14:paraId="6049CDDF">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新建项目建筑面积合计</w:t>
            </w:r>
          </w:p>
        </w:tc>
        <w:tc>
          <w:tcPr>
            <w:tcW w:w="806" w:type="pct"/>
            <w:shd w:val="clear" w:color="auto" w:fill="auto"/>
            <w:noWrap/>
            <w:vAlign w:val="center"/>
          </w:tcPr>
          <w:p w14:paraId="1F3A219C">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14:textFill>
                  <w14:solidFill>
                    <w14:schemeClr w14:val="tx1"/>
                  </w14:solidFill>
                </w14:textFill>
              </w:rPr>
            </w:pPr>
            <w: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t>22012.35</w:t>
            </w:r>
          </w:p>
        </w:tc>
        <w:tc>
          <w:tcPr>
            <w:tcW w:w="725" w:type="dxa"/>
            <w:shd w:val="clear" w:color="auto" w:fill="auto"/>
            <w:noWrap/>
            <w:vAlign w:val="center"/>
          </w:tcPr>
          <w:p w14:paraId="6C6F8E79">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59" w:type="pct"/>
            <w:shd w:val="clear" w:color="auto" w:fill="auto"/>
            <w:noWrap/>
            <w:vAlign w:val="center"/>
          </w:tcPr>
          <w:p w14:paraId="76893990">
            <w:pPr>
              <w:widowControl/>
              <w:adjustRightInd/>
              <w:snapToGrid/>
              <w:spacing w:line="240" w:lineRule="auto"/>
              <w:ind w:firstLine="0" w:firstLineChars="0"/>
              <w:jc w:val="center"/>
              <w:rPr>
                <w:rFonts w:hint="eastAsia" w:ascii="Times New Roman" w:hAnsi="Times New Roman" w:eastAsia="方正仿宋_GB2312" w:cs="Times New Roman"/>
                <w:color w:val="000000" w:themeColor="text1"/>
                <w:kern w:val="0"/>
                <w:sz w:val="21"/>
                <w:szCs w:val="21"/>
                <w:lang w:val="en-US" w:eastAsia="zh-CN"/>
                <w14:textFill>
                  <w14:solidFill>
                    <w14:schemeClr w14:val="tx1"/>
                  </w14:solidFill>
                </w14:textFill>
              </w:rPr>
            </w:pPr>
          </w:p>
        </w:tc>
      </w:tr>
    </w:tbl>
    <w:p w14:paraId="5D16ED6C">
      <w:pPr>
        <w:pStyle w:val="33"/>
        <w:keepNext/>
        <w:keepLines w:val="0"/>
        <w:pageBreakBefore w:val="0"/>
        <w:widowControl w:val="0"/>
        <w:kinsoku/>
        <w:wordWrap/>
        <w:overflowPunct/>
        <w:topLinePunct w:val="0"/>
        <w:autoSpaceDE/>
        <w:autoSpaceDN/>
        <w:bidi w:val="0"/>
        <w:adjustRightInd w:val="0"/>
        <w:snapToGrid w:val="0"/>
        <w:spacing w:before="157" w:beforeLines="50" w:after="157" w:afterLines="50"/>
        <w:jc w:val="center"/>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表 2.1-</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 xml:space="preserve"> </w:t>
      </w:r>
      <w:r>
        <w:rPr>
          <w:rFonts w:hint="eastAsia"/>
          <w:color w:val="000000" w:themeColor="text1"/>
          <w:lang w:eastAsia="zh-CN"/>
          <w14:textFill>
            <w14:solidFill>
              <w14:schemeClr w14:val="tx1"/>
            </w14:solidFill>
          </w14:textFill>
        </w:rPr>
        <w:t>高新区兆辉新能源工业园及基础设施配套项目（二期）</w:t>
      </w:r>
      <w:r>
        <w:rPr>
          <w:rFonts w:hint="eastAsia"/>
          <w:color w:val="000000" w:themeColor="text1"/>
          <w14:textFill>
            <w14:solidFill>
              <w14:schemeClr w14:val="tx1"/>
            </w14:solidFill>
          </w14:textFill>
        </w:rPr>
        <w:t>经济技术指标表</w:t>
      </w:r>
    </w:p>
    <w:tbl>
      <w:tblPr>
        <w:tblStyle w:val="26"/>
        <w:tblW w:w="51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6"/>
        <w:gridCol w:w="1414"/>
        <w:gridCol w:w="709"/>
        <w:gridCol w:w="2384"/>
      </w:tblGrid>
      <w:tr w14:paraId="4BAFA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539F2A2A">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类型</w:t>
            </w:r>
          </w:p>
        </w:tc>
        <w:tc>
          <w:tcPr>
            <w:tcW w:w="812" w:type="pct"/>
            <w:shd w:val="clear" w:color="auto" w:fill="auto"/>
            <w:vAlign w:val="center"/>
          </w:tcPr>
          <w:p w14:paraId="1C21769C">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数值</w:t>
            </w:r>
          </w:p>
        </w:tc>
        <w:tc>
          <w:tcPr>
            <w:tcW w:w="407" w:type="pct"/>
            <w:shd w:val="clear" w:color="auto" w:fill="auto"/>
            <w:vAlign w:val="center"/>
          </w:tcPr>
          <w:p w14:paraId="4AD000FC">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单位</w:t>
            </w:r>
          </w:p>
        </w:tc>
        <w:tc>
          <w:tcPr>
            <w:tcW w:w="1369" w:type="pct"/>
            <w:shd w:val="clear" w:color="auto" w:fill="auto"/>
            <w:vAlign w:val="center"/>
          </w:tcPr>
          <w:p w14:paraId="28C293DF">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备注</w:t>
            </w:r>
          </w:p>
        </w:tc>
      </w:tr>
      <w:tr w14:paraId="5FD88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2BC2AE7E">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一、用地面积</w:t>
            </w:r>
          </w:p>
        </w:tc>
        <w:tc>
          <w:tcPr>
            <w:tcW w:w="812" w:type="pct"/>
            <w:shd w:val="clear" w:color="auto" w:fill="auto"/>
            <w:vAlign w:val="center"/>
          </w:tcPr>
          <w:p w14:paraId="66ACDCC8">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9521.00</w:t>
            </w:r>
          </w:p>
        </w:tc>
        <w:tc>
          <w:tcPr>
            <w:tcW w:w="407" w:type="pct"/>
            <w:shd w:val="clear" w:color="auto" w:fill="auto"/>
            <w:vAlign w:val="center"/>
          </w:tcPr>
          <w:p w14:paraId="109EC9AA">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lang w:val="en-US" w:eastAsia="zh-CN"/>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69" w:type="pct"/>
            <w:shd w:val="clear" w:color="auto" w:fill="auto"/>
            <w:vAlign w:val="center"/>
          </w:tcPr>
          <w:p w14:paraId="36AB2C8A">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　</w:t>
            </w:r>
          </w:p>
        </w:tc>
      </w:tr>
      <w:tr w14:paraId="7A5EA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1031DA4C">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二、新建总建筑面积</w:t>
            </w:r>
          </w:p>
        </w:tc>
        <w:tc>
          <w:tcPr>
            <w:tcW w:w="812" w:type="pct"/>
            <w:shd w:val="clear" w:color="auto" w:fill="auto"/>
            <w:vAlign w:val="center"/>
          </w:tcPr>
          <w:p w14:paraId="6390475C">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22012.35</w:t>
            </w:r>
          </w:p>
        </w:tc>
        <w:tc>
          <w:tcPr>
            <w:tcW w:w="407" w:type="pct"/>
            <w:shd w:val="clear" w:color="auto" w:fill="auto"/>
            <w:vAlign w:val="center"/>
          </w:tcPr>
          <w:p w14:paraId="310E85A4">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lang w:val="en-US" w:eastAsia="zh-CN" w:bidi="ar-SA"/>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69" w:type="pct"/>
            <w:shd w:val="clear" w:color="auto" w:fill="auto"/>
            <w:vAlign w:val="center"/>
          </w:tcPr>
          <w:p w14:paraId="1529A9AA">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highlight w:val="yellow"/>
                <w14:textFill>
                  <w14:solidFill>
                    <w14:schemeClr w14:val="tx1"/>
                  </w14:solidFill>
                </w14:textFill>
              </w:rPr>
            </w:pPr>
          </w:p>
        </w:tc>
      </w:tr>
      <w:tr w14:paraId="2BC0A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1BD47A2D">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（一）地上建筑面积</w:t>
            </w:r>
          </w:p>
        </w:tc>
        <w:tc>
          <w:tcPr>
            <w:tcW w:w="812" w:type="pct"/>
            <w:shd w:val="clear" w:color="auto" w:fill="auto"/>
            <w:vAlign w:val="center"/>
          </w:tcPr>
          <w:p w14:paraId="415FC386">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97792.74</w:t>
            </w:r>
          </w:p>
        </w:tc>
        <w:tc>
          <w:tcPr>
            <w:tcW w:w="407" w:type="pct"/>
            <w:shd w:val="clear" w:color="auto" w:fill="auto"/>
            <w:vAlign w:val="center"/>
          </w:tcPr>
          <w:p w14:paraId="11DCC7D8">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c>
          <w:tcPr>
            <w:tcW w:w="1369" w:type="pct"/>
            <w:shd w:val="clear" w:color="auto" w:fill="auto"/>
            <w:vAlign w:val="center"/>
          </w:tcPr>
          <w:p w14:paraId="5DEB6CFA">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highlight w:val="yellow"/>
                <w14:textFill>
                  <w14:solidFill>
                    <w14:schemeClr w14:val="tx1"/>
                  </w14:solidFill>
                </w14:textFill>
              </w:rPr>
            </w:pPr>
          </w:p>
        </w:tc>
      </w:tr>
      <w:tr w14:paraId="18665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18A9B57C">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7号生产车间</w:t>
            </w:r>
          </w:p>
        </w:tc>
        <w:tc>
          <w:tcPr>
            <w:tcW w:w="812" w:type="pct"/>
            <w:shd w:val="clear" w:color="auto" w:fill="auto"/>
            <w:vAlign w:val="center"/>
          </w:tcPr>
          <w:p w14:paraId="41A427B8">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13266.26</w:t>
            </w:r>
          </w:p>
        </w:tc>
        <w:tc>
          <w:tcPr>
            <w:tcW w:w="407" w:type="pct"/>
            <w:shd w:val="clear" w:color="auto" w:fill="auto"/>
            <w:vAlign w:val="center"/>
          </w:tcPr>
          <w:p w14:paraId="5194973C">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69" w:type="pct"/>
            <w:shd w:val="clear" w:color="auto" w:fill="auto"/>
            <w:vAlign w:val="center"/>
          </w:tcPr>
          <w:p w14:paraId="4C7AA706">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r>
      <w:tr w14:paraId="02119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2A0808CE">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配套用房建筑面积</w:t>
            </w:r>
          </w:p>
        </w:tc>
        <w:tc>
          <w:tcPr>
            <w:tcW w:w="812" w:type="pct"/>
            <w:shd w:val="clear" w:color="auto" w:fill="auto"/>
            <w:vAlign w:val="center"/>
          </w:tcPr>
          <w:p w14:paraId="1146815C">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72.8</w:t>
            </w:r>
          </w:p>
        </w:tc>
        <w:tc>
          <w:tcPr>
            <w:tcW w:w="407" w:type="pct"/>
            <w:shd w:val="clear" w:color="auto" w:fill="auto"/>
            <w:vAlign w:val="center"/>
          </w:tcPr>
          <w:p w14:paraId="58DD5494">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69" w:type="pct"/>
            <w:shd w:val="clear" w:color="auto" w:fill="auto"/>
            <w:vAlign w:val="center"/>
          </w:tcPr>
          <w:p w14:paraId="3E028769">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r>
      <w:tr w14:paraId="1734F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77236EB1">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（二）地下室建筑面积</w:t>
            </w:r>
          </w:p>
        </w:tc>
        <w:tc>
          <w:tcPr>
            <w:tcW w:w="812" w:type="pct"/>
            <w:shd w:val="clear" w:color="auto" w:fill="auto"/>
            <w:vAlign w:val="center"/>
          </w:tcPr>
          <w:p w14:paraId="255A8247">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4284.21</w:t>
            </w:r>
          </w:p>
        </w:tc>
        <w:tc>
          <w:tcPr>
            <w:tcW w:w="407" w:type="pct"/>
            <w:shd w:val="clear" w:color="auto" w:fill="auto"/>
            <w:vAlign w:val="center"/>
          </w:tcPr>
          <w:p w14:paraId="1C449FA8">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69" w:type="pct"/>
            <w:shd w:val="clear" w:color="auto" w:fill="auto"/>
            <w:vAlign w:val="center"/>
          </w:tcPr>
          <w:p w14:paraId="0FADBCE9">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　</w:t>
            </w:r>
          </w:p>
        </w:tc>
      </w:tr>
      <w:tr w14:paraId="4FA61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661D20E0">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三、建筑基底面积</w:t>
            </w:r>
          </w:p>
        </w:tc>
        <w:tc>
          <w:tcPr>
            <w:tcW w:w="812" w:type="pct"/>
            <w:shd w:val="clear" w:color="auto" w:fill="auto"/>
            <w:vAlign w:val="center"/>
          </w:tcPr>
          <w:p w14:paraId="068331E1">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4439.08</w:t>
            </w:r>
          </w:p>
        </w:tc>
        <w:tc>
          <w:tcPr>
            <w:tcW w:w="407" w:type="pct"/>
            <w:shd w:val="clear" w:color="auto" w:fill="auto"/>
            <w:vAlign w:val="center"/>
          </w:tcPr>
          <w:p w14:paraId="721D4BEB">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69" w:type="pct"/>
            <w:shd w:val="clear" w:color="auto" w:fill="auto"/>
            <w:vAlign w:val="center"/>
          </w:tcPr>
          <w:p w14:paraId="68F665A3">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r>
      <w:tr w14:paraId="0AAFA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316891E0">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四、建筑密度</w:t>
            </w:r>
          </w:p>
        </w:tc>
        <w:tc>
          <w:tcPr>
            <w:tcW w:w="812" w:type="pct"/>
            <w:shd w:val="clear" w:color="auto" w:fill="auto"/>
            <w:vAlign w:val="center"/>
          </w:tcPr>
          <w:p w14:paraId="13B1008A">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43.92</w:t>
            </w:r>
          </w:p>
        </w:tc>
        <w:tc>
          <w:tcPr>
            <w:tcW w:w="407" w:type="pct"/>
            <w:shd w:val="clear" w:color="auto" w:fill="auto"/>
            <w:vAlign w:val="center"/>
          </w:tcPr>
          <w:p w14:paraId="086E7086">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p>
        </w:tc>
        <w:tc>
          <w:tcPr>
            <w:tcW w:w="1369" w:type="pct"/>
            <w:shd w:val="clear" w:color="auto" w:fill="auto"/>
            <w:vAlign w:val="center"/>
          </w:tcPr>
          <w:p w14:paraId="0FDF759C">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r>
      <w:tr w14:paraId="3E4CB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107D5C00">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五、容积率</w:t>
            </w:r>
          </w:p>
        </w:tc>
        <w:tc>
          <w:tcPr>
            <w:tcW w:w="812" w:type="pct"/>
            <w:shd w:val="clear" w:color="auto" w:fill="auto"/>
            <w:vAlign w:val="center"/>
          </w:tcPr>
          <w:p w14:paraId="343F2D7D">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1.28</w:t>
            </w:r>
          </w:p>
        </w:tc>
        <w:tc>
          <w:tcPr>
            <w:tcW w:w="407" w:type="pct"/>
            <w:shd w:val="clear" w:color="auto" w:fill="auto"/>
            <w:vAlign w:val="center"/>
          </w:tcPr>
          <w:p w14:paraId="76C0E4CE">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c>
          <w:tcPr>
            <w:tcW w:w="1369" w:type="pct"/>
            <w:shd w:val="clear" w:color="auto" w:fill="auto"/>
            <w:vAlign w:val="center"/>
          </w:tcPr>
          <w:p w14:paraId="6116AF37">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r>
      <w:tr w14:paraId="0F925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2144694E">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六、绿地面积</w:t>
            </w:r>
          </w:p>
        </w:tc>
        <w:tc>
          <w:tcPr>
            <w:tcW w:w="812" w:type="pct"/>
            <w:shd w:val="clear" w:color="auto" w:fill="auto"/>
            <w:vAlign w:val="center"/>
          </w:tcPr>
          <w:p w14:paraId="58889074">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1201.12</w:t>
            </w:r>
          </w:p>
        </w:tc>
        <w:tc>
          <w:tcPr>
            <w:tcW w:w="407" w:type="pct"/>
            <w:shd w:val="clear" w:color="auto" w:fill="auto"/>
            <w:vAlign w:val="center"/>
          </w:tcPr>
          <w:p w14:paraId="0A1A980C">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lang w:val="en-US" w:eastAsia="zh-CN" w:bidi="ar-SA"/>
                <w14:textFill>
                  <w14:solidFill>
                    <w14:schemeClr w14:val="tx1"/>
                  </w14:solidFill>
                </w14:textFill>
              </w:rPr>
            </w:pPr>
            <w:r>
              <w:rPr>
                <w:rFonts w:hint="eastAsia" w:eastAsia="方正仿宋_GB2312" w:cs="Times New Roman"/>
                <w:color w:val="000000" w:themeColor="text1"/>
                <w:kern w:val="0"/>
                <w:sz w:val="21"/>
                <w:szCs w:val="21"/>
                <w:lang w:val="en-US" w:eastAsia="zh-CN"/>
                <w14:textFill>
                  <w14:solidFill>
                    <w14:schemeClr w14:val="tx1"/>
                  </w14:solidFill>
                </w14:textFill>
              </w:rPr>
              <w:t>m</w:t>
            </w:r>
            <w:r>
              <w:rPr>
                <w:rFonts w:hint="eastAsia" w:eastAsia="方正仿宋_GB2312" w:cs="Times New Roman"/>
                <w:color w:val="000000" w:themeColor="text1"/>
                <w:kern w:val="0"/>
                <w:sz w:val="21"/>
                <w:szCs w:val="21"/>
                <w:vertAlign w:val="superscript"/>
                <w:lang w:val="en-US" w:eastAsia="zh-CN"/>
                <w14:textFill>
                  <w14:solidFill>
                    <w14:schemeClr w14:val="tx1"/>
                  </w14:solidFill>
                </w14:textFill>
              </w:rPr>
              <w:t>2</w:t>
            </w:r>
          </w:p>
        </w:tc>
        <w:tc>
          <w:tcPr>
            <w:tcW w:w="1369" w:type="pct"/>
            <w:shd w:val="clear" w:color="auto" w:fill="auto"/>
            <w:vAlign w:val="center"/>
          </w:tcPr>
          <w:p w14:paraId="3947B909">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r>
      <w:tr w14:paraId="44ABD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7CED8025">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七、绿地率</w:t>
            </w:r>
          </w:p>
        </w:tc>
        <w:tc>
          <w:tcPr>
            <w:tcW w:w="812" w:type="pct"/>
            <w:shd w:val="clear" w:color="auto" w:fill="auto"/>
            <w:vAlign w:val="center"/>
          </w:tcPr>
          <w:p w14:paraId="3E5A0606">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13</w:t>
            </w:r>
          </w:p>
        </w:tc>
        <w:tc>
          <w:tcPr>
            <w:tcW w:w="407" w:type="pct"/>
            <w:shd w:val="clear" w:color="auto" w:fill="auto"/>
            <w:vAlign w:val="center"/>
          </w:tcPr>
          <w:p w14:paraId="1EA5F451">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w:t>
            </w:r>
          </w:p>
        </w:tc>
        <w:tc>
          <w:tcPr>
            <w:tcW w:w="1369" w:type="pct"/>
            <w:shd w:val="clear" w:color="auto" w:fill="auto"/>
            <w:vAlign w:val="center"/>
          </w:tcPr>
          <w:p w14:paraId="5F9A7CA0">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r>
      <w:tr w14:paraId="02A4F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410" w:type="pct"/>
            <w:shd w:val="clear" w:color="auto" w:fill="auto"/>
            <w:vAlign w:val="center"/>
          </w:tcPr>
          <w:p w14:paraId="10881ABC">
            <w:pPr>
              <w:widowControl/>
              <w:adjustRightInd/>
              <w:snapToGrid/>
              <w:spacing w:line="240" w:lineRule="auto"/>
              <w:ind w:firstLine="1260" w:firstLineChars="600"/>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 xml:space="preserve">八、新建机动车位 </w:t>
            </w:r>
          </w:p>
        </w:tc>
        <w:tc>
          <w:tcPr>
            <w:tcW w:w="812" w:type="pct"/>
            <w:shd w:val="clear" w:color="auto" w:fill="auto"/>
            <w:vAlign w:val="center"/>
          </w:tcPr>
          <w:p w14:paraId="50764EC6">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100</w:t>
            </w:r>
          </w:p>
        </w:tc>
        <w:tc>
          <w:tcPr>
            <w:tcW w:w="407" w:type="pct"/>
            <w:shd w:val="clear" w:color="auto" w:fill="auto"/>
            <w:vAlign w:val="center"/>
          </w:tcPr>
          <w:p w14:paraId="65B8EFC6">
            <w:pPr>
              <w:widowControl/>
              <w:adjustRightInd/>
              <w:snapToGrid/>
              <w:spacing w:line="240" w:lineRule="auto"/>
              <w:ind w:firstLine="0" w:firstLineChars="0"/>
              <w:jc w:val="center"/>
              <w:rPr>
                <w:rFonts w:hint="default" w:ascii="Times New Roman" w:hAnsi="Times New Roman" w:eastAsia="方正仿宋_GB2312" w:cs="Times New Roman"/>
                <w:color w:val="000000" w:themeColor="text1"/>
                <w:kern w:val="0"/>
                <w:sz w:val="21"/>
                <w:szCs w:val="21"/>
                <w14:textFill>
                  <w14:solidFill>
                    <w14:schemeClr w14:val="tx1"/>
                  </w14:solidFill>
                </w14:textFill>
              </w:rPr>
            </w:pPr>
            <w:r>
              <w:rPr>
                <w:rFonts w:hint="default" w:ascii="Times New Roman" w:hAnsi="Times New Roman" w:eastAsia="方正仿宋_GB2312" w:cs="Times New Roman"/>
                <w:color w:val="000000" w:themeColor="text1"/>
                <w:kern w:val="0"/>
                <w:sz w:val="21"/>
                <w:szCs w:val="21"/>
                <w14:textFill>
                  <w14:solidFill>
                    <w14:schemeClr w14:val="tx1"/>
                  </w14:solidFill>
                </w14:textFill>
              </w:rPr>
              <w:t>个</w:t>
            </w:r>
          </w:p>
        </w:tc>
        <w:tc>
          <w:tcPr>
            <w:tcW w:w="1369" w:type="pct"/>
            <w:shd w:val="clear" w:color="auto" w:fill="auto"/>
            <w:vAlign w:val="center"/>
          </w:tcPr>
          <w:p w14:paraId="02D363B6">
            <w:pPr>
              <w:widowControl/>
              <w:adjustRightInd/>
              <w:snapToGrid/>
              <w:spacing w:line="240" w:lineRule="auto"/>
              <w:ind w:firstLine="0" w:firstLineChars="0"/>
              <w:rPr>
                <w:rFonts w:hint="default" w:ascii="Times New Roman" w:hAnsi="Times New Roman" w:eastAsia="方正仿宋_GB2312" w:cs="Times New Roman"/>
                <w:color w:val="000000" w:themeColor="text1"/>
                <w:kern w:val="0"/>
                <w:sz w:val="21"/>
                <w:szCs w:val="21"/>
                <w14:textFill>
                  <w14:solidFill>
                    <w14:schemeClr w14:val="tx1"/>
                  </w14:solidFill>
                </w14:textFill>
              </w:rPr>
            </w:pPr>
          </w:p>
        </w:tc>
      </w:tr>
    </w:tbl>
    <w:p w14:paraId="498CB40D">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2.1.2项目组成</w:t>
      </w:r>
    </w:p>
    <w:p w14:paraId="35E428B7">
      <w:pPr>
        <w:pStyle w:val="5"/>
        <w:spacing w:before="78"/>
        <w:ind w:firstLine="241" w:firstLineChars="10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.1.2.1 </w:t>
      </w:r>
      <w:r>
        <w:rPr>
          <w:rFonts w:hint="eastAsia"/>
          <w:color w:val="000000" w:themeColor="text1"/>
          <w14:textFill>
            <w14:solidFill>
              <w14:schemeClr w14:val="tx1"/>
            </w14:solidFill>
          </w14:textFill>
        </w:rPr>
        <w:t>建构筑物工程</w:t>
      </w:r>
    </w:p>
    <w:p w14:paraId="0CFABB84">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定位为新能源工业园区，项目建成后，将为入驻企业提供更好的投资载体，从而更好地促进产业项目上阵，快节奏投产达效，加快形成区域集中、产业集群、开发集约的产业生态链，同时可以从根本上解决在引入新能源汽车制造企业时，基础设施及配套设施不足等问题，顺应了绵阳高新区稳增长的发展目的。</w:t>
      </w:r>
    </w:p>
    <w:p w14:paraId="09F871ED">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本项目</w:t>
      </w:r>
      <w:r>
        <w:rPr>
          <w:rFonts w:hint="eastAsia" w:cs="Times New Roman"/>
          <w:bCs/>
          <w:color w:val="000000" w:themeColor="text1"/>
          <w:lang w:eastAsia="zh-CN"/>
          <w14:textFill>
            <w14:solidFill>
              <w14:schemeClr w14:val="tx1"/>
            </w14:solidFill>
          </w14:textFill>
        </w:rPr>
        <w:t>分为一二两期，</w:t>
      </w:r>
      <w:r>
        <w:rPr>
          <w:rFonts w:cs="Times New Roman"/>
          <w:bCs/>
          <w:color w:val="000000" w:themeColor="text1"/>
          <w14:textFill>
            <w14:solidFill>
              <w14:schemeClr w14:val="tx1"/>
            </w14:solidFill>
          </w14:textFill>
        </w:rPr>
        <w:t>项目一期</w:t>
      </w:r>
      <w:r>
        <w:rPr>
          <w:rFonts w:hint="eastAsia" w:cs="Times New Roman"/>
          <w:bCs/>
          <w:color w:val="000000" w:themeColor="text1"/>
          <w:lang w:eastAsia="zh-CN"/>
          <w14:textFill>
            <w14:solidFill>
              <w14:schemeClr w14:val="tx1"/>
            </w14:solidFill>
          </w14:textFill>
        </w:rPr>
        <w:t>包括1号办公楼、2号倒班房、4号生产车间、5号生产车间、6号生产车间、门卫室，</w:t>
      </w:r>
      <w:r>
        <w:rPr>
          <w:rFonts w:cs="Times New Roman"/>
          <w:bCs/>
          <w:color w:val="000000" w:themeColor="text1"/>
          <w14:textFill>
            <w14:solidFill>
              <w14:schemeClr w14:val="tx1"/>
            </w14:solidFill>
          </w14:textFill>
        </w:rPr>
        <w:t>已全部建设完成并投入使用，二期项目为与一期项目同时规划的生产厂房和附属配套工程，其中新建7号生产车间一栋，建筑面积为21939.55</w:t>
      </w:r>
      <w:r>
        <w:rPr>
          <w:rFonts w:hint="eastAsia" w:cs="Times New Roman"/>
          <w:bCs/>
          <w:color w:val="000000" w:themeColor="text1"/>
          <w14:textFill>
            <w14:solidFill>
              <w14:schemeClr w14:val="tx1"/>
            </w14:solidFill>
          </w14:textFill>
        </w:rPr>
        <w:t>m</w:t>
      </w:r>
      <w:r>
        <w:rPr>
          <w:rFonts w:hint="eastAsia" w:cs="Times New Roman"/>
          <w:bCs/>
          <w:color w:val="000000" w:themeColor="text1"/>
          <w:vertAlign w:val="superscript"/>
          <w14:textFill>
            <w14:solidFill>
              <w14:schemeClr w14:val="tx1"/>
            </w14:solidFill>
          </w14:textFill>
        </w:rPr>
        <w:t>2</w:t>
      </w:r>
      <w:r>
        <w:rPr>
          <w:rFonts w:cs="Times New Roman"/>
          <w:bCs/>
          <w:color w:val="000000" w:themeColor="text1"/>
          <w14:textFill>
            <w14:solidFill>
              <w14:schemeClr w14:val="tx1"/>
            </w14:solidFill>
          </w14:textFill>
        </w:rPr>
        <w:t>；新建附属配套用房一栋，建筑面积为72.8</w:t>
      </w:r>
      <w:r>
        <w:rPr>
          <w:rFonts w:hint="eastAsia" w:cs="Times New Roman"/>
          <w:bCs/>
          <w:color w:val="000000" w:themeColor="text1"/>
          <w14:textFill>
            <w14:solidFill>
              <w14:schemeClr w14:val="tx1"/>
            </w14:solidFill>
          </w14:textFill>
        </w:rPr>
        <w:t>m</w:t>
      </w:r>
      <w:r>
        <w:rPr>
          <w:rFonts w:hint="eastAsia" w:cs="Times New Roman"/>
          <w:bCs/>
          <w:color w:val="000000" w:themeColor="text1"/>
          <w:vertAlign w:val="superscript"/>
          <w14:textFill>
            <w14:solidFill>
              <w14:schemeClr w14:val="tx1"/>
            </w14:solidFill>
          </w14:textFill>
        </w:rPr>
        <w:t>2</w:t>
      </w:r>
      <w:r>
        <w:rPr>
          <w:rFonts w:cs="Times New Roman"/>
          <w:bCs/>
          <w:color w:val="000000" w:themeColor="text1"/>
          <w14:textFill>
            <w14:solidFill>
              <w14:schemeClr w14:val="tx1"/>
            </w14:solidFill>
          </w14:textFill>
        </w:rPr>
        <w:t>。</w:t>
      </w:r>
    </w:p>
    <w:p w14:paraId="1B3742B4">
      <w:pPr>
        <w:ind w:firstLine="480"/>
        <w:rPr>
          <w:rFonts w:cs="Times New Roman"/>
          <w:bCs/>
          <w:color w:val="000000" w:themeColor="text1"/>
          <w14:textFill>
            <w14:solidFill>
              <w14:schemeClr w14:val="tx1"/>
            </w14:solidFill>
          </w14:textFill>
        </w:rPr>
      </w:pPr>
      <w:r>
        <w:rPr>
          <w:rFonts w:hint="eastAsia" w:cs="Times New Roman"/>
          <w:bCs/>
          <w:color w:val="000000" w:themeColor="text1"/>
          <w:lang w:eastAsia="zh-CN"/>
          <w14:textFill>
            <w14:solidFill>
              <w14:schemeClr w14:val="tx1"/>
            </w14:solidFill>
          </w14:textFill>
        </w:rPr>
        <w:t>二期项目的</w:t>
      </w:r>
      <w:r>
        <w:rPr>
          <w:rFonts w:cs="Times New Roman"/>
          <w:bCs/>
          <w:color w:val="000000" w:themeColor="text1"/>
          <w14:textFill>
            <w14:solidFill>
              <w14:schemeClr w14:val="tx1"/>
            </w14:solidFill>
          </w14:textFill>
        </w:rPr>
        <w:t>7号生产车间为地上4层，地下1层，总建筑面积为:21939.55</w:t>
      </w:r>
      <w:r>
        <w:rPr>
          <w:rFonts w:hint="eastAsia" w:cs="Times New Roman"/>
          <w:bCs/>
          <w:color w:val="000000" w:themeColor="text1"/>
          <w14:textFill>
            <w14:solidFill>
              <w14:schemeClr w14:val="tx1"/>
            </w14:solidFill>
          </w14:textFill>
        </w:rPr>
        <w:t>m</w:t>
      </w:r>
      <w:r>
        <w:rPr>
          <w:rFonts w:hint="eastAsia" w:cs="Times New Roman"/>
          <w:bCs/>
          <w:color w:val="000000" w:themeColor="text1"/>
          <w:vertAlign w:val="superscript"/>
          <w14:textFill>
            <w14:solidFill>
              <w14:schemeClr w14:val="tx1"/>
            </w14:solidFill>
          </w14:textFill>
        </w:rPr>
        <w:t>2</w:t>
      </w:r>
      <w:r>
        <w:rPr>
          <w:rFonts w:cs="Times New Roman"/>
          <w:bCs/>
          <w:color w:val="000000" w:themeColor="text1"/>
          <w14:textFill>
            <w14:solidFill>
              <w14:schemeClr w14:val="tx1"/>
            </w14:solidFill>
          </w14:textFill>
        </w:rPr>
        <w:t>，</w:t>
      </w:r>
      <w:r>
        <w:rPr>
          <w:rFonts w:hint="eastAsia" w:cs="Times New Roman"/>
          <w:bCs/>
          <w:color w:val="000000" w:themeColor="text1"/>
          <w14:textFill>
            <w14:solidFill>
              <w14:schemeClr w14:val="tx1"/>
            </w14:solidFill>
          </w14:textFill>
        </w:rPr>
        <w:t>建筑高度22.65m</w:t>
      </w:r>
      <w:r>
        <w:rPr>
          <w:rFonts w:hint="eastAsia" w:cs="Times New Roman"/>
          <w:bCs/>
          <w:color w:val="000000" w:themeColor="text1"/>
          <w:lang w:eastAsia="zh-CN"/>
          <w14:textFill>
            <w14:solidFill>
              <w14:schemeClr w14:val="tx1"/>
            </w14:solidFill>
          </w14:textFill>
        </w:rPr>
        <w:t>，地上部分1层6.60</w:t>
      </w:r>
      <w:r>
        <w:rPr>
          <w:rFonts w:hint="eastAsia" w:cs="Times New Roman"/>
          <w:bCs/>
          <w:color w:val="000000" w:themeColor="text1"/>
          <w14:textFill>
            <w14:solidFill>
              <w14:schemeClr w14:val="tx1"/>
            </w14:solidFill>
          </w14:textFill>
        </w:rPr>
        <w:t>m</w:t>
      </w:r>
      <w:r>
        <w:rPr>
          <w:rFonts w:hint="eastAsia" w:cs="Times New Roman"/>
          <w:bCs/>
          <w:color w:val="000000" w:themeColor="text1"/>
          <w:lang w:eastAsia="zh-CN"/>
          <w14:textFill>
            <w14:solidFill>
              <w14:schemeClr w14:val="tx1"/>
            </w14:solidFill>
          </w14:textFill>
        </w:rPr>
        <w:t>、2-4层层高均为4.80</w:t>
      </w:r>
      <w:r>
        <w:rPr>
          <w:rFonts w:hint="eastAsia" w:cs="Times New Roman"/>
          <w:bCs/>
          <w:color w:val="000000" w:themeColor="text1"/>
          <w14:textFill>
            <w14:solidFill>
              <w14:schemeClr w14:val="tx1"/>
            </w14:solidFill>
          </w14:textFill>
        </w:rPr>
        <w:t>m</w:t>
      </w:r>
      <w:r>
        <w:rPr>
          <w:rFonts w:hint="eastAsia" w:cs="Times New Roman"/>
          <w:bCs/>
          <w:color w:val="000000" w:themeColor="text1"/>
          <w:lang w:eastAsia="zh-CN"/>
          <w14:textFill>
            <w14:solidFill>
              <w14:schemeClr w14:val="tx1"/>
            </w14:solidFill>
          </w14:textFill>
        </w:rPr>
        <w:t>，地下室层高4.20</w:t>
      </w:r>
      <w:r>
        <w:rPr>
          <w:rFonts w:hint="eastAsia" w:cs="Times New Roman"/>
          <w:bCs/>
          <w:color w:val="000000" w:themeColor="text1"/>
          <w14:textFill>
            <w14:solidFill>
              <w14:schemeClr w14:val="tx1"/>
            </w14:solidFill>
          </w14:textFill>
        </w:rPr>
        <w:t>m</w:t>
      </w:r>
      <w:r>
        <w:rPr>
          <w:rFonts w:cs="Times New Roman"/>
          <w:bCs/>
          <w:color w:val="000000" w:themeColor="text1"/>
          <w14:textFill>
            <w14:solidFill>
              <w14:schemeClr w14:val="tx1"/>
            </w14:solidFill>
          </w14:textFill>
        </w:rPr>
        <w:t>。建筑耐火等级地上二级</w:t>
      </w:r>
      <w:r>
        <w:rPr>
          <w:rFonts w:hint="eastAsia" w:cs="Times New Roman"/>
          <w:bCs/>
          <w:color w:val="000000" w:themeColor="text1"/>
          <w14:textFill>
            <w14:solidFill>
              <w14:schemeClr w14:val="tx1"/>
            </w14:solidFill>
          </w14:textFill>
        </w:rPr>
        <w:t>，</w:t>
      </w:r>
      <w:r>
        <w:rPr>
          <w:rFonts w:cs="Times New Roman"/>
          <w:bCs/>
          <w:color w:val="000000" w:themeColor="text1"/>
          <w14:textFill>
            <w14:solidFill>
              <w14:schemeClr w14:val="tx1"/>
            </w14:solidFill>
          </w14:textFill>
        </w:rPr>
        <w:t>地下一级，屋面防水等级</w:t>
      </w:r>
      <w:r>
        <w:rPr>
          <w:rFonts w:hint="eastAsia" w:cs="Times New Roman"/>
          <w:bCs/>
          <w:color w:val="000000" w:themeColor="text1"/>
          <w14:textFill>
            <w14:solidFill>
              <w14:schemeClr w14:val="tx1"/>
            </w14:solidFill>
          </w14:textFill>
        </w:rPr>
        <w:t>为二</w:t>
      </w:r>
      <w:r>
        <w:rPr>
          <w:rFonts w:cs="Times New Roman"/>
          <w:bCs/>
          <w:color w:val="000000" w:themeColor="text1"/>
          <w14:textFill>
            <w14:solidFill>
              <w14:schemeClr w14:val="tx1"/>
            </w14:solidFill>
          </w14:textFill>
        </w:rPr>
        <w:t>级</w:t>
      </w:r>
      <w:r>
        <w:rPr>
          <w:rFonts w:hint="eastAsia" w:cs="Times New Roman"/>
          <w:bCs/>
          <w:color w:val="000000" w:themeColor="text1"/>
          <w14:textFill>
            <w14:solidFill>
              <w14:schemeClr w14:val="tx1"/>
            </w14:solidFill>
          </w14:textFill>
        </w:rPr>
        <w:t>，抗震设防烈度为7度</w:t>
      </w:r>
      <w:r>
        <w:rPr>
          <w:rFonts w:cs="Times New Roman"/>
          <w:bCs/>
          <w:color w:val="000000" w:themeColor="text1"/>
          <w14:textFill>
            <w14:solidFill>
              <w14:schemeClr w14:val="tx1"/>
            </w14:solidFill>
          </w14:textFill>
        </w:rPr>
        <w:t>。建筑设计使用年限50年，结构形式为框架结构，屋面形式为平屋面。</w:t>
      </w:r>
    </w:p>
    <w:p w14:paraId="3206B04F">
      <w:pPr>
        <w:ind w:firstLine="480"/>
        <w:rPr>
          <w:rFonts w:cs="Times New Roman"/>
          <w:bCs/>
          <w:color w:val="000000" w:themeColor="text1"/>
          <w14:textFill>
            <w14:solidFill>
              <w14:schemeClr w14:val="tx1"/>
            </w14:solidFill>
          </w14:textFill>
        </w:rPr>
      </w:pPr>
      <w:r>
        <w:rPr>
          <w:rFonts w:hint="eastAsia" w:cs="Times New Roman"/>
          <w:bCs/>
          <w:color w:val="000000" w:themeColor="text1"/>
          <w:lang w:eastAsia="zh-CN"/>
          <w14:textFill>
            <w14:solidFill>
              <w14:schemeClr w14:val="tx1"/>
            </w14:solidFill>
          </w14:textFill>
        </w:rPr>
        <w:t>二期项目的</w:t>
      </w:r>
      <w:r>
        <w:rPr>
          <w:rFonts w:cs="Times New Roman"/>
          <w:bCs/>
          <w:color w:val="000000" w:themeColor="text1"/>
          <w14:textFill>
            <w14:solidFill>
              <w14:schemeClr w14:val="tx1"/>
            </w14:solidFill>
          </w14:textFill>
        </w:rPr>
        <w:t>附属配套用房为单层公共建筑，总建筑面积为72.8</w:t>
      </w:r>
      <w:r>
        <w:rPr>
          <w:rFonts w:hint="eastAsia" w:cs="Times New Roman"/>
          <w:bCs/>
          <w:color w:val="000000" w:themeColor="text1"/>
          <w14:textFill>
            <w14:solidFill>
              <w14:schemeClr w14:val="tx1"/>
            </w14:solidFill>
          </w14:textFill>
        </w:rPr>
        <w:t>m</w:t>
      </w:r>
      <w:r>
        <w:rPr>
          <w:rFonts w:hint="eastAsia" w:cs="Times New Roman"/>
          <w:bCs/>
          <w:color w:val="000000" w:themeColor="text1"/>
          <w:vertAlign w:val="superscript"/>
          <w14:textFill>
            <w14:solidFill>
              <w14:schemeClr w14:val="tx1"/>
            </w14:solidFill>
          </w14:textFill>
        </w:rPr>
        <w:t>2</w:t>
      </w:r>
      <w:r>
        <w:rPr>
          <w:rFonts w:cs="Times New Roman"/>
          <w:bCs/>
          <w:color w:val="000000" w:themeColor="text1"/>
          <w14:textFill>
            <w14:solidFill>
              <w14:schemeClr w14:val="tx1"/>
            </w14:solidFill>
          </w14:textFill>
        </w:rPr>
        <w:t>，</w:t>
      </w:r>
      <w:r>
        <w:rPr>
          <w:rFonts w:hint="eastAsia" w:cs="Times New Roman"/>
          <w:bCs/>
          <w:color w:val="000000" w:themeColor="text1"/>
          <w14:textFill>
            <w14:solidFill>
              <w14:schemeClr w14:val="tx1"/>
            </w14:solidFill>
          </w14:textFill>
        </w:rPr>
        <w:t>建筑高度</w:t>
      </w:r>
      <w:r>
        <w:rPr>
          <w:rFonts w:hint="eastAsia" w:cs="Times New Roman"/>
          <w:bCs/>
          <w:color w:val="000000" w:themeColor="text1"/>
          <w:lang w:val="en-US" w:eastAsia="zh-CN"/>
          <w14:textFill>
            <w14:solidFill>
              <w14:schemeClr w14:val="tx1"/>
            </w14:solidFill>
          </w14:textFill>
        </w:rPr>
        <w:t>4.65m</w:t>
      </w:r>
      <w:r>
        <w:rPr>
          <w:rFonts w:cs="Times New Roman"/>
          <w:bCs/>
          <w:color w:val="000000" w:themeColor="text1"/>
          <w14:textFill>
            <w14:solidFill>
              <w14:schemeClr w14:val="tx1"/>
            </w14:solidFill>
          </w14:textFill>
        </w:rPr>
        <w:t>。建筑耐火等级为二级，屋面防水等级</w:t>
      </w:r>
      <w:r>
        <w:rPr>
          <w:rFonts w:hint="eastAsia" w:cs="Times New Roman"/>
          <w:bCs/>
          <w:color w:val="000000" w:themeColor="text1"/>
          <w14:textFill>
            <w14:solidFill>
              <w14:schemeClr w14:val="tx1"/>
            </w14:solidFill>
          </w14:textFill>
        </w:rPr>
        <w:t>为二</w:t>
      </w:r>
      <w:r>
        <w:rPr>
          <w:rFonts w:cs="Times New Roman"/>
          <w:bCs/>
          <w:color w:val="000000" w:themeColor="text1"/>
          <w14:textFill>
            <w14:solidFill>
              <w14:schemeClr w14:val="tx1"/>
            </w14:solidFill>
          </w14:textFill>
        </w:rPr>
        <w:t>级</w:t>
      </w:r>
      <w:r>
        <w:rPr>
          <w:rFonts w:hint="eastAsia" w:cs="Times New Roman"/>
          <w:bCs/>
          <w:color w:val="000000" w:themeColor="text1"/>
          <w14:textFill>
            <w14:solidFill>
              <w14:schemeClr w14:val="tx1"/>
            </w14:solidFill>
          </w14:textFill>
        </w:rPr>
        <w:t>，抗震设防烈度为7度</w:t>
      </w:r>
      <w:r>
        <w:rPr>
          <w:rFonts w:cs="Times New Roman"/>
          <w:bCs/>
          <w:color w:val="000000" w:themeColor="text1"/>
          <w14:textFill>
            <w14:solidFill>
              <w14:schemeClr w14:val="tx1"/>
            </w14:solidFill>
          </w14:textFill>
        </w:rPr>
        <w:t>。建筑设计使用年限50年，结构形式为框架结构，屋面形式为平屋面。</w:t>
      </w:r>
    </w:p>
    <w:p w14:paraId="45A69406">
      <w:pPr>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各建筑的单体特征如下：</w:t>
      </w:r>
    </w:p>
    <w:p w14:paraId="22899567">
      <w:pPr>
        <w:ind w:firstLine="480"/>
        <w:jc w:val="center"/>
        <w:rPr>
          <w:color w:val="000000" w:themeColor="text1"/>
          <w:spacing w:val="-4"/>
          <w14:textFill>
            <w14:solidFill>
              <w14:schemeClr w14:val="tx1"/>
            </w14:solidFill>
          </w14:textFill>
        </w:rPr>
      </w:pPr>
      <w:r>
        <w:rPr>
          <w:rFonts w:hint="eastAsia"/>
          <w:color w:val="000000" w:themeColor="text1"/>
          <w14:textFill>
            <w14:solidFill>
              <w14:schemeClr w14:val="tx1"/>
            </w14:solidFill>
          </w14:textFill>
        </w:rPr>
        <w:t xml:space="preserve">表 </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3 </w:t>
      </w:r>
      <w:r>
        <w:rPr>
          <w:rFonts w:hint="eastAsia"/>
          <w:color w:val="000000" w:themeColor="text1"/>
          <w14:textFill>
            <w14:solidFill>
              <w14:schemeClr w14:val="tx1"/>
            </w14:solidFill>
          </w14:textFill>
        </w:rPr>
        <w:t>单体建筑特征一览表</w:t>
      </w:r>
    </w:p>
    <w:tbl>
      <w:tblPr>
        <w:tblStyle w:val="26"/>
        <w:tblW w:w="8509" w:type="dxa"/>
        <w:jc w:val="center"/>
        <w:tblLayout w:type="fixed"/>
        <w:tblCellMar>
          <w:top w:w="0" w:type="dxa"/>
          <w:left w:w="108" w:type="dxa"/>
          <w:bottom w:w="0" w:type="dxa"/>
          <w:right w:w="108" w:type="dxa"/>
        </w:tblCellMar>
      </w:tblPr>
      <w:tblGrid>
        <w:gridCol w:w="591"/>
        <w:gridCol w:w="2117"/>
        <w:gridCol w:w="1126"/>
        <w:gridCol w:w="999"/>
        <w:gridCol w:w="919"/>
        <w:gridCol w:w="919"/>
        <w:gridCol w:w="919"/>
        <w:gridCol w:w="919"/>
      </w:tblGrid>
      <w:tr w14:paraId="70B157B1">
        <w:tblPrEx>
          <w:tblCellMar>
            <w:top w:w="0" w:type="dxa"/>
            <w:left w:w="108" w:type="dxa"/>
            <w:bottom w:w="0" w:type="dxa"/>
            <w:right w:w="108" w:type="dxa"/>
          </w:tblCellMar>
        </w:tblPrEx>
        <w:trPr>
          <w:trHeight w:val="576" w:hRule="atLeast"/>
          <w:jc w:val="center"/>
        </w:trPr>
        <w:tc>
          <w:tcPr>
            <w:tcW w:w="591" w:type="dxa"/>
            <w:tcBorders>
              <w:top w:val="single" w:color="auto" w:sz="4" w:space="0"/>
              <w:left w:val="single" w:color="auto" w:sz="4" w:space="0"/>
              <w:bottom w:val="single" w:color="auto" w:sz="4" w:space="0"/>
              <w:right w:val="single" w:color="auto" w:sz="4" w:space="0"/>
            </w:tcBorders>
            <w:shd w:val="clear" w:color="auto" w:fill="auto"/>
            <w:vAlign w:val="center"/>
          </w:tcPr>
          <w:p w14:paraId="1335677D">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序号</w:t>
            </w:r>
          </w:p>
        </w:tc>
        <w:tc>
          <w:tcPr>
            <w:tcW w:w="2117" w:type="dxa"/>
            <w:tcBorders>
              <w:top w:val="single" w:color="auto" w:sz="4" w:space="0"/>
              <w:left w:val="single" w:color="auto" w:sz="4" w:space="0"/>
              <w:bottom w:val="single" w:color="auto" w:sz="4" w:space="0"/>
              <w:right w:val="single" w:color="auto" w:sz="4" w:space="0"/>
            </w:tcBorders>
            <w:shd w:val="clear" w:color="auto" w:fill="auto"/>
            <w:vAlign w:val="center"/>
          </w:tcPr>
          <w:p w14:paraId="02CFDC70">
            <w:pPr>
              <w:widowControl/>
              <w:adjustRightInd/>
              <w:snapToGrid/>
              <w:spacing w:line="240" w:lineRule="auto"/>
              <w:ind w:firstLine="480" w:firstLineChars="0"/>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建筑物名称</w:t>
            </w:r>
          </w:p>
        </w:tc>
        <w:tc>
          <w:tcPr>
            <w:tcW w:w="1126" w:type="dxa"/>
            <w:tcBorders>
              <w:top w:val="single" w:color="auto" w:sz="4" w:space="0"/>
              <w:left w:val="single" w:color="auto" w:sz="4" w:space="0"/>
              <w:bottom w:val="single" w:color="auto" w:sz="4" w:space="0"/>
              <w:right w:val="single" w:color="auto" w:sz="4" w:space="0"/>
            </w:tcBorders>
            <w:shd w:val="clear" w:color="auto" w:fill="auto"/>
            <w:vAlign w:val="center"/>
          </w:tcPr>
          <w:p w14:paraId="7B4866BC">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占地面积（</w:t>
            </w:r>
            <w:r>
              <w:rPr>
                <w:rFonts w:hint="eastAsia" w:ascii="Segoe UI Symbol" w:hAnsi="Segoe UI Symbol" w:eastAsia="Segoe UI Symbol" w:cs="Segoe UI Symbol"/>
                <w:color w:val="000000" w:themeColor="text1"/>
                <w:kern w:val="0"/>
                <w:sz w:val="21"/>
                <w:szCs w:val="21"/>
                <w14:textFill>
                  <w14:solidFill>
                    <w14:schemeClr w14:val="tx1"/>
                  </w14:solidFill>
                </w14:textFill>
              </w:rPr>
              <w:t>㎡</w:t>
            </w:r>
            <w:r>
              <w:rPr>
                <w:rFonts w:hint="eastAsia" w:ascii="仿宋_GB2312" w:hAnsi="仿宋_GB2312" w:cs="仿宋_GB2312"/>
                <w:color w:val="000000" w:themeColor="text1"/>
                <w:kern w:val="0"/>
                <w:sz w:val="21"/>
                <w:szCs w:val="21"/>
                <w14:textFill>
                  <w14:solidFill>
                    <w14:schemeClr w14:val="tx1"/>
                  </w14:solidFill>
                </w14:textFill>
              </w:rPr>
              <w:t>）</w:t>
            </w:r>
          </w:p>
        </w:tc>
        <w:tc>
          <w:tcPr>
            <w:tcW w:w="999" w:type="dxa"/>
            <w:tcBorders>
              <w:top w:val="single" w:color="auto" w:sz="4" w:space="0"/>
              <w:left w:val="single" w:color="auto" w:sz="4" w:space="0"/>
              <w:bottom w:val="single" w:color="auto" w:sz="4" w:space="0"/>
              <w:right w:val="single" w:color="auto" w:sz="4" w:space="0"/>
            </w:tcBorders>
            <w:shd w:val="clear" w:color="auto" w:fill="auto"/>
            <w:vAlign w:val="center"/>
          </w:tcPr>
          <w:p w14:paraId="239A4764">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层数</w:t>
            </w:r>
          </w:p>
        </w:tc>
        <w:tc>
          <w:tcPr>
            <w:tcW w:w="919" w:type="dxa"/>
            <w:tcBorders>
              <w:top w:val="single" w:color="auto" w:sz="4" w:space="0"/>
              <w:left w:val="single" w:color="auto" w:sz="4" w:space="0"/>
              <w:bottom w:val="single" w:color="auto" w:sz="4" w:space="0"/>
              <w:right w:val="single" w:color="auto" w:sz="4" w:space="0"/>
            </w:tcBorders>
            <w:vAlign w:val="center"/>
          </w:tcPr>
          <w:p w14:paraId="70B192EE">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建筑高度</w:t>
            </w:r>
          </w:p>
        </w:tc>
        <w:tc>
          <w:tcPr>
            <w:tcW w:w="919" w:type="dxa"/>
            <w:tcBorders>
              <w:top w:val="single" w:color="auto" w:sz="4" w:space="0"/>
              <w:left w:val="single" w:color="auto" w:sz="4" w:space="0"/>
              <w:bottom w:val="single" w:color="auto" w:sz="4" w:space="0"/>
              <w:right w:val="single" w:color="auto" w:sz="4" w:space="0"/>
            </w:tcBorders>
            <w:vAlign w:val="center"/>
          </w:tcPr>
          <w:p w14:paraId="675E98DD">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防水等级</w:t>
            </w:r>
          </w:p>
        </w:tc>
        <w:tc>
          <w:tcPr>
            <w:tcW w:w="919" w:type="dxa"/>
            <w:tcBorders>
              <w:top w:val="single" w:color="auto" w:sz="4" w:space="0"/>
              <w:left w:val="single" w:color="auto" w:sz="4" w:space="0"/>
              <w:bottom w:val="single" w:color="auto" w:sz="4" w:space="0"/>
              <w:right w:val="single" w:color="auto" w:sz="4" w:space="0"/>
            </w:tcBorders>
            <w:vAlign w:val="center"/>
          </w:tcPr>
          <w:p w14:paraId="331B3F69">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结构类型</w:t>
            </w:r>
          </w:p>
        </w:tc>
        <w:tc>
          <w:tcPr>
            <w:tcW w:w="919" w:type="dxa"/>
            <w:tcBorders>
              <w:top w:val="single" w:color="auto" w:sz="4" w:space="0"/>
              <w:left w:val="single" w:color="auto" w:sz="4" w:space="0"/>
              <w:bottom w:val="single" w:color="auto" w:sz="4" w:space="0"/>
              <w:right w:val="single" w:color="auto" w:sz="4" w:space="0"/>
            </w:tcBorders>
            <w:vAlign w:val="center"/>
          </w:tcPr>
          <w:p w14:paraId="375C72EA">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生产的火灾危险等级</w:t>
            </w:r>
          </w:p>
        </w:tc>
      </w:tr>
      <w:tr w14:paraId="590F5E97">
        <w:tblPrEx>
          <w:tblCellMar>
            <w:top w:w="0" w:type="dxa"/>
            <w:left w:w="108" w:type="dxa"/>
            <w:bottom w:w="0" w:type="dxa"/>
            <w:right w:w="108" w:type="dxa"/>
          </w:tblCellMar>
        </w:tblPrEx>
        <w:trPr>
          <w:trHeight w:val="288" w:hRule="atLeast"/>
          <w:jc w:val="center"/>
        </w:trPr>
        <w:tc>
          <w:tcPr>
            <w:tcW w:w="591" w:type="dxa"/>
            <w:tcBorders>
              <w:top w:val="single" w:color="auto" w:sz="4" w:space="0"/>
              <w:left w:val="single" w:color="auto" w:sz="4" w:space="0"/>
              <w:bottom w:val="single" w:color="auto" w:sz="4" w:space="0"/>
              <w:right w:val="single" w:color="auto" w:sz="4" w:space="0"/>
            </w:tcBorders>
            <w:shd w:val="clear" w:color="auto" w:fill="auto"/>
            <w:vAlign w:val="center"/>
          </w:tcPr>
          <w:p w14:paraId="5E7E1597">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1</w:t>
            </w:r>
          </w:p>
        </w:tc>
        <w:tc>
          <w:tcPr>
            <w:tcW w:w="2117" w:type="dxa"/>
            <w:tcBorders>
              <w:top w:val="single" w:color="auto" w:sz="4" w:space="0"/>
              <w:left w:val="single" w:color="auto" w:sz="4" w:space="0"/>
              <w:bottom w:val="single" w:color="auto" w:sz="4" w:space="0"/>
              <w:right w:val="single" w:color="auto" w:sz="4" w:space="0"/>
            </w:tcBorders>
            <w:shd w:val="clear" w:color="auto" w:fill="auto"/>
            <w:vAlign w:val="center"/>
          </w:tcPr>
          <w:p w14:paraId="260F181A">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7号生产车间</w:t>
            </w:r>
          </w:p>
        </w:tc>
        <w:tc>
          <w:tcPr>
            <w:tcW w:w="1126" w:type="dxa"/>
            <w:tcBorders>
              <w:top w:val="single" w:color="auto" w:sz="4" w:space="0"/>
              <w:left w:val="single" w:color="auto" w:sz="4" w:space="0"/>
              <w:bottom w:val="single" w:color="auto" w:sz="4" w:space="0"/>
              <w:right w:val="single" w:color="auto" w:sz="4" w:space="0"/>
            </w:tcBorders>
            <w:shd w:val="clear" w:color="auto" w:fill="auto"/>
            <w:vAlign w:val="center"/>
          </w:tcPr>
          <w:p w14:paraId="2C1C538C">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4439.08</w:t>
            </w:r>
          </w:p>
        </w:tc>
        <w:tc>
          <w:tcPr>
            <w:tcW w:w="999" w:type="dxa"/>
            <w:tcBorders>
              <w:top w:val="single" w:color="auto" w:sz="4" w:space="0"/>
              <w:left w:val="single" w:color="auto" w:sz="4" w:space="0"/>
              <w:bottom w:val="single" w:color="auto" w:sz="4" w:space="0"/>
              <w:right w:val="single" w:color="auto" w:sz="4" w:space="0"/>
            </w:tcBorders>
            <w:shd w:val="clear" w:color="auto" w:fill="auto"/>
            <w:vAlign w:val="center"/>
          </w:tcPr>
          <w:p w14:paraId="55BDDAE1">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cs="Times New Roman"/>
                <w:color w:val="000000" w:themeColor="text1"/>
                <w:kern w:val="0"/>
                <w:sz w:val="21"/>
                <w:szCs w:val="21"/>
                <w:lang w:val="en-US" w:eastAsia="zh-CN"/>
                <w14:textFill>
                  <w14:solidFill>
                    <w14:schemeClr w14:val="tx1"/>
                  </w14:solidFill>
                </w14:textFill>
              </w:rPr>
              <w:t>4</w:t>
            </w:r>
            <w:r>
              <w:rPr>
                <w:rFonts w:cs="Times New Roman"/>
                <w:color w:val="000000" w:themeColor="text1"/>
                <w:kern w:val="0"/>
                <w:sz w:val="21"/>
                <w:szCs w:val="21"/>
                <w14:textFill>
                  <w14:solidFill>
                    <w14:schemeClr w14:val="tx1"/>
                  </w14:solidFill>
                </w14:textFill>
              </w:rPr>
              <w:t>F/-1F</w:t>
            </w:r>
          </w:p>
        </w:tc>
        <w:tc>
          <w:tcPr>
            <w:tcW w:w="919" w:type="dxa"/>
            <w:tcBorders>
              <w:top w:val="single" w:color="auto" w:sz="4" w:space="0"/>
              <w:left w:val="single" w:color="auto" w:sz="4" w:space="0"/>
              <w:bottom w:val="single" w:color="auto" w:sz="4" w:space="0"/>
              <w:right w:val="single" w:color="auto" w:sz="4" w:space="0"/>
            </w:tcBorders>
          </w:tcPr>
          <w:p w14:paraId="6F82CC57">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22.65</w:t>
            </w:r>
          </w:p>
        </w:tc>
        <w:tc>
          <w:tcPr>
            <w:tcW w:w="919" w:type="dxa"/>
            <w:vMerge w:val="restart"/>
            <w:tcBorders>
              <w:top w:val="single" w:color="auto" w:sz="4" w:space="0"/>
              <w:left w:val="single" w:color="auto" w:sz="4" w:space="0"/>
              <w:right w:val="single" w:color="auto" w:sz="4" w:space="0"/>
            </w:tcBorders>
            <w:vAlign w:val="center"/>
          </w:tcPr>
          <w:p w14:paraId="07E6274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Ⅱ</w:t>
            </w:r>
          </w:p>
        </w:tc>
        <w:tc>
          <w:tcPr>
            <w:tcW w:w="919" w:type="dxa"/>
            <w:vMerge w:val="restart"/>
            <w:tcBorders>
              <w:top w:val="single" w:color="auto" w:sz="4" w:space="0"/>
              <w:left w:val="single" w:color="auto" w:sz="4" w:space="0"/>
              <w:right w:val="single" w:color="auto" w:sz="4" w:space="0"/>
            </w:tcBorders>
            <w:vAlign w:val="center"/>
          </w:tcPr>
          <w:p w14:paraId="237EC55D">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框架</w:t>
            </w:r>
          </w:p>
        </w:tc>
        <w:tc>
          <w:tcPr>
            <w:tcW w:w="919" w:type="dxa"/>
            <w:tcBorders>
              <w:top w:val="single" w:color="auto" w:sz="4" w:space="0"/>
              <w:left w:val="single" w:color="auto" w:sz="4" w:space="0"/>
              <w:bottom w:val="single" w:color="auto" w:sz="4" w:space="0"/>
              <w:right w:val="single" w:color="auto" w:sz="4" w:space="0"/>
            </w:tcBorders>
          </w:tcPr>
          <w:p w14:paraId="51663516">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丙</w:t>
            </w:r>
          </w:p>
        </w:tc>
      </w:tr>
      <w:tr w14:paraId="575AB7D9">
        <w:tblPrEx>
          <w:tblCellMar>
            <w:top w:w="0" w:type="dxa"/>
            <w:left w:w="108" w:type="dxa"/>
            <w:bottom w:w="0" w:type="dxa"/>
            <w:right w:w="108" w:type="dxa"/>
          </w:tblCellMar>
        </w:tblPrEx>
        <w:trPr>
          <w:trHeight w:val="288" w:hRule="atLeast"/>
          <w:jc w:val="center"/>
        </w:trPr>
        <w:tc>
          <w:tcPr>
            <w:tcW w:w="591" w:type="dxa"/>
            <w:tcBorders>
              <w:top w:val="single" w:color="auto" w:sz="4" w:space="0"/>
              <w:left w:val="single" w:color="auto" w:sz="4" w:space="0"/>
              <w:bottom w:val="single" w:color="auto" w:sz="4" w:space="0"/>
              <w:right w:val="single" w:color="auto" w:sz="4" w:space="0"/>
            </w:tcBorders>
            <w:shd w:val="clear" w:color="auto" w:fill="auto"/>
            <w:vAlign w:val="center"/>
          </w:tcPr>
          <w:p w14:paraId="3DAC9947">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2</w:t>
            </w:r>
          </w:p>
        </w:tc>
        <w:tc>
          <w:tcPr>
            <w:tcW w:w="211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810B24">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附属配套用房</w:t>
            </w:r>
          </w:p>
        </w:tc>
        <w:tc>
          <w:tcPr>
            <w:tcW w:w="1126" w:type="dxa"/>
            <w:tcBorders>
              <w:top w:val="single" w:color="auto" w:sz="4" w:space="0"/>
              <w:left w:val="single" w:color="auto" w:sz="4" w:space="0"/>
              <w:bottom w:val="single" w:color="auto" w:sz="4" w:space="0"/>
              <w:right w:val="single" w:color="auto" w:sz="4" w:space="0"/>
            </w:tcBorders>
            <w:shd w:val="clear" w:color="auto" w:fill="auto"/>
            <w:vAlign w:val="center"/>
          </w:tcPr>
          <w:p w14:paraId="6E952F74">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72.8</w:t>
            </w:r>
          </w:p>
        </w:tc>
        <w:tc>
          <w:tcPr>
            <w:tcW w:w="999" w:type="dxa"/>
            <w:tcBorders>
              <w:top w:val="single" w:color="auto" w:sz="4" w:space="0"/>
              <w:left w:val="single" w:color="auto" w:sz="4" w:space="0"/>
              <w:bottom w:val="single" w:color="auto" w:sz="4" w:space="0"/>
              <w:right w:val="single" w:color="auto" w:sz="4" w:space="0"/>
            </w:tcBorders>
            <w:shd w:val="clear" w:color="auto" w:fill="auto"/>
            <w:vAlign w:val="center"/>
          </w:tcPr>
          <w:p w14:paraId="6C4A6B00">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1F</w:t>
            </w:r>
          </w:p>
        </w:tc>
        <w:tc>
          <w:tcPr>
            <w:tcW w:w="919" w:type="dxa"/>
            <w:tcBorders>
              <w:top w:val="single" w:color="auto" w:sz="4" w:space="0"/>
              <w:left w:val="single" w:color="auto" w:sz="4" w:space="0"/>
              <w:bottom w:val="single" w:color="auto" w:sz="4" w:space="0"/>
              <w:right w:val="single" w:color="auto" w:sz="4" w:space="0"/>
            </w:tcBorders>
          </w:tcPr>
          <w:p w14:paraId="7DF7D48F">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4.65</w:t>
            </w:r>
          </w:p>
        </w:tc>
        <w:tc>
          <w:tcPr>
            <w:tcW w:w="919" w:type="dxa"/>
            <w:vMerge w:val="continue"/>
            <w:tcBorders>
              <w:left w:val="single" w:color="auto" w:sz="4" w:space="0"/>
              <w:right w:val="single" w:color="auto" w:sz="4" w:space="0"/>
            </w:tcBorders>
            <w:vAlign w:val="center"/>
          </w:tcPr>
          <w:p w14:paraId="27A27201">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p>
        </w:tc>
        <w:tc>
          <w:tcPr>
            <w:tcW w:w="919" w:type="dxa"/>
            <w:vMerge w:val="continue"/>
            <w:tcBorders>
              <w:left w:val="single" w:color="auto" w:sz="4" w:space="0"/>
              <w:right w:val="single" w:color="auto" w:sz="4" w:space="0"/>
            </w:tcBorders>
          </w:tcPr>
          <w:p w14:paraId="1DFC542D">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p>
        </w:tc>
        <w:tc>
          <w:tcPr>
            <w:tcW w:w="919" w:type="dxa"/>
            <w:tcBorders>
              <w:top w:val="single" w:color="auto" w:sz="4" w:space="0"/>
              <w:left w:val="single" w:color="auto" w:sz="4" w:space="0"/>
              <w:bottom w:val="single" w:color="auto" w:sz="4" w:space="0"/>
              <w:right w:val="single" w:color="auto" w:sz="4" w:space="0"/>
            </w:tcBorders>
          </w:tcPr>
          <w:p w14:paraId="74360495">
            <w:pPr>
              <w:widowControl/>
              <w:adjustRightInd/>
              <w:snapToGrid/>
              <w:spacing w:line="240" w:lineRule="auto"/>
              <w:ind w:firstLine="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戊</w:t>
            </w:r>
          </w:p>
        </w:tc>
      </w:tr>
      <w:tr w14:paraId="313AF50B">
        <w:tblPrEx>
          <w:tblCellMar>
            <w:top w:w="0" w:type="dxa"/>
            <w:left w:w="108" w:type="dxa"/>
            <w:bottom w:w="0" w:type="dxa"/>
            <w:right w:w="108" w:type="dxa"/>
          </w:tblCellMar>
        </w:tblPrEx>
        <w:trPr>
          <w:trHeight w:val="288" w:hRule="atLeast"/>
          <w:jc w:val="center"/>
        </w:trPr>
        <w:tc>
          <w:tcPr>
            <w:tcW w:w="270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E4BD314">
            <w:pPr>
              <w:widowControl/>
              <w:adjustRightInd/>
              <w:snapToGrid/>
              <w:spacing w:line="240" w:lineRule="auto"/>
              <w:ind w:firstLine="480" w:firstLineChars="0"/>
              <w:jc w:val="center"/>
              <w:rPr>
                <w:rFonts w:hint="eastAsia" w:ascii="仿宋_GB2312" w:hAnsi="楷体" w:cs="宋体"/>
                <w:color w:val="000000" w:themeColor="text1"/>
                <w:kern w:val="0"/>
                <w:sz w:val="21"/>
                <w:szCs w:val="21"/>
                <w14:textFill>
                  <w14:solidFill>
                    <w14:schemeClr w14:val="tx1"/>
                  </w14:solidFill>
                </w14:textFill>
              </w:rPr>
            </w:pPr>
            <w:r>
              <w:rPr>
                <w:rFonts w:hint="eastAsia" w:ascii="仿宋_GB2312" w:hAnsi="楷体" w:cs="宋体"/>
                <w:color w:val="000000" w:themeColor="text1"/>
                <w:kern w:val="0"/>
                <w:sz w:val="21"/>
                <w:szCs w:val="21"/>
                <w14:textFill>
                  <w14:solidFill>
                    <w14:schemeClr w14:val="tx1"/>
                  </w14:solidFill>
                </w14:textFill>
              </w:rPr>
              <w:t>合计</w:t>
            </w:r>
          </w:p>
        </w:tc>
        <w:tc>
          <w:tcPr>
            <w:tcW w:w="1126" w:type="dxa"/>
            <w:tcBorders>
              <w:top w:val="single" w:color="auto" w:sz="4" w:space="0"/>
              <w:left w:val="single" w:color="auto" w:sz="4" w:space="0"/>
              <w:bottom w:val="single" w:color="auto" w:sz="4" w:space="0"/>
              <w:right w:val="single" w:color="auto" w:sz="4" w:space="0"/>
            </w:tcBorders>
            <w:shd w:val="clear" w:color="auto" w:fill="auto"/>
            <w:vAlign w:val="center"/>
          </w:tcPr>
          <w:p w14:paraId="4DED7889">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4511.88</w:t>
            </w:r>
          </w:p>
        </w:tc>
        <w:tc>
          <w:tcPr>
            <w:tcW w:w="999" w:type="dxa"/>
            <w:tcBorders>
              <w:top w:val="single" w:color="auto" w:sz="4" w:space="0"/>
              <w:left w:val="single" w:color="auto" w:sz="4" w:space="0"/>
              <w:bottom w:val="single" w:color="auto" w:sz="4" w:space="0"/>
              <w:right w:val="single" w:color="auto" w:sz="4" w:space="0"/>
            </w:tcBorders>
            <w:shd w:val="clear" w:color="auto" w:fill="auto"/>
            <w:vAlign w:val="center"/>
          </w:tcPr>
          <w:p w14:paraId="2A360A8B">
            <w:pPr>
              <w:widowControl/>
              <w:adjustRightInd/>
              <w:snapToGrid/>
              <w:spacing w:line="240" w:lineRule="auto"/>
              <w:ind w:firstLine="0" w:firstLineChars="0"/>
              <w:jc w:val="center"/>
              <w:rPr>
                <w:rFonts w:cs="Times New Roman"/>
                <w:color w:val="000000" w:themeColor="text1"/>
                <w:kern w:val="0"/>
                <w:sz w:val="21"/>
                <w:szCs w:val="21"/>
                <w14:textFill>
                  <w14:solidFill>
                    <w14:schemeClr w14:val="tx1"/>
                  </w14:solidFill>
                </w14:textFill>
              </w:rPr>
            </w:pPr>
            <w:r>
              <w:rPr>
                <w:rFonts w:hint="eastAsia" w:cs="Times New Roman"/>
                <w:color w:val="000000" w:themeColor="text1"/>
                <w:kern w:val="0"/>
                <w:sz w:val="21"/>
                <w:szCs w:val="21"/>
                <w14:textFill>
                  <w14:solidFill>
                    <w14:schemeClr w14:val="tx1"/>
                  </w14:solidFill>
                </w14:textFill>
              </w:rPr>
              <w:t>-</w:t>
            </w:r>
          </w:p>
        </w:tc>
        <w:tc>
          <w:tcPr>
            <w:tcW w:w="919" w:type="dxa"/>
            <w:tcBorders>
              <w:top w:val="single" w:color="auto" w:sz="4" w:space="0"/>
              <w:left w:val="single" w:color="auto" w:sz="4" w:space="0"/>
              <w:bottom w:val="single" w:color="auto" w:sz="4" w:space="0"/>
              <w:right w:val="single" w:color="auto" w:sz="4" w:space="0"/>
            </w:tcBorders>
          </w:tcPr>
          <w:p w14:paraId="763F4A1D">
            <w:pPr>
              <w:widowControl/>
              <w:adjustRightInd/>
              <w:snapToGrid/>
              <w:spacing w:line="240" w:lineRule="auto"/>
              <w:ind w:firstLine="480" w:firstLineChars="0"/>
              <w:rPr>
                <w:rFonts w:hint="eastAsia" w:ascii="仿宋_GB2312" w:hAnsi="楷体" w:cs="宋体"/>
                <w:color w:val="000000" w:themeColor="text1"/>
                <w:kern w:val="0"/>
                <w:sz w:val="21"/>
                <w:szCs w:val="21"/>
                <w14:textFill>
                  <w14:solidFill>
                    <w14:schemeClr w14:val="tx1"/>
                  </w14:solidFill>
                </w14:textFill>
              </w:rPr>
            </w:pPr>
          </w:p>
        </w:tc>
        <w:tc>
          <w:tcPr>
            <w:tcW w:w="919" w:type="dxa"/>
            <w:tcBorders>
              <w:top w:val="single" w:color="auto" w:sz="4" w:space="0"/>
              <w:left w:val="single" w:color="auto" w:sz="4" w:space="0"/>
              <w:bottom w:val="single" w:color="auto" w:sz="4" w:space="0"/>
              <w:right w:val="single" w:color="auto" w:sz="4" w:space="0"/>
            </w:tcBorders>
          </w:tcPr>
          <w:p w14:paraId="750B2FA5">
            <w:pPr>
              <w:widowControl/>
              <w:adjustRightInd/>
              <w:snapToGrid/>
              <w:spacing w:line="240" w:lineRule="auto"/>
              <w:ind w:firstLine="480" w:firstLineChars="0"/>
              <w:rPr>
                <w:rFonts w:hint="eastAsia" w:ascii="仿宋_GB2312" w:hAnsi="楷体" w:cs="宋体"/>
                <w:color w:val="000000" w:themeColor="text1"/>
                <w:kern w:val="0"/>
                <w:sz w:val="21"/>
                <w:szCs w:val="21"/>
                <w14:textFill>
                  <w14:solidFill>
                    <w14:schemeClr w14:val="tx1"/>
                  </w14:solidFill>
                </w14:textFill>
              </w:rPr>
            </w:pPr>
          </w:p>
        </w:tc>
        <w:tc>
          <w:tcPr>
            <w:tcW w:w="919" w:type="dxa"/>
            <w:tcBorders>
              <w:top w:val="single" w:color="auto" w:sz="4" w:space="0"/>
              <w:left w:val="single" w:color="auto" w:sz="4" w:space="0"/>
              <w:bottom w:val="single" w:color="auto" w:sz="4" w:space="0"/>
              <w:right w:val="single" w:color="auto" w:sz="4" w:space="0"/>
            </w:tcBorders>
          </w:tcPr>
          <w:p w14:paraId="492FC98C">
            <w:pPr>
              <w:widowControl/>
              <w:adjustRightInd/>
              <w:snapToGrid/>
              <w:spacing w:line="240" w:lineRule="auto"/>
              <w:ind w:firstLine="480" w:firstLineChars="0"/>
              <w:rPr>
                <w:rFonts w:hint="eastAsia" w:ascii="仿宋_GB2312" w:hAnsi="楷体" w:cs="宋体"/>
                <w:color w:val="000000" w:themeColor="text1"/>
                <w:kern w:val="0"/>
                <w:sz w:val="21"/>
                <w:szCs w:val="21"/>
                <w14:textFill>
                  <w14:solidFill>
                    <w14:schemeClr w14:val="tx1"/>
                  </w14:solidFill>
                </w14:textFill>
              </w:rPr>
            </w:pPr>
          </w:p>
        </w:tc>
        <w:tc>
          <w:tcPr>
            <w:tcW w:w="919" w:type="dxa"/>
            <w:tcBorders>
              <w:top w:val="single" w:color="auto" w:sz="4" w:space="0"/>
              <w:left w:val="single" w:color="auto" w:sz="4" w:space="0"/>
              <w:bottom w:val="single" w:color="auto" w:sz="4" w:space="0"/>
              <w:right w:val="single" w:color="auto" w:sz="4" w:space="0"/>
            </w:tcBorders>
          </w:tcPr>
          <w:p w14:paraId="4953DC65">
            <w:pPr>
              <w:widowControl/>
              <w:adjustRightInd/>
              <w:snapToGrid/>
              <w:spacing w:line="240" w:lineRule="auto"/>
              <w:ind w:firstLine="480" w:firstLineChars="0"/>
              <w:rPr>
                <w:rFonts w:hint="eastAsia" w:ascii="仿宋_GB2312" w:hAnsi="楷体" w:cs="宋体"/>
                <w:color w:val="000000" w:themeColor="text1"/>
                <w:kern w:val="0"/>
                <w:sz w:val="21"/>
                <w:szCs w:val="21"/>
                <w14:textFill>
                  <w14:solidFill>
                    <w14:schemeClr w14:val="tx1"/>
                  </w14:solidFill>
                </w14:textFill>
              </w:rPr>
            </w:pPr>
          </w:p>
        </w:tc>
      </w:tr>
    </w:tbl>
    <w:p w14:paraId="3DD7857B">
      <w:pPr>
        <w:pStyle w:val="5"/>
        <w:spacing w:before="78"/>
        <w:ind w:firstLine="241" w:firstLineChars="10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.1.2.2 </w:t>
      </w:r>
      <w:r>
        <w:rPr>
          <w:rFonts w:hint="eastAsia"/>
          <w:color w:val="000000" w:themeColor="text1"/>
          <w14:textFill>
            <w14:solidFill>
              <w14:schemeClr w14:val="tx1"/>
            </w14:solidFill>
          </w14:textFill>
        </w:rPr>
        <w:t>场内道路及硬化工程</w:t>
      </w:r>
    </w:p>
    <w:p w14:paraId="10289B66">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在建筑四周布置道路，与城市道路相连形成环形通道。车库出入口均布置于项目区出入口处，使项目区车行便捷，同时不再继续深入项目区内部，避免车流和人流的混杂，保障行人的安全和舒适。项目区道路及广场根据实际采用混凝土硬化，道路宽度8米，采用C30混凝土，厚20cm。场内道路及硬化工程区总占地面积0.38m</w:t>
      </w:r>
      <w:r>
        <w:rPr>
          <w:rFonts w:hint="eastAsia"/>
          <w:bCs/>
          <w:color w:val="000000" w:themeColor="text1"/>
          <w:vertAlign w:val="superscript"/>
          <w14:textFill>
            <w14:solidFill>
              <w14:schemeClr w14:val="tx1"/>
            </w14:solidFill>
          </w14:textFill>
        </w:rPr>
        <w:t>2</w:t>
      </w:r>
      <w:r>
        <w:rPr>
          <w:rFonts w:hint="eastAsia"/>
          <w:bCs/>
          <w:color w:val="000000" w:themeColor="text1"/>
          <w14:textFill>
            <w14:solidFill>
              <w14:schemeClr w14:val="tx1"/>
            </w14:solidFill>
          </w14:textFill>
        </w:rPr>
        <w:t>。</w:t>
      </w:r>
    </w:p>
    <w:p w14:paraId="00DE581F">
      <w:pPr>
        <w:ind w:firstLine="482"/>
        <w:outlineLvl w:val="3"/>
        <w:rPr>
          <w:bCs/>
          <w:color w:val="000000" w:themeColor="text1"/>
          <w14:textFill>
            <w14:solidFill>
              <w14:schemeClr w14:val="tx1"/>
            </w14:solidFill>
          </w14:textFill>
        </w:rPr>
      </w:pPr>
      <w:r>
        <w:rPr>
          <w:rFonts w:cstheme="majorBidi"/>
          <w:b/>
          <w:bCs/>
          <w:color w:val="000000" w:themeColor="text1"/>
          <w14:textFill>
            <w14:solidFill>
              <w14:schemeClr w14:val="tx1"/>
            </w14:solidFill>
          </w14:textFill>
        </w:rPr>
        <w:t>2.1.2.3</w:t>
      </w:r>
      <w:r>
        <w:rPr>
          <w:rFonts w:hint="eastAsia" w:cstheme="majorBidi"/>
          <w:b/>
          <w:bCs/>
          <w:color w:val="000000" w:themeColor="text1"/>
          <w14:textFill>
            <w14:solidFill>
              <w14:schemeClr w14:val="tx1"/>
            </w14:solidFill>
          </w14:textFill>
        </w:rPr>
        <w:t>景观绿化工程</w:t>
      </w:r>
    </w:p>
    <w:p w14:paraId="6CE75C59">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为形成富有层次的具有良好生态效益的绿化体系，景观设计主要在建构筑物四周及道路两侧以达到良好的防护隔离效果以及较佳的自然景观效果。</w:t>
      </w:r>
    </w:p>
    <w:p w14:paraId="02CEC04B">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道路旁的绿化带采用植草沟，增强道路绿化带对雨水的消纳功能。根据主体设计资料，绿化面积总计1201.12</w:t>
      </w:r>
      <w:r>
        <w:rPr>
          <w:bCs/>
          <w:color w:val="000000" w:themeColor="text1"/>
          <w14:textFill>
            <w14:solidFill>
              <w14:schemeClr w14:val="tx1"/>
            </w14:solidFill>
          </w14:textFill>
        </w:rPr>
        <w:t>m²</w:t>
      </w:r>
      <w:r>
        <w:rPr>
          <w:rFonts w:hint="eastAsia"/>
          <w:bCs/>
          <w:color w:val="000000" w:themeColor="text1"/>
          <w14:textFill>
            <w14:solidFill>
              <w14:schemeClr w14:val="tx1"/>
            </w14:solidFill>
          </w14:textFill>
        </w:rPr>
        <w:t>，绿地率</w:t>
      </w:r>
      <w:r>
        <w:rPr>
          <w:bCs/>
          <w:color w:val="000000" w:themeColor="text1"/>
          <w14:textFill>
            <w14:solidFill>
              <w14:schemeClr w14:val="tx1"/>
            </w14:solidFill>
          </w14:textFill>
        </w:rPr>
        <w:t>1</w:t>
      </w:r>
      <w:r>
        <w:rPr>
          <w:rFonts w:hint="eastAsia"/>
          <w:bCs/>
          <w:color w:val="000000" w:themeColor="text1"/>
          <w14:textFill>
            <w14:solidFill>
              <w14:schemeClr w14:val="tx1"/>
            </w14:solidFill>
          </w14:textFill>
        </w:rPr>
        <w:t>3</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。绿化采用乔灌草相结合的方式，以提高绿地的空间利用率、增加绿化程度，使有限的绿地发挥最大的生态效益和景观效益。绿化树、草种采用本地适生树种。具体景观绿化方案设计以绿化专项设计为准。</w:t>
      </w:r>
    </w:p>
    <w:p w14:paraId="50B3A2EF">
      <w:pPr>
        <w:ind w:firstLine="482"/>
        <w:outlineLvl w:val="3"/>
        <w:rPr>
          <w:rFonts w:cstheme="majorBidi"/>
          <w:b/>
          <w:bCs/>
          <w:color w:val="000000" w:themeColor="text1"/>
          <w14:textFill>
            <w14:solidFill>
              <w14:schemeClr w14:val="tx1"/>
            </w14:solidFill>
          </w14:textFill>
        </w:rPr>
      </w:pPr>
      <w:r>
        <w:rPr>
          <w:rFonts w:hint="eastAsia" w:cstheme="majorBidi"/>
          <w:b/>
          <w:bCs/>
          <w:color w:val="000000" w:themeColor="text1"/>
          <w14:textFill>
            <w14:solidFill>
              <w14:schemeClr w14:val="tx1"/>
            </w14:solidFill>
          </w14:textFill>
        </w:rPr>
        <w:t>2</w:t>
      </w:r>
      <w:r>
        <w:rPr>
          <w:rFonts w:cstheme="majorBidi"/>
          <w:b/>
          <w:bCs/>
          <w:color w:val="000000" w:themeColor="text1"/>
          <w14:textFill>
            <w14:solidFill>
              <w14:schemeClr w14:val="tx1"/>
            </w14:solidFill>
          </w14:textFill>
        </w:rPr>
        <w:t>.1.2.4</w:t>
      </w:r>
      <w:r>
        <w:rPr>
          <w:rFonts w:hint="eastAsia" w:cstheme="majorBidi"/>
          <w:b/>
          <w:bCs/>
          <w:color w:val="000000" w:themeColor="text1"/>
          <w14:textFill>
            <w14:solidFill>
              <w14:schemeClr w14:val="tx1"/>
            </w14:solidFill>
          </w14:textFill>
        </w:rPr>
        <w:t>附属工程</w:t>
      </w:r>
    </w:p>
    <w:p w14:paraId="167E92AE">
      <w:pPr>
        <w:ind w:firstLine="482"/>
        <w:rPr>
          <w:b/>
          <w:color w:val="000000" w:themeColor="text1"/>
          <w14:textFill>
            <w14:solidFill>
              <w14:schemeClr w14:val="tx1"/>
            </w14:solidFill>
          </w14:textFill>
        </w:rPr>
      </w:pPr>
      <w:r>
        <w:rPr>
          <w:b/>
          <w:color w:val="000000" w:themeColor="text1"/>
          <w14:textFill>
            <w14:solidFill>
              <w14:schemeClr w14:val="tx1"/>
            </w14:solidFill>
          </w14:textFill>
        </w:rPr>
        <w:t>1</w:t>
      </w:r>
      <w:r>
        <w:rPr>
          <w:rFonts w:hint="eastAsia"/>
          <w:b/>
          <w:color w:val="000000" w:themeColor="text1"/>
          <w14:textFill>
            <w14:solidFill>
              <w14:schemeClr w14:val="tx1"/>
            </w14:solidFill>
          </w14:textFill>
        </w:rPr>
        <w:t>、给水系统</w:t>
      </w:r>
    </w:p>
    <w:p w14:paraId="10CDDE40">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水源:由市政给水管网直接供给。本工程给水管网设2根DN300总进水管与市政管网相连,在至红线内形成DN200的二次给水进水管网,分为办公用水，每路分别设置水表计量并在水表后设倒流防止器，在室外形成给水环装管网，在环装管网接出室外消火栓。</w:t>
      </w:r>
    </w:p>
    <w:p w14:paraId="44D40A34">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2、排水系统</w:t>
      </w:r>
    </w:p>
    <w:p w14:paraId="15983546">
      <w:pPr>
        <w:ind w:firstLine="480"/>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室外雨、污水管均采用HDPE双壁波纹管，橡胶接头。管道环刚度8KN/m</w:t>
      </w:r>
      <w:r>
        <w:rPr>
          <w:rFonts w:hint="eastAsia"/>
          <w:bCs/>
          <w:color w:val="000000" w:themeColor="text1"/>
          <w:vertAlign w:val="superscript"/>
          <w14:textFill>
            <w14:solidFill>
              <w14:schemeClr w14:val="tx1"/>
            </w14:solidFill>
          </w14:textFill>
        </w:rPr>
        <w:t>2</w:t>
      </w:r>
      <w:r>
        <w:rPr>
          <w:rFonts w:hint="eastAsia"/>
          <w:bCs/>
          <w:color w:val="000000" w:themeColor="text1"/>
          <w14:textFill>
            <w14:solidFill>
              <w14:schemeClr w14:val="tx1"/>
            </w14:solidFill>
          </w14:textFill>
        </w:rPr>
        <w:t>，雨、污水检查井的井径Φ700~Φ1000，污、雨水检查并采用一次注塑成型的塑料检查井执行标准</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室外排水管管径为 DN</w:t>
      </w:r>
      <w:r>
        <w:rPr>
          <w:rFonts w:hint="eastAsia"/>
          <w:bCs/>
          <w:color w:val="000000" w:themeColor="text1"/>
          <w:lang w:val="en-US" w:eastAsia="zh-CN"/>
          <w14:textFill>
            <w14:solidFill>
              <w14:schemeClr w14:val="tx1"/>
            </w14:solidFill>
          </w14:textFill>
        </w:rPr>
        <w:t>150</w:t>
      </w:r>
      <w:r>
        <w:rPr>
          <w:rFonts w:hint="eastAsia"/>
          <w:bCs/>
          <w:color w:val="000000" w:themeColor="text1"/>
          <w14:textFill>
            <w14:solidFill>
              <w14:schemeClr w14:val="tx1"/>
            </w14:solidFill>
          </w14:textFill>
        </w:rPr>
        <w:t>~DN</w:t>
      </w:r>
      <w:r>
        <w:rPr>
          <w:rFonts w:hint="eastAsia"/>
          <w:bCs/>
          <w:color w:val="000000" w:themeColor="text1"/>
          <w:lang w:val="en-US" w:eastAsia="zh-CN"/>
          <w14:textFill>
            <w14:solidFill>
              <w14:schemeClr w14:val="tx1"/>
            </w14:solidFill>
          </w14:textFill>
        </w:rPr>
        <w:t>3</w:t>
      </w:r>
      <w:r>
        <w:rPr>
          <w:rFonts w:hint="eastAsia"/>
          <w:bCs/>
          <w:color w:val="000000" w:themeColor="text1"/>
          <w14:textFill>
            <w14:solidFill>
              <w14:schemeClr w14:val="tx1"/>
            </w14:solidFill>
          </w14:textFill>
        </w:rPr>
        <w:t>00，</w:t>
      </w:r>
      <w:r>
        <w:rPr>
          <w:rFonts w:hint="eastAsia"/>
          <w:bCs/>
          <w:color w:val="000000" w:themeColor="text1"/>
          <w:lang w:eastAsia="zh-CN"/>
          <w14:textFill>
            <w14:solidFill>
              <w14:schemeClr w14:val="tx1"/>
            </w14:solidFill>
          </w14:textFill>
        </w:rPr>
        <w:t>排水坡度0.003</w:t>
      </w:r>
      <w:r>
        <w:rPr>
          <w:rFonts w:hint="eastAsia"/>
          <w:bCs/>
          <w:color w:val="000000" w:themeColor="text1"/>
          <w14:textFill>
            <w14:solidFill>
              <w14:schemeClr w14:val="tx1"/>
            </w14:solidFill>
          </w14:textFill>
        </w:rPr>
        <w:t>。污水经园区内污水管网收集排至化粪池处理后再排入市政污水管网。雨水经收集利用后回用于绿化及道路浇洒，弃流及溢流的雨水就近排入市政雨水管网。具体排水位置处于项目用地南侧道路的市政排水管网。经与业主单位确认，本工程并无特殊工业废水排放。</w:t>
      </w:r>
    </w:p>
    <w:p w14:paraId="0B4083BE">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3、供电工程</w:t>
      </w:r>
    </w:p>
    <w:p w14:paraId="450AC42C">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本工程采用单路 10kV 电源供电，当市电停电时，采用自备柴油发电机组为本工程所有二级以上全部负荷提供备用电源。本工程单台柴油单台容量为80KW，装配至设备用房。</w:t>
      </w:r>
    </w:p>
    <w:p w14:paraId="4914B602">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4、其它附属工程</w:t>
      </w:r>
    </w:p>
    <w:p w14:paraId="3A974564">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主要包括照明、通讯、暖通等其他各种附属工程。均已包含在主体建筑物工程以及道路等工程中，故此处不再重复统计。</w:t>
      </w:r>
    </w:p>
    <w:p w14:paraId="584DDEED">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2.1.3工程布置</w:t>
      </w:r>
    </w:p>
    <w:p w14:paraId="3E6DFC85">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.1 总平面布置</w:t>
      </w:r>
    </w:p>
    <w:p w14:paraId="1C7D4CAA">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用地位于绵阳市高新区，北临创新中路，东临三海路；周边交通条件正在完善中，项目所在场地坡度平缓。本项目新建2栋建筑，7号</w:t>
      </w:r>
      <w:r>
        <w:rPr>
          <w:rFonts w:hint="eastAsia"/>
          <w:bCs/>
          <w:color w:val="000000" w:themeColor="text1"/>
          <w14:textFill>
            <w14:solidFill>
              <w14:schemeClr w14:val="tx1"/>
            </w14:solidFill>
          </w14:textFill>
        </w:rPr>
        <w:t>生产车间</w:t>
      </w:r>
      <w:r>
        <w:rPr>
          <w:rFonts w:hint="eastAsia"/>
          <w:color w:val="000000" w:themeColor="text1"/>
          <w:spacing w:val="-4"/>
          <w14:textFill>
            <w14:solidFill>
              <w14:schemeClr w14:val="tx1"/>
            </w14:solidFill>
          </w14:textFill>
        </w:rPr>
        <w:t>及附属配套用房。用地大致呈现矩形布置，根据项目功能需求及布置原则，项目结合用地及生产情况，合理的对生产、办公等进行布置，保证项目正常生产和远期发展。</w:t>
      </w:r>
    </w:p>
    <w:p w14:paraId="0DF2E124">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本项目设置两个出入口，东侧设置主入口，西北侧设置货运出入口。采用人车分流的交通组织方式，场地呈开放型园区，出入口兼消防出入口，在总平面布置中充分考虑消防车的流线，场地内形成环形消防车道，布局既满足安全要求又满足舒适性。在用地北侧布置有少量停车位。</w:t>
      </w:r>
    </w:p>
    <w:p w14:paraId="4187CC1B">
      <w:pPr>
        <w:ind w:firstLine="0" w:firstLineChars="0"/>
        <w:jc w:val="center"/>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drawing>
          <wp:inline distT="0" distB="0" distL="114300" distR="114300">
            <wp:extent cx="5273040" cy="3822065"/>
            <wp:effectExtent l="0" t="0" r="3810" b="6985"/>
            <wp:docPr id="7" name="图片 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1"/>
                    <pic:cNvPicPr>
                      <a:picLocks noChangeAspect="1"/>
                    </pic:cNvPicPr>
                  </pic:nvPicPr>
                  <pic:blipFill>
                    <a:blip r:embed="rId49"/>
                    <a:stretch>
                      <a:fillRect/>
                    </a:stretch>
                  </pic:blipFill>
                  <pic:spPr>
                    <a:xfrm>
                      <a:off x="0" y="0"/>
                      <a:ext cx="5273040" cy="3822065"/>
                    </a:xfrm>
                    <a:prstGeom prst="rect">
                      <a:avLst/>
                    </a:prstGeom>
                  </pic:spPr>
                </pic:pic>
              </a:graphicData>
            </a:graphic>
          </wp:inline>
        </w:drawing>
      </w:r>
      <w:r>
        <w:rPr>
          <w:rFonts w:hint="eastAsia"/>
          <w:color w:val="000000" w:themeColor="text1"/>
          <w:spacing w:val="-4"/>
          <w14:textFill>
            <w14:solidFill>
              <w14:schemeClr w14:val="tx1"/>
            </w14:solidFill>
          </w14:textFill>
        </w:rPr>
        <w:t>图2</w:t>
      </w:r>
      <w:r>
        <w:rPr>
          <w:color w:val="000000" w:themeColor="text1"/>
          <w:spacing w:val="-4"/>
          <w14:textFill>
            <w14:solidFill>
              <w14:schemeClr w14:val="tx1"/>
            </w14:solidFill>
          </w14:textFill>
        </w:rPr>
        <w:t>.1.3</w:t>
      </w:r>
      <w:r>
        <w:rPr>
          <w:rFonts w:hint="eastAsia"/>
          <w:color w:val="000000" w:themeColor="text1"/>
          <w:spacing w:val="-4"/>
          <w14:textFill>
            <w14:solidFill>
              <w14:schemeClr w14:val="tx1"/>
            </w14:solidFill>
          </w14:textFill>
        </w:rPr>
        <w:t>-</w:t>
      </w:r>
      <w:r>
        <w:rPr>
          <w:color w:val="000000" w:themeColor="text1"/>
          <w:spacing w:val="-4"/>
          <w14:textFill>
            <w14:solidFill>
              <w14:schemeClr w14:val="tx1"/>
            </w14:solidFill>
          </w14:textFill>
        </w:rPr>
        <w:t xml:space="preserve">1  </w:t>
      </w:r>
      <w:r>
        <w:rPr>
          <w:rFonts w:hint="eastAsia"/>
          <w:color w:val="000000" w:themeColor="text1"/>
          <w:spacing w:val="-4"/>
          <w14:textFill>
            <w14:solidFill>
              <w14:schemeClr w14:val="tx1"/>
            </w14:solidFill>
          </w14:textFill>
        </w:rPr>
        <w:t>项目总平面布置图</w:t>
      </w:r>
    </w:p>
    <w:p w14:paraId="11ADFA75">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.2 竖向布置</w:t>
      </w:r>
    </w:p>
    <w:p w14:paraId="5A6E1B64">
      <w:pPr>
        <w:ind w:firstLine="472"/>
        <w:rPr>
          <w:rFonts w:hint="eastAsia" w:eastAsia="仿宋_GB2312"/>
          <w:color w:val="000000" w:themeColor="text1"/>
          <w:spacing w:val="-4"/>
          <w:lang w:eastAsia="zh-CN"/>
          <w14:textFill>
            <w14:solidFill>
              <w14:schemeClr w14:val="tx1"/>
            </w14:solidFill>
          </w14:textFill>
        </w:rPr>
      </w:pPr>
      <w:r>
        <w:rPr>
          <w:rFonts w:hint="eastAsia"/>
          <w:color w:val="000000" w:themeColor="text1"/>
          <w:spacing w:val="-4"/>
          <w14:textFill>
            <w14:solidFill>
              <w14:schemeClr w14:val="tx1"/>
            </w14:solidFill>
          </w14:textFill>
        </w:rPr>
        <w:t>（1）本项目内地势较平坦，西侧规划道路无较大高差，东侧与北侧场地与市政路高差基本平接。</w:t>
      </w:r>
      <w:r>
        <w:rPr>
          <w:rFonts w:hint="eastAsia"/>
          <w:color w:val="000000" w:themeColor="text1"/>
          <w:spacing w:val="-4"/>
          <w:highlight w:val="none"/>
          <w:lang w:val="en-US" w:eastAsia="zh-CN"/>
          <w14:textFill>
            <w14:solidFill>
              <w14:schemeClr w14:val="tx1"/>
            </w14:solidFill>
          </w14:textFill>
        </w:rPr>
        <w:t>项目二期的</w:t>
      </w:r>
      <w:r>
        <w:rPr>
          <w:rFonts w:hint="eastAsia"/>
          <w:highlight w:val="none"/>
        </w:rPr>
        <w:t>场地</w:t>
      </w:r>
      <w:r>
        <w:rPr>
          <w:rFonts w:hint="eastAsia"/>
          <w:highlight w:val="none"/>
          <w:lang w:eastAsia="zh-CN"/>
        </w:rPr>
        <w:t>实际</w:t>
      </w:r>
      <w:r>
        <w:rPr>
          <w:rFonts w:hint="eastAsia"/>
          <w:highlight w:val="none"/>
        </w:rPr>
        <w:t>标高</w:t>
      </w:r>
      <w:r>
        <w:rPr>
          <w:rFonts w:hint="eastAsia"/>
          <w:highlight w:val="none"/>
          <w:lang w:eastAsia="zh-CN"/>
        </w:rPr>
        <w:t>在高程为</w:t>
      </w:r>
      <w:r>
        <w:rPr>
          <w:rFonts w:ascii="Times New Roman" w:hAnsi="Times New Roman" w:eastAsia="Times New Roman" w:cs="Times New Roman"/>
          <w:spacing w:val="-3"/>
        </w:rPr>
        <w:t>508.58</w:t>
      </w:r>
      <w:r>
        <w:rPr>
          <w:spacing w:val="-3"/>
        </w:rPr>
        <w:t>～</w:t>
      </w:r>
      <w:r>
        <w:rPr>
          <w:rFonts w:ascii="Times New Roman" w:hAnsi="Times New Roman" w:eastAsia="Times New Roman" w:cs="Times New Roman"/>
          <w:spacing w:val="-3"/>
        </w:rPr>
        <w:t>509.67</w:t>
      </w:r>
      <w:r>
        <w:rPr>
          <w:rFonts w:hint="eastAsia"/>
          <w:highlight w:val="none"/>
          <w:lang w:eastAsia="zh-CN"/>
        </w:rPr>
        <w:t>m</w:t>
      </w:r>
      <w:r>
        <w:rPr>
          <w:rFonts w:hint="eastAsia"/>
          <w:color w:val="000000" w:themeColor="text1"/>
          <w:spacing w:val="-4"/>
          <w:highlight w:val="none"/>
          <w14:textFill>
            <w14:solidFill>
              <w14:schemeClr w14:val="tx1"/>
            </w14:solidFill>
          </w14:textFill>
        </w:rPr>
        <w:t>之间</w:t>
      </w:r>
      <w:r>
        <w:rPr>
          <w:rFonts w:hint="eastAsia"/>
          <w:color w:val="000000" w:themeColor="text1"/>
          <w:spacing w:val="-4"/>
          <w:highlight w:val="none"/>
          <w:lang w:eastAsia="zh-CN"/>
          <w14:textFill>
            <w14:solidFill>
              <w14:schemeClr w14:val="tx1"/>
            </w14:solidFill>
          </w14:textFill>
        </w:rPr>
        <w:t>，</w:t>
      </w:r>
      <w:r>
        <w:rPr>
          <w:rFonts w:hint="eastAsia"/>
          <w:color w:val="000000" w:themeColor="text1"/>
          <w:spacing w:val="-4"/>
          <w:lang w:eastAsia="zh-CN"/>
          <w14:textFill>
            <w14:solidFill>
              <w14:schemeClr w14:val="tx1"/>
            </w14:solidFill>
          </w14:textFill>
        </w:rPr>
        <w:t>根据设计文件中，</w:t>
      </w:r>
      <w:r>
        <w:rPr>
          <w:rFonts w:hint="eastAsia"/>
          <w:color w:val="000000" w:themeColor="text1"/>
          <w:spacing w:val="-4"/>
          <w:lang w:val="en-US" w:eastAsia="zh-CN"/>
          <w14:textFill>
            <w14:solidFill>
              <w14:schemeClr w14:val="tx1"/>
            </w14:solidFill>
          </w14:textFill>
        </w:rPr>
        <w:t>7号生产车间的</w:t>
      </w:r>
      <w:r>
        <w:rPr>
          <w:rFonts w:hint="eastAsia"/>
        </w:rPr>
        <w:t>建筑地坪标高</w:t>
      </w:r>
      <w:r>
        <w:rPr>
          <w:rFonts w:hint="eastAsia"/>
          <w:lang w:eastAsia="zh-CN"/>
        </w:rPr>
        <w:t>为509.28±0.000，出入口标高为</w:t>
      </w:r>
      <w:r>
        <w:rPr>
          <w:rFonts w:hint="eastAsia"/>
          <w:lang w:val="en-US" w:eastAsia="zh-CN"/>
        </w:rPr>
        <w:t>506.20</w:t>
      </w:r>
      <w:r>
        <w:rPr>
          <w:rFonts w:hint="eastAsia"/>
          <w:lang w:eastAsia="zh-CN"/>
        </w:rPr>
        <w:t>±0.000</w:t>
      </w:r>
      <w:r>
        <w:rPr>
          <w:rFonts w:hint="eastAsia"/>
          <w:color w:val="000000" w:themeColor="text1"/>
          <w:spacing w:val="-4"/>
          <w:lang w:eastAsia="zh-CN"/>
          <w14:textFill>
            <w14:solidFill>
              <w14:schemeClr w14:val="tx1"/>
            </w14:solidFill>
          </w14:textFill>
        </w:rPr>
        <w:t>。</w:t>
      </w:r>
    </w:p>
    <w:p w14:paraId="4D1DB0B5">
      <w:pPr>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（2）本项目依据城市道路和管网标高，地形地势和防排水等资料进行场地竖向设计。</w:t>
      </w:r>
    </w:p>
    <w:p w14:paraId="0710E061">
      <w:pPr>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（3）给排水及电力管网等均依据建设单位提供的资料向标注方向进行接口。</w:t>
      </w:r>
    </w:p>
    <w:p w14:paraId="2D7CADCD">
      <w:pPr>
        <w:pStyle w:val="3"/>
        <w:rPr>
          <w:color w:val="000000" w:themeColor="text1"/>
          <w14:textFill>
            <w14:solidFill>
              <w14:schemeClr w14:val="tx1"/>
            </w14:solidFill>
          </w14:textFill>
        </w:rPr>
      </w:pPr>
      <w:bookmarkStart w:id="70" w:name="_Toc16402"/>
      <w:r>
        <w:rPr>
          <w:rFonts w:hint="eastAsia"/>
          <w:color w:val="000000" w:themeColor="text1"/>
          <w14:textFill>
            <w14:solidFill>
              <w14:schemeClr w14:val="tx1"/>
            </w14:solidFill>
          </w14:textFill>
        </w:rPr>
        <w:t>2.2施工组织</w:t>
      </w:r>
      <w:bookmarkEnd w:id="70"/>
    </w:p>
    <w:p w14:paraId="23244CA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2.2.1 施工条件</w:t>
      </w:r>
    </w:p>
    <w:p w14:paraId="429E02A1">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2.2.1.1 施工交通</w:t>
      </w:r>
    </w:p>
    <w:p w14:paraId="42D7B168">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用地位于绵阳市高新区，北临创新中路，东临三海路，场地周边紧邻创新大道、科技城大道和成渝环线高速，</w:t>
      </w:r>
      <w:r>
        <w:rPr>
          <w:rFonts w:hint="eastAsia"/>
          <w:color w:val="000000" w:themeColor="text1"/>
          <w14:textFill>
            <w14:solidFill>
              <w14:schemeClr w14:val="tx1"/>
            </w14:solidFill>
          </w14:textFill>
        </w:rPr>
        <w:t>四周规划道路网完善，交通便利</w:t>
      </w:r>
      <w:r>
        <w:rPr>
          <w:rFonts w:hint="eastAsia" w:cs="Times New Roman"/>
          <w:color w:val="000000" w:themeColor="text1"/>
          <w14:textFill>
            <w14:solidFill>
              <w14:schemeClr w14:val="tx1"/>
            </w14:solidFill>
          </w14:textFill>
        </w:rPr>
        <w:t>。</w:t>
      </w:r>
    </w:p>
    <w:p w14:paraId="67BDB13B">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2.2.2 施工材料</w:t>
      </w:r>
    </w:p>
    <w:p w14:paraId="73450517">
      <w:pPr>
        <w:ind w:firstLine="480"/>
        <w:jc w:val="left"/>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建设期所需砂、石、水泥、木材、钢筋、预制钢筋砼构件等建筑材料全部采取外购形式，其中工程建设所需沙、石料均向当地合法料场购买；而水泥、木材、阀门、钢材、预制钢筋砼构件等可就近在高新区建材市场购买。</w:t>
      </w:r>
      <w:r>
        <w:rPr>
          <w:rFonts w:cs="Times New Roman"/>
          <w:color w:val="000000" w:themeColor="text1"/>
          <w14:textFill>
            <w14:solidFill>
              <w14:schemeClr w14:val="tx1"/>
            </w14:solidFill>
          </w14:textFill>
        </w:rPr>
        <w:t>施工原材料供应过程中产生的水土流失防治责任由供应商负责</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本方案以下章节不再提及。</w:t>
      </w:r>
    </w:p>
    <w:p w14:paraId="39E12955">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2.2.2.3 施工用电、水、通讯</w:t>
      </w:r>
    </w:p>
    <w:p w14:paraId="0DFB83F7">
      <w:pPr>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施工用水、电：施工用水从园区东北侧和西北侧市政道路供水管网引入，电力从市政1</w:t>
      </w:r>
      <w:r>
        <w:rPr>
          <w:color w:val="000000" w:themeColor="text1"/>
          <w:spacing w:val="-4"/>
          <w14:textFill>
            <w14:solidFill>
              <w14:schemeClr w14:val="tx1"/>
            </w14:solidFill>
          </w14:textFill>
        </w:rPr>
        <w:t>0kv</w:t>
      </w:r>
      <w:r>
        <w:rPr>
          <w:rFonts w:hint="eastAsia"/>
          <w:color w:val="000000" w:themeColor="text1"/>
          <w:spacing w:val="-4"/>
          <w14:textFill>
            <w14:solidFill>
              <w14:schemeClr w14:val="tx1"/>
            </w14:solidFill>
          </w14:textFill>
        </w:rPr>
        <w:t>电源引入。</w:t>
      </w:r>
    </w:p>
    <w:p w14:paraId="0502454B">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施工通讯：</w:t>
      </w:r>
      <w:r>
        <w:rPr>
          <w:rFonts w:hint="eastAsia"/>
          <w:color w:val="000000" w:themeColor="text1"/>
          <w:spacing w:val="-4"/>
          <w14:textFill>
            <w14:solidFill>
              <w14:schemeClr w14:val="tx1"/>
            </w14:solidFill>
          </w14:textFill>
        </w:rPr>
        <w:t>项目区</w:t>
      </w:r>
      <w:r>
        <w:rPr>
          <w:rFonts w:hint="eastAsia" w:cs="Times New Roman"/>
          <w:color w:val="000000" w:themeColor="text1"/>
          <w14:textFill>
            <w14:solidFill>
              <w14:schemeClr w14:val="tx1"/>
            </w14:solidFill>
          </w14:textFill>
        </w:rPr>
        <w:t>内有移动通讯及电信网络覆盖，施工期通讯采用移动电话，场内通讯采用移动对讲机解决。</w:t>
      </w:r>
    </w:p>
    <w:p w14:paraId="4329085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2.2.2施工布置</w:t>
      </w:r>
    </w:p>
    <w:p w14:paraId="1830DC80">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2.2.2.1 施工生产生活区</w:t>
      </w:r>
    </w:p>
    <w:p w14:paraId="2587E2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施工临时设施区主要用于施工材料、器材的堆放和施工管理用房等的布置，结合工程建设规模和项目组成情况，根据主体设计，工程共布置了1处施工临时设</w:t>
      </w:r>
      <w:r>
        <w:rPr>
          <w:rFonts w:hint="eastAsia"/>
          <w:color w:val="000000" w:themeColor="text1"/>
          <w:highlight w:val="none"/>
          <w14:textFill>
            <w14:solidFill>
              <w14:schemeClr w14:val="tx1"/>
            </w14:solidFill>
          </w14:textFill>
        </w:rPr>
        <w:t>施区，租用绵阳高新区钜成产业园项目的施工管理用房（办公室、职工宿舍），位于高新区永兴镇科技城大道南段南侧，与本项目相距2.7km，租用的管理用房中施工管理用房占地面积2</w:t>
      </w:r>
      <w:r>
        <w:rPr>
          <w:color w:val="000000" w:themeColor="text1"/>
          <w:highlight w:val="none"/>
          <w14:textFill>
            <w14:solidFill>
              <w14:schemeClr w14:val="tx1"/>
            </w14:solidFill>
          </w14:textFill>
        </w:rPr>
        <w:t>400m</w:t>
      </w:r>
      <w:r>
        <w:rPr>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，钢筋加工场及材料堆场位于1#楼和5#楼旁，占地面积为</w:t>
      </w:r>
      <w:r>
        <w:rPr>
          <w:color w:val="000000" w:themeColor="text1"/>
          <w:highlight w:val="none"/>
          <w14:textFill>
            <w14:solidFill>
              <w14:schemeClr w14:val="tx1"/>
            </w14:solidFill>
          </w14:textFill>
        </w:rPr>
        <w:t>900m²</w:t>
      </w:r>
      <w:r>
        <w:rPr>
          <w:rFonts w:hint="eastAsia"/>
          <w:color w:val="000000" w:themeColor="text1"/>
          <w:spacing w:val="-4"/>
          <w:highlight w:val="none"/>
          <w14:textFill>
            <w14:solidFill>
              <w14:schemeClr w14:val="tx1"/>
            </w14:solidFill>
          </w14:textFill>
        </w:rPr>
        <w:t>。施工生产生活区总占地面积3</w:t>
      </w:r>
      <w:r>
        <w:rPr>
          <w:color w:val="000000" w:themeColor="text1"/>
          <w:spacing w:val="-4"/>
          <w:highlight w:val="none"/>
          <w14:textFill>
            <w14:solidFill>
              <w14:schemeClr w14:val="tx1"/>
            </w14:solidFill>
          </w14:textFill>
        </w:rPr>
        <w:t>300</w:t>
      </w:r>
      <w:r>
        <w:rPr>
          <w:color w:val="000000" w:themeColor="text1"/>
          <w:highlight w:val="none"/>
          <w14:textFill>
            <w14:solidFill>
              <w14:schemeClr w14:val="tx1"/>
            </w14:solidFill>
          </w14:textFill>
        </w:rPr>
        <w:t>m²</w:t>
      </w:r>
      <w:r>
        <w:rPr>
          <w:rFonts w:hint="eastAsia"/>
          <w:color w:val="000000" w:themeColor="text1"/>
          <w:highlight w:val="none"/>
          <w14:textFill>
            <w14:solidFill>
              <w14:schemeClr w14:val="tx1"/>
            </w14:solidFill>
          </w14:textFill>
        </w:rPr>
        <w:t>，全部位于绵阳高新区钜成产业园项目红线内，不新增临时占</w:t>
      </w:r>
      <w:r>
        <w:rPr>
          <w:rFonts w:hint="eastAsia"/>
          <w:color w:val="000000" w:themeColor="text1"/>
          <w14:textFill>
            <w14:solidFill>
              <w14:schemeClr w14:val="tx1"/>
            </w14:solidFill>
          </w14:textFill>
        </w:rPr>
        <w:t>地。</w:t>
      </w:r>
    </w:p>
    <w:p w14:paraId="69095E0E">
      <w:pPr>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根据现场调查和查阅工程资料，其他零星材料堆场、加工场地等临时施工场地分散布置于各地块建筑物之间的空地，随着施工结束而拆除，不新增临时占地。</w:t>
      </w:r>
    </w:p>
    <w:p w14:paraId="276A2E35">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.2.2.4</w:t>
      </w:r>
      <w:r>
        <w:rPr>
          <w:rFonts w:hint="eastAsia"/>
          <w:color w:val="000000" w:themeColor="text1"/>
          <w14:textFill>
            <w14:solidFill>
              <w14:schemeClr w14:val="tx1"/>
            </w14:solidFill>
          </w14:textFill>
        </w:rPr>
        <w:t>料场选择与开采</w:t>
      </w:r>
    </w:p>
    <w:p w14:paraId="2F7B690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根据主体设计资料，工程所需材料全部采取外购，不设置料场。</w:t>
      </w:r>
    </w:p>
    <w:p w14:paraId="2C7990E8">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.2.2.5 </w:t>
      </w:r>
      <w:r>
        <w:rPr>
          <w:rFonts w:hint="eastAsia"/>
          <w:color w:val="000000" w:themeColor="text1"/>
          <w14:textFill>
            <w14:solidFill>
              <w14:schemeClr w14:val="tx1"/>
            </w14:solidFill>
          </w14:textFill>
        </w:rPr>
        <w:t>弃土场设置</w:t>
      </w:r>
    </w:p>
    <w:p w14:paraId="4EB8D9D0">
      <w:pPr>
        <w:ind w:firstLine="480"/>
        <w:rPr>
          <w:color w:val="000000" w:themeColor="text1"/>
          <w:spacing w:val="-4"/>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本项目不设弃土场，余方运送至距离项目4.5公里的绵阳会展中心综合体项目周边道路建设项目（三期）回填后综合利用。减少了因弃渣场设置造成的占地和水土流失。</w:t>
      </w:r>
    </w:p>
    <w:p w14:paraId="2488EFFC">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2.2.3施工工艺和方法</w:t>
      </w:r>
    </w:p>
    <w:p w14:paraId="346B4DD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该项目工程建设的特点，本工程的施工方法及工艺为：场地清理→场平工程→基础施工、地下室施工→主体施工→绿化施工→装修工（饰）程。施工过程中大量采用机械施工，如场地平整、土方回填碾压等。产生水土流失环节与部位：土石临时堆放、平整场地。影响因子有地形、降水、土地利用、土壤、植被。</w:t>
      </w:r>
    </w:p>
    <w:p w14:paraId="13963342">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2.2.3.1 场地平整</w:t>
      </w:r>
    </w:p>
    <w:p w14:paraId="0439320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施工时采用5t自卸车运土，推土机施工，使厚度能够满足要求，并振动碾压密实，最大程度减少土方施工工程量</w:t>
      </w:r>
      <w:r>
        <w:rPr>
          <w:color w:val="000000" w:themeColor="text1"/>
          <w14:textFill>
            <w14:solidFill>
              <w14:schemeClr w14:val="tx1"/>
            </w14:solidFill>
          </w14:textFill>
        </w:rPr>
        <w:t>。</w:t>
      </w:r>
    </w:p>
    <w:p w14:paraId="21405810">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2.2.3.2 土方填筑</w:t>
      </w:r>
    </w:p>
    <w:p w14:paraId="3C7F0F6A">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土方填筑前做现场生产性实验，经试验取得压实条件下的试验成果（铺土方式、铺土厚度、碾压机械的类型及重量、碾压遍数、填筑含水量、压实土的干容重、渗透系数、压缩系数和抗剪强度等），试验成果作为施工技术质量控制要求和检测方法。以实验数据控制土方填筑施工。</w:t>
      </w:r>
    </w:p>
    <w:p w14:paraId="717F38C9">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施工顺序：测量放样→清杂→取土→填筑压实→碾压报验。</w:t>
      </w:r>
    </w:p>
    <w:p w14:paraId="38B26AB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（1）土料铺填</w:t>
      </w:r>
    </w:p>
    <w:p w14:paraId="2FB48CFA">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①铺料前，清除所有的各种杂物、杂草、洞穴、浮土等，将土料铺至规定部位，填筑土料中的杂质清除。</w:t>
      </w:r>
    </w:p>
    <w:p w14:paraId="3C9129E3">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②地面起伏不平时，按水平分层由低处开始逐层填筑，分层作业面统一铺盖，统一碾压，严禁出现界沟。</w:t>
      </w:r>
    </w:p>
    <w:p w14:paraId="2800C5DA">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③相邻施工段的作业面均衡上升，若段与段之间不可避免出现高差时，以斜坡面相接。</w:t>
      </w:r>
    </w:p>
    <w:p w14:paraId="40B3149C">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④已铺土料表面在压实前被晒干时，洒水湿润。</w:t>
      </w:r>
    </w:p>
    <w:p w14:paraId="312A8B66">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⑤铺料至堤边时，在设计边线外侧各超填一定余量，人工铺料为10～20cm，机械铺料为30～50cm。</w:t>
      </w:r>
    </w:p>
    <w:p w14:paraId="4832A304">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（2）碾压作业</w:t>
      </w:r>
    </w:p>
    <w:p w14:paraId="59A4BDEC">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①施工前先做碾压试验，确定出碾压参数的各项指标。</w:t>
      </w:r>
    </w:p>
    <w:p w14:paraId="2016EF09">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②分段填筑，各段设立标志，上、下层的分段接缝位置错开。</w:t>
      </w:r>
    </w:p>
    <w:p w14:paraId="2ADD001E">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③碾压机械行走方向平行于堤轴线。分段、分片碾压，相邻作业面的搭接碾压宽度，平行堤轴线方向不小于0.5m，垂直堤轴线方向2-3m。</w:t>
      </w:r>
    </w:p>
    <w:p w14:paraId="7B5A3C30">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④机械碾压时控制行车速度不超过2km/h。</w:t>
      </w:r>
    </w:p>
    <w:p w14:paraId="4FC3ED9B">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⑤发现局部“弹簧土”、层间光面、层间中空、干松土层或剪切破坏等质量问题时，及时进行处理，并经检验合格后，铺填新土。</w:t>
      </w:r>
    </w:p>
    <w:p w14:paraId="2A7F2A01">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⑥机械碾压不到的部位，采用连环套打法夯实，夯迹双向套压，夯压夯1/3，行压行1/3；分段、分片夯压时，夯迹搭压宽度不小于1/3夯径。</w:t>
      </w:r>
    </w:p>
    <w:p w14:paraId="6B7B21E8">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（3）结合面处理</w:t>
      </w:r>
    </w:p>
    <w:p w14:paraId="6DD0AE4D">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结合面处理时，彻底清除各种工程物料和疏松土层。相邻作业面均匀上升，以减少施工接缝；分段间有高差的连接，垂直堤轴线方向的接缝以斜面相接，坡度采用1:3-1:5。</w:t>
      </w:r>
    </w:p>
    <w:p w14:paraId="79BBA4E6">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纵向接缝采用平台和斜坡相间形式，严格控制土块尺寸、铺土厚度及含水量，并加强压实控制，确保接合质量。</w:t>
      </w:r>
    </w:p>
    <w:p w14:paraId="2EB1FF2C">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color w:val="000000" w:themeColor="text1"/>
          <w:spacing w:val="-4"/>
          <w14:textFill>
            <w14:solidFill>
              <w14:schemeClr w14:val="tx1"/>
            </w14:solidFill>
          </w14:textFill>
        </w:rPr>
        <w:t>4</w:t>
      </w:r>
      <w:r>
        <w:rPr>
          <w:rFonts w:hint="eastAsia"/>
          <w:color w:val="000000" w:themeColor="text1"/>
          <w:spacing w:val="-4"/>
          <w14:textFill>
            <w14:solidFill>
              <w14:schemeClr w14:val="tx1"/>
            </w14:solidFill>
          </w14:textFill>
        </w:rPr>
        <w:t>）雨天施工</w:t>
      </w:r>
    </w:p>
    <w:p w14:paraId="7D96F8F2">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雨天填筑、碾压施工符合下列要求：</w:t>
      </w:r>
    </w:p>
    <w:p w14:paraId="23D9646F">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①雨前及时压实作业面，并做成中央凸起向两侧微倾的表面。当降小雨时，停止粘性土填筑。</w:t>
      </w:r>
    </w:p>
    <w:p w14:paraId="65EECE5D">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②及时排除填筑面积水；粘性土填筑面在下雨时严禁车辆通行。雨后恢复施工，填筑面经晾晒，对表层再次进行清理，待质检合格后及时复工。</w:t>
      </w:r>
    </w:p>
    <w:p w14:paraId="156FB009">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（5）接缝、明渠与建筑物接合处填筑</w:t>
      </w:r>
    </w:p>
    <w:p w14:paraId="78C11279">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明渠分段施工及明渠与其它土坡相接时，垂直明渠轴线方向的接缝以斜坡相接，明渠接缝的坡面，在填土时符合下列要求：</w:t>
      </w:r>
    </w:p>
    <w:p w14:paraId="21EE978E">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①配合填筑面上升，进行削坡，直到合格层为止；</w:t>
      </w:r>
    </w:p>
    <w:p w14:paraId="5938F621">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②根据填筑层情况，控制好接合面土的含水量，边刨毛边铺土压实；</w:t>
      </w:r>
    </w:p>
    <w:p w14:paraId="79473E21">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③垂直堤轴线方向的明渠接合坡面，随着填筑面上升，跨接合缝碾压时，超过接合缝搭压1.5～2.0m。</w:t>
      </w:r>
    </w:p>
    <w:p w14:paraId="3D2778A4">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④明渠与刚性建筑物相接合时，在填土前，用钢丝刷等工具，清除建筑表面的乳皮、粉尘、油污等物；</w:t>
      </w:r>
    </w:p>
    <w:p w14:paraId="2E4C00C6">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在开始填筑时，先将建筑物表面洒水湿润，并边涂刷浓泥浆、边铺土、边夯实；填筑用的压实工具，根据具体情况选用不同类型的夯具，做到贴边夯实；刚性墙两侧的填土，保持平衡上升。</w:t>
      </w:r>
    </w:p>
    <w:p w14:paraId="34C67390">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2.2.3.3 道路及其它硬化场地施工</w:t>
      </w:r>
    </w:p>
    <w:p w14:paraId="3C4C27A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道路路基土石方填筑采用水平分层填筑法施工，按照横断面全宽逐层向上填筑，道路施工时同时进行配套管网、管线工程的施工。路面施工以集中拌和摊铺机摊铺法施工。房屋建筑施工结束后进行道路的基层、面层、人行道的施工养护。</w:t>
      </w:r>
    </w:p>
    <w:p w14:paraId="509A821E">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2.2.3.4 管道沟槽施工</w:t>
      </w:r>
    </w:p>
    <w:p w14:paraId="527E9F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管道工程全部采用开槽施工，施工方案如下：</w:t>
      </w:r>
    </w:p>
    <w:p w14:paraId="5EAD58DD">
      <w:pPr>
        <w:adjustRightInd/>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w:t>
      </w:r>
      <w:r>
        <w:rPr>
          <w:color w:val="000000" w:themeColor="text1"/>
          <w:spacing w:val="-4"/>
          <w14:textFill>
            <w14:solidFill>
              <w14:schemeClr w14:val="tx1"/>
            </w14:solidFill>
          </w14:textFill>
        </w:rPr>
        <w:t>1</w:t>
      </w:r>
      <w:r>
        <w:rPr>
          <w:rFonts w:hint="eastAsia"/>
          <w:color w:val="000000" w:themeColor="text1"/>
          <w:spacing w:val="-4"/>
          <w14:textFill>
            <w14:solidFill>
              <w14:schemeClr w14:val="tx1"/>
            </w14:solidFill>
          </w14:textFill>
        </w:rPr>
        <w:t>）</w:t>
      </w:r>
      <w:r>
        <w:rPr>
          <w:rFonts w:hint="eastAsia"/>
          <w:color w:val="000000" w:themeColor="text1"/>
          <w14:textFill>
            <w14:solidFill>
              <w14:schemeClr w14:val="tx1"/>
            </w14:solidFill>
          </w14:textFill>
        </w:rPr>
        <w:t>雨水管和污水管道大部分位于设计道路下，管道埋深大多为0.64~2.12m，根据地形开挖沟槽铺设了污水管，满足了将雨水、污水排出项目区的要求。</w:t>
      </w:r>
    </w:p>
    <w:p w14:paraId="3B36F61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（2）沟槽支撑根据沟槽的土质、地下水位、开槽断面、荷载条件等因素进行设计。管沟开挖出的土方，临时堆存于管沟一侧或两侧，及时回填。</w:t>
      </w:r>
    </w:p>
    <w:p w14:paraId="468CC2F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（3）沟槽开挖深度多数小于</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0m，可直接放坡开挖施工，施工结束及时回填；施工期间如受地下水影响，应在坑内一侧或两侧开挖渗沟，渗沟内铺设砂砾石透水，渗沟每隔30m设置1座集水坑，每座集水坑配一台水泵，24小时不间断抽水，保障干地施工，降低地下水对管线施工影响。</w:t>
      </w:r>
    </w:p>
    <w:p w14:paraId="211FCD41">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2.2.3.</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 xml:space="preserve"> 绿化工程施工</w:t>
      </w:r>
    </w:p>
    <w:p w14:paraId="5C11FC7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道路、主要建构筑物完成后，即进行绿化工作。对规划绿化地进行场地清理、回铺种植土和微地形平整后，采用乔灌木和草分层搭配种植，其中，乔灌木采用穴植方式，草采用撒播方式，树草种尽量选用本地适生树种和景观树种。</w:t>
      </w:r>
    </w:p>
    <w:p w14:paraId="390E865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绿化工程需要选择当地树草种，以利于植物的成活和生长。</w:t>
      </w:r>
    </w:p>
    <w:p w14:paraId="7D44AB2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2.2.4施工管理方式</w:t>
      </w:r>
    </w:p>
    <w:p w14:paraId="4E6687BA">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建议主体施工单位</w:t>
      </w:r>
      <w:r>
        <w:rPr>
          <w:rFonts w:cs="Times New Roman"/>
          <w:color w:val="000000" w:themeColor="text1"/>
          <w14:textFill>
            <w14:solidFill>
              <w14:schemeClr w14:val="tx1"/>
            </w14:solidFill>
          </w14:textFill>
        </w:rPr>
        <w:t>按照设计文件和技术标准规范，</w:t>
      </w:r>
      <w:r>
        <w:rPr>
          <w:rFonts w:hint="eastAsia" w:cs="Times New Roman"/>
          <w:color w:val="000000" w:themeColor="text1"/>
          <w14:textFill>
            <w14:solidFill>
              <w14:schemeClr w14:val="tx1"/>
            </w14:solidFill>
          </w14:textFill>
        </w:rPr>
        <w:t>在下阶段</w:t>
      </w:r>
      <w:r>
        <w:rPr>
          <w:rFonts w:cs="Times New Roman"/>
          <w:color w:val="000000" w:themeColor="text1"/>
          <w14:textFill>
            <w14:solidFill>
              <w14:schemeClr w14:val="tx1"/>
            </w14:solidFill>
          </w14:textFill>
        </w:rPr>
        <w:t>采取正确的施工方案，合理组织施工</w:t>
      </w:r>
      <w:r>
        <w:rPr>
          <w:rFonts w:hint="eastAsia" w:cs="Times New Roman"/>
          <w:color w:val="000000" w:themeColor="text1"/>
          <w14:textFill>
            <w14:solidFill>
              <w14:schemeClr w14:val="tx1"/>
            </w14:solidFill>
          </w14:textFill>
        </w:rPr>
        <w:t>可以</w:t>
      </w:r>
      <w:r>
        <w:rPr>
          <w:rFonts w:cs="Times New Roman"/>
          <w:color w:val="000000" w:themeColor="text1"/>
          <w14:textFill>
            <w14:solidFill>
              <w14:schemeClr w14:val="tx1"/>
            </w14:solidFill>
          </w14:textFill>
        </w:rPr>
        <w:t>确保施工质量。</w:t>
      </w:r>
      <w:r>
        <w:rPr>
          <w:rFonts w:hint="eastAsia" w:cs="Times New Roman"/>
          <w:color w:val="000000" w:themeColor="text1"/>
          <w14:textFill>
            <w14:solidFill>
              <w14:schemeClr w14:val="tx1"/>
            </w14:solidFill>
          </w14:textFill>
        </w:rPr>
        <w:t>在施工过程中</w:t>
      </w:r>
      <w:r>
        <w:rPr>
          <w:rFonts w:cs="Times New Roman"/>
          <w:color w:val="000000" w:themeColor="text1"/>
          <w14:textFill>
            <w14:solidFill>
              <w14:schemeClr w14:val="tx1"/>
            </w14:solidFill>
          </w14:textFill>
        </w:rPr>
        <w:t>严格落实各项质量管理制度和措施，明确责任，真正做到质量人人有责，任何质量工作均有对应的标准和专人管理，做到全方位的控制管理。</w:t>
      </w:r>
    </w:p>
    <w:p w14:paraId="4E71C9F4">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安全生产是施工过程中的要害和关键，现场设施的更新和完善，规范的管理和员工素质。认真贯彻落实“安全第一、预防为主、以人为本、综合治理”的安全工作方针，严格执行</w:t>
      </w:r>
      <w:r>
        <w:rPr>
          <w:rFonts w:hint="eastAsia" w:cs="Times New Roman"/>
          <w:color w:val="000000" w:themeColor="text1"/>
          <w14:textFill>
            <w14:solidFill>
              <w14:schemeClr w14:val="tx1"/>
            </w14:solidFill>
          </w14:textFill>
        </w:rPr>
        <w:t>了</w:t>
      </w:r>
      <w:r>
        <w:rPr>
          <w:rFonts w:cs="Times New Roman"/>
          <w:color w:val="000000" w:themeColor="text1"/>
          <w14:textFill>
            <w14:solidFill>
              <w14:schemeClr w14:val="tx1"/>
            </w14:solidFill>
          </w14:textFill>
        </w:rPr>
        <w:t>安全生产法律法规，层层制定并落实各级安全生产责任制，突出现场管理，保障安全投入等手段</w:t>
      </w:r>
      <w:r>
        <w:rPr>
          <w:rFonts w:hint="eastAsia" w:cs="Times New Roman"/>
          <w:color w:val="000000" w:themeColor="text1"/>
          <w14:textFill>
            <w14:solidFill>
              <w14:schemeClr w14:val="tx1"/>
            </w14:solidFill>
          </w14:textFill>
        </w:rPr>
        <w:t>。</w:t>
      </w:r>
    </w:p>
    <w:p w14:paraId="7E5D783E">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2.2.5施工组织管理</w:t>
      </w:r>
    </w:p>
    <w:p w14:paraId="62DAE439">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为确保工程质量和工期，建设单位组建了精干有效的管理机构，严格控制施工进度和质量。项目根据工程数量、施工难易、工期安排等划分施工单元，施工单位采用公开招标方式确定，选择具有相应资质、信誉良好的施工队伍，保证工程质量、进度，顺利完成工程投资。工程实施中认真贯彻“百年大计，质量第一”的方针和国家有关质量法规，实行项目法人责任制、工程招投标制、监理制和合同管理制，强化质量管理，形成一套行之有效的质量管理体系</w:t>
      </w:r>
      <w:r>
        <w:rPr>
          <w:rFonts w:hint="eastAsia" w:cs="Times New Roman"/>
          <w:color w:val="000000" w:themeColor="text1"/>
          <w14:textFill>
            <w14:solidFill>
              <w14:schemeClr w14:val="tx1"/>
            </w14:solidFill>
          </w14:textFill>
        </w:rPr>
        <w:t>，并达到其他相关部门要求</w:t>
      </w:r>
      <w:r>
        <w:rPr>
          <w:rFonts w:cs="Times New Roman"/>
          <w:color w:val="000000" w:themeColor="text1"/>
          <w14:textFill>
            <w14:solidFill>
              <w14:schemeClr w14:val="tx1"/>
            </w14:solidFill>
          </w14:textFill>
        </w:rPr>
        <w:t>。</w:t>
      </w:r>
    </w:p>
    <w:p w14:paraId="027248BC">
      <w:pPr>
        <w:pStyle w:val="3"/>
        <w:rPr>
          <w:color w:val="000000" w:themeColor="text1"/>
          <w14:textFill>
            <w14:solidFill>
              <w14:schemeClr w14:val="tx1"/>
            </w14:solidFill>
          </w14:textFill>
        </w:rPr>
      </w:pPr>
      <w:bookmarkStart w:id="71" w:name="_Toc9651"/>
      <w:r>
        <w:rPr>
          <w:rFonts w:hint="eastAsia"/>
          <w:color w:val="000000" w:themeColor="text1"/>
          <w14:textFill>
            <w14:solidFill>
              <w14:schemeClr w14:val="tx1"/>
            </w14:solidFill>
          </w14:textFill>
        </w:rPr>
        <w:t>2.3工程占地</w:t>
      </w:r>
      <w:bookmarkEnd w:id="71"/>
    </w:p>
    <w:p w14:paraId="755D0898">
      <w:pPr>
        <w:ind w:firstLine="480"/>
        <w:rPr>
          <w:rFonts w:hint="eastAsia" w:hAnsi="仿宋"/>
          <w:bCs/>
          <w:color w:val="000000" w:themeColor="text1"/>
          <w14:textFill>
            <w14:solidFill>
              <w14:schemeClr w14:val="tx1"/>
            </w14:solidFill>
          </w14:textFill>
        </w:rPr>
      </w:pPr>
      <w:r>
        <w:rPr>
          <w:rFonts w:hint="eastAsia"/>
          <w:color w:val="000000" w:themeColor="text1"/>
          <w14:textFill>
            <w14:solidFill>
              <w14:schemeClr w14:val="tx1"/>
            </w14:solidFill>
          </w14:textFill>
        </w:rPr>
        <w:t>本项目施工营地布置在绵阳高新区钜成产业园项目内，面积不计列。根据主体设计资料，结合现场调查以及地形图量算分析，总占地面积0.95hm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，其中永久占地0.95hm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，建构筑物工程区占地0.45hm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，场内道路广场及硬化工程区占地0.38hm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，景观绿化工程区占地0.12hm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，占地范围全部为项目红线范围内用地</w:t>
      </w:r>
      <w:r>
        <w:rPr>
          <w:rFonts w:hint="eastAsia" w:hAnsi="仿宋"/>
          <w:bCs/>
          <w:color w:val="000000" w:themeColor="text1"/>
          <w14:textFill>
            <w14:solidFill>
              <w14:schemeClr w14:val="tx1"/>
            </w14:solidFill>
          </w14:textFill>
        </w:rPr>
        <w:t>，</w:t>
      </w:r>
      <w:r>
        <w:rPr>
          <w:rFonts w:hAnsi="仿宋"/>
          <w:bCs/>
          <w:color w:val="000000" w:themeColor="text1"/>
          <w14:textFill>
            <w14:solidFill>
              <w14:schemeClr w14:val="tx1"/>
            </w14:solidFill>
          </w14:textFill>
        </w:rPr>
        <w:t>占地类型</w:t>
      </w:r>
      <w:r>
        <w:rPr>
          <w:rFonts w:hint="eastAsia" w:hAnsi="仿宋"/>
          <w:bCs/>
          <w:color w:val="000000" w:themeColor="text1"/>
          <w14:textFill>
            <w14:solidFill>
              <w14:schemeClr w14:val="tx1"/>
            </w14:solidFill>
          </w14:textFill>
        </w:rPr>
        <w:t>为工业用地。</w:t>
      </w:r>
      <w:r>
        <w:rPr>
          <w:rFonts w:hint="eastAsia"/>
          <w:color w:val="000000" w:themeColor="text1"/>
          <w:spacing w:val="-4"/>
          <w14:textFill>
            <w14:solidFill>
              <w14:schemeClr w14:val="tx1"/>
            </w14:solidFill>
          </w14:textFill>
        </w:rPr>
        <w:t>本项目占地情况详见表</w:t>
      </w:r>
      <w:r>
        <w:rPr>
          <w:color w:val="000000" w:themeColor="text1"/>
          <w:spacing w:val="-4"/>
          <w14:textFill>
            <w14:solidFill>
              <w14:schemeClr w14:val="tx1"/>
            </w14:solidFill>
          </w14:textFill>
        </w:rPr>
        <w:t>2.3-1</w:t>
      </w:r>
      <w:r>
        <w:rPr>
          <w:rFonts w:hint="eastAsia"/>
          <w:color w:val="000000" w:themeColor="text1"/>
          <w:spacing w:val="-4"/>
          <w14:textFill>
            <w14:solidFill>
              <w14:schemeClr w14:val="tx1"/>
            </w14:solidFill>
          </w14:textFill>
        </w:rPr>
        <w:t>。</w:t>
      </w:r>
    </w:p>
    <w:p w14:paraId="0D1FA72F">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表2.3-1                </w:t>
      </w:r>
      <w:r>
        <w:rPr>
          <w:color w:val="000000" w:themeColor="text1"/>
          <w14:textFill>
            <w14:solidFill>
              <w14:schemeClr w14:val="tx1"/>
            </w14:solidFill>
          </w14:textFill>
        </w:rPr>
        <w:t>工程占地</w:t>
      </w:r>
      <w:r>
        <w:rPr>
          <w:rFonts w:hint="eastAsia"/>
          <w:color w:val="000000" w:themeColor="text1"/>
          <w14:textFill>
            <w14:solidFill>
              <w14:schemeClr w14:val="tx1"/>
            </w14:solidFill>
          </w14:textFill>
        </w:rPr>
        <w:t>面积统计表</w:t>
      </w:r>
    </w:p>
    <w:tbl>
      <w:tblPr>
        <w:tblStyle w:val="27"/>
        <w:tblW w:w="91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4"/>
        <w:gridCol w:w="1001"/>
        <w:gridCol w:w="1911"/>
        <w:gridCol w:w="1053"/>
        <w:gridCol w:w="1180"/>
        <w:gridCol w:w="677"/>
        <w:gridCol w:w="699"/>
        <w:gridCol w:w="860"/>
        <w:gridCol w:w="889"/>
      </w:tblGrid>
      <w:tr w14:paraId="0FD4E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844" w:type="dxa"/>
            <w:vMerge w:val="restart"/>
            <w:vAlign w:val="center"/>
          </w:tcPr>
          <w:p w14:paraId="125D7923">
            <w:pPr>
              <w:widowControl/>
              <w:autoSpaceDE w:val="0"/>
              <w:autoSpaceDN w:val="0"/>
              <w:spacing w:line="384" w:lineRule="auto"/>
              <w:ind w:firstLine="0" w:firstLineChars="0"/>
              <w:jc w:val="center"/>
              <w:textAlignment w:val="baseline"/>
              <w:rPr>
                <w:rFonts w:hint="eastAsia" w:ascii="仿宋" w:hAnsi="仿宋" w:eastAsia="仿宋" w:cs="仿宋"/>
                <w:snapToGrid w:val="0"/>
                <w:color w:val="000000" w:themeColor="text1"/>
                <w:spacing w:val="-5"/>
                <w:kern w:val="0"/>
                <w:sz w:val="21"/>
                <w:szCs w:val="21"/>
                <w14:textFill>
                  <w14:solidFill>
                    <w14:schemeClr w14:val="tx1"/>
                  </w14:solidFill>
                </w14:textFill>
              </w:rPr>
            </w:pPr>
            <w:r>
              <w:rPr>
                <w:rFonts w:hint="eastAsia" w:ascii="仿宋" w:hAnsi="仿宋"/>
                <w:snapToGrid w:val="0"/>
                <w:color w:val="000000" w:themeColor="text1"/>
                <w:spacing w:val="-5"/>
                <w:sz w:val="21"/>
                <w:szCs w:val="21"/>
                <w14:textFill>
                  <w14:solidFill>
                    <w14:schemeClr w14:val="tx1"/>
                  </w14:solidFill>
                </w14:textFill>
              </w:rPr>
              <w:t>行政区</w:t>
            </w:r>
          </w:p>
        </w:tc>
        <w:tc>
          <w:tcPr>
            <w:tcW w:w="1001" w:type="dxa"/>
            <w:vMerge w:val="restart"/>
            <w:vAlign w:val="center"/>
          </w:tcPr>
          <w:p w14:paraId="26FCFCFF">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一级防治分区</w:t>
            </w:r>
          </w:p>
        </w:tc>
        <w:tc>
          <w:tcPr>
            <w:tcW w:w="1911" w:type="dxa"/>
            <w:vMerge w:val="restart"/>
            <w:vAlign w:val="center"/>
          </w:tcPr>
          <w:p w14:paraId="52828ED7">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二级防治分区</w:t>
            </w:r>
          </w:p>
        </w:tc>
        <w:tc>
          <w:tcPr>
            <w:tcW w:w="1053" w:type="dxa"/>
            <w:vMerge w:val="restart"/>
            <w:vAlign w:val="center"/>
          </w:tcPr>
          <w:p w14:paraId="75AE9D87">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占地面积(hm</w:t>
            </w:r>
            <w:r>
              <w:rPr>
                <w:snapToGrid w:val="0"/>
                <w:color w:val="000000" w:themeColor="text1"/>
                <w:sz w:val="21"/>
                <w:szCs w:val="21"/>
                <w14:textFill>
                  <w14:solidFill>
                    <w14:schemeClr w14:val="tx1"/>
                  </w14:solidFill>
                </w14:textFill>
              </w:rPr>
              <w:t>²</w:t>
            </w:r>
            <w:r>
              <w:rPr>
                <w:rFonts w:hint="eastAsia"/>
                <w:snapToGrid w:val="0"/>
                <w:color w:val="000000" w:themeColor="text1"/>
                <w:sz w:val="21"/>
                <w:szCs w:val="21"/>
                <w14:textFill>
                  <w14:solidFill>
                    <w14:schemeClr w14:val="tx1"/>
                  </w14:solidFill>
                </w14:textFill>
              </w:rPr>
              <w:t>)</w:t>
            </w:r>
          </w:p>
        </w:tc>
        <w:tc>
          <w:tcPr>
            <w:tcW w:w="3416" w:type="dxa"/>
            <w:gridSpan w:val="4"/>
            <w:vAlign w:val="center"/>
          </w:tcPr>
          <w:p w14:paraId="46DE3290">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占地类型（hm</w:t>
            </w:r>
            <w:r>
              <w:rPr>
                <w:snapToGrid w:val="0"/>
                <w:color w:val="000000" w:themeColor="text1"/>
                <w:sz w:val="21"/>
                <w:szCs w:val="21"/>
                <w14:textFill>
                  <w14:solidFill>
                    <w14:schemeClr w14:val="tx1"/>
                  </w14:solidFill>
                </w14:textFill>
              </w:rPr>
              <w:t>²</w:t>
            </w:r>
            <w:r>
              <w:rPr>
                <w:rFonts w:hint="eastAsia"/>
                <w:snapToGrid w:val="0"/>
                <w:color w:val="000000" w:themeColor="text1"/>
                <w:sz w:val="21"/>
                <w:szCs w:val="21"/>
                <w14:textFill>
                  <w14:solidFill>
                    <w14:schemeClr w14:val="tx1"/>
                  </w14:solidFill>
                </w14:textFill>
              </w:rPr>
              <w:t>）</w:t>
            </w:r>
          </w:p>
        </w:tc>
        <w:tc>
          <w:tcPr>
            <w:tcW w:w="889" w:type="dxa"/>
          </w:tcPr>
          <w:p w14:paraId="55469527">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ascii="仿宋" w:hAnsi="仿宋" w:eastAsia="仿宋" w:cs="仿宋"/>
                <w:b/>
                <w:bCs/>
                <w:snapToGrid w:val="0"/>
                <w:color w:val="000000" w:themeColor="text1"/>
                <w:spacing w:val="-5"/>
                <w:kern w:val="0"/>
                <w:sz w:val="21"/>
                <w:szCs w:val="21"/>
                <w14:textFill>
                  <w14:solidFill>
                    <w14:schemeClr w14:val="tx1"/>
                  </w14:solidFill>
                </w14:textFill>
              </w:rPr>
              <w:t>备注</w:t>
            </w:r>
          </w:p>
        </w:tc>
      </w:tr>
      <w:tr w14:paraId="78FC5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844" w:type="dxa"/>
            <w:vMerge w:val="continue"/>
          </w:tcPr>
          <w:p w14:paraId="75AF42DE">
            <w:pPr>
              <w:widowControl/>
              <w:autoSpaceDE w:val="0"/>
              <w:autoSpaceDN w:val="0"/>
              <w:spacing w:line="384" w:lineRule="auto"/>
              <w:ind w:firstLine="0" w:firstLineChars="0"/>
              <w:textAlignment w:val="baseline"/>
              <w:rPr>
                <w:rFonts w:hint="eastAsia" w:ascii="仿宋" w:hAnsi="仿宋" w:eastAsia="仿宋" w:cs="仿宋"/>
                <w:snapToGrid w:val="0"/>
                <w:color w:val="000000" w:themeColor="text1"/>
                <w:spacing w:val="-5"/>
                <w:kern w:val="0"/>
                <w:sz w:val="21"/>
                <w:szCs w:val="21"/>
                <w14:textFill>
                  <w14:solidFill>
                    <w14:schemeClr w14:val="tx1"/>
                  </w14:solidFill>
                </w14:textFill>
              </w:rPr>
            </w:pPr>
          </w:p>
        </w:tc>
        <w:tc>
          <w:tcPr>
            <w:tcW w:w="1001" w:type="dxa"/>
            <w:vMerge w:val="continue"/>
          </w:tcPr>
          <w:p w14:paraId="5FA52440">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c>
          <w:tcPr>
            <w:tcW w:w="1911" w:type="dxa"/>
            <w:vMerge w:val="continue"/>
          </w:tcPr>
          <w:p w14:paraId="5D6C90C7">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c>
          <w:tcPr>
            <w:tcW w:w="1053" w:type="dxa"/>
            <w:vMerge w:val="continue"/>
          </w:tcPr>
          <w:p w14:paraId="28FB00DB">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c>
          <w:tcPr>
            <w:tcW w:w="1180" w:type="dxa"/>
            <w:vAlign w:val="center"/>
          </w:tcPr>
          <w:p w14:paraId="405C8DE0">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工业用地</w:t>
            </w:r>
          </w:p>
        </w:tc>
        <w:tc>
          <w:tcPr>
            <w:tcW w:w="677" w:type="dxa"/>
            <w:vAlign w:val="center"/>
          </w:tcPr>
          <w:p w14:paraId="39BBACAE">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耕地</w:t>
            </w:r>
          </w:p>
        </w:tc>
        <w:tc>
          <w:tcPr>
            <w:tcW w:w="699" w:type="dxa"/>
            <w:vAlign w:val="center"/>
          </w:tcPr>
          <w:p w14:paraId="6FDC7509">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林地</w:t>
            </w:r>
          </w:p>
        </w:tc>
        <w:tc>
          <w:tcPr>
            <w:tcW w:w="860" w:type="dxa"/>
            <w:vAlign w:val="center"/>
          </w:tcPr>
          <w:p w14:paraId="7782D4B3">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其他</w:t>
            </w:r>
          </w:p>
        </w:tc>
        <w:tc>
          <w:tcPr>
            <w:tcW w:w="889" w:type="dxa"/>
          </w:tcPr>
          <w:p w14:paraId="7126CFBC">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2E655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44" w:type="dxa"/>
            <w:vMerge w:val="restart"/>
            <w:vAlign w:val="center"/>
          </w:tcPr>
          <w:p w14:paraId="02C09C15">
            <w:pPr>
              <w:widowControl/>
              <w:autoSpaceDE w:val="0"/>
              <w:autoSpaceDN w:val="0"/>
              <w:spacing w:line="384" w:lineRule="auto"/>
              <w:ind w:firstLine="0" w:firstLineChars="0"/>
              <w:jc w:val="center"/>
              <w:textAlignment w:val="baseline"/>
              <w:rPr>
                <w:rFonts w:hint="eastAsia" w:ascii="仿宋" w:hAnsi="仿宋" w:eastAsia="仿宋" w:cs="仿宋"/>
                <w:snapToGrid w:val="0"/>
                <w:color w:val="000000" w:themeColor="text1"/>
                <w:spacing w:val="-5"/>
                <w:kern w:val="0"/>
                <w:sz w:val="21"/>
                <w:szCs w:val="21"/>
                <w14:textFill>
                  <w14:solidFill>
                    <w14:schemeClr w14:val="tx1"/>
                  </w14:solidFill>
                </w14:textFill>
              </w:rPr>
            </w:pPr>
            <w:r>
              <w:rPr>
                <w:rFonts w:hint="eastAsia" w:ascii="仿宋" w:hAnsi="仿宋" w:eastAsia="仿宋" w:cs="仿宋"/>
                <w:snapToGrid w:val="0"/>
                <w:color w:val="000000" w:themeColor="text1"/>
                <w:spacing w:val="-5"/>
                <w:kern w:val="0"/>
                <w:sz w:val="21"/>
                <w:szCs w:val="21"/>
                <w14:textFill>
                  <w14:solidFill>
                    <w14:schemeClr w14:val="tx1"/>
                  </w14:solidFill>
                </w14:textFill>
              </w:rPr>
              <w:t>绵阳高新区</w:t>
            </w:r>
          </w:p>
        </w:tc>
        <w:tc>
          <w:tcPr>
            <w:tcW w:w="1001" w:type="dxa"/>
            <w:vAlign w:val="center"/>
          </w:tcPr>
          <w:p w14:paraId="32307D50">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地下工程区</w:t>
            </w:r>
          </w:p>
        </w:tc>
        <w:tc>
          <w:tcPr>
            <w:tcW w:w="1911" w:type="dxa"/>
            <w:vAlign w:val="center"/>
          </w:tcPr>
          <w:p w14:paraId="09443BF0">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ascii="仿宋_GB2312"/>
                <w:color w:val="000000" w:themeColor="text1"/>
                <w:sz w:val="21"/>
                <w14:textFill>
                  <w14:solidFill>
                    <w14:schemeClr w14:val="tx1"/>
                  </w14:solidFill>
                </w14:textFill>
              </w:rPr>
              <w:t>地下建筑工程区</w:t>
            </w:r>
          </w:p>
        </w:tc>
        <w:tc>
          <w:tcPr>
            <w:tcW w:w="1053" w:type="dxa"/>
            <w:vAlign w:val="center"/>
          </w:tcPr>
          <w:p w14:paraId="19BC1073">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snapToGrid w:val="0"/>
                <w:color w:val="000000" w:themeColor="text1"/>
                <w:sz w:val="21"/>
                <w:szCs w:val="21"/>
                <w14:textFill>
                  <w14:solidFill>
                    <w14:schemeClr w14:val="tx1"/>
                  </w14:solidFill>
                </w14:textFill>
              </w:rPr>
              <w:t>0.</w:t>
            </w:r>
            <w:r>
              <w:rPr>
                <w:rFonts w:hint="eastAsia"/>
                <w:snapToGrid w:val="0"/>
                <w:color w:val="000000" w:themeColor="text1"/>
                <w:sz w:val="21"/>
                <w:szCs w:val="21"/>
                <w14:textFill>
                  <w14:solidFill>
                    <w14:schemeClr w14:val="tx1"/>
                  </w14:solidFill>
                </w14:textFill>
              </w:rPr>
              <w:t>44*</w:t>
            </w:r>
          </w:p>
        </w:tc>
        <w:tc>
          <w:tcPr>
            <w:tcW w:w="1180" w:type="dxa"/>
            <w:vAlign w:val="center"/>
          </w:tcPr>
          <w:p w14:paraId="5ECFD056">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0.</w:t>
            </w:r>
            <w:r>
              <w:rPr>
                <w:rFonts w:hint="eastAsia"/>
                <w:snapToGrid w:val="0"/>
                <w:color w:val="000000" w:themeColor="text1"/>
                <w:sz w:val="21"/>
                <w:szCs w:val="21"/>
                <w14:textFill>
                  <w14:solidFill>
                    <w14:schemeClr w14:val="tx1"/>
                  </w14:solidFill>
                </w14:textFill>
              </w:rPr>
              <w:t>44*</w:t>
            </w:r>
          </w:p>
        </w:tc>
        <w:tc>
          <w:tcPr>
            <w:tcW w:w="677" w:type="dxa"/>
            <w:vAlign w:val="center"/>
          </w:tcPr>
          <w:p w14:paraId="657854CC">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99" w:type="dxa"/>
            <w:vAlign w:val="center"/>
          </w:tcPr>
          <w:p w14:paraId="545A02FB">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vAlign w:val="center"/>
          </w:tcPr>
          <w:p w14:paraId="1C312E1A">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89" w:type="dxa"/>
          </w:tcPr>
          <w:p w14:paraId="25C269E6">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63E76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844" w:type="dxa"/>
            <w:vMerge w:val="continue"/>
            <w:vAlign w:val="center"/>
          </w:tcPr>
          <w:p w14:paraId="00C1A8D0">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1001" w:type="dxa"/>
            <w:vMerge w:val="restart"/>
            <w:vAlign w:val="center"/>
          </w:tcPr>
          <w:p w14:paraId="2075EF35">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地上工程区</w:t>
            </w:r>
          </w:p>
        </w:tc>
        <w:tc>
          <w:tcPr>
            <w:tcW w:w="1911" w:type="dxa"/>
            <w:vAlign w:val="center"/>
          </w:tcPr>
          <w:p w14:paraId="67668E35">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建构筑物工程区</w:t>
            </w:r>
          </w:p>
        </w:tc>
        <w:tc>
          <w:tcPr>
            <w:tcW w:w="1053" w:type="dxa"/>
            <w:vAlign w:val="center"/>
          </w:tcPr>
          <w:p w14:paraId="646A774F">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0.45</w:t>
            </w:r>
          </w:p>
        </w:tc>
        <w:tc>
          <w:tcPr>
            <w:tcW w:w="1180" w:type="dxa"/>
            <w:vAlign w:val="center"/>
          </w:tcPr>
          <w:p w14:paraId="636FF102">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0.45</w:t>
            </w:r>
          </w:p>
        </w:tc>
        <w:tc>
          <w:tcPr>
            <w:tcW w:w="677" w:type="dxa"/>
            <w:vAlign w:val="center"/>
          </w:tcPr>
          <w:p w14:paraId="587DB55D">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99" w:type="dxa"/>
            <w:vAlign w:val="center"/>
          </w:tcPr>
          <w:p w14:paraId="69A3903E">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tcPr>
          <w:p w14:paraId="42E18419">
            <w:pPr>
              <w:widowControl/>
              <w:autoSpaceDE w:val="0"/>
              <w:autoSpaceDN w:val="0"/>
              <w:spacing w:line="384" w:lineRule="auto"/>
              <w:ind w:firstLine="0" w:firstLineChars="0"/>
              <w:textAlignment w:val="baseline"/>
              <w:rPr>
                <w:snapToGrid w:val="0"/>
                <w:color w:val="000000" w:themeColor="text1"/>
                <w:sz w:val="21"/>
                <w:szCs w:val="21"/>
                <w14:textFill>
                  <w14:solidFill>
                    <w14:schemeClr w14:val="tx1"/>
                  </w14:solidFill>
                </w14:textFill>
              </w:rPr>
            </w:pPr>
          </w:p>
        </w:tc>
        <w:tc>
          <w:tcPr>
            <w:tcW w:w="889" w:type="dxa"/>
          </w:tcPr>
          <w:p w14:paraId="60958A4C">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3E38C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844" w:type="dxa"/>
            <w:vMerge w:val="continue"/>
            <w:vAlign w:val="center"/>
          </w:tcPr>
          <w:p w14:paraId="40BDF3FF">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1001" w:type="dxa"/>
            <w:vMerge w:val="continue"/>
          </w:tcPr>
          <w:p w14:paraId="5246651D">
            <w:pPr>
              <w:widowControl/>
              <w:autoSpaceDE w:val="0"/>
              <w:autoSpaceDN w:val="0"/>
              <w:spacing w:line="240"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1911" w:type="dxa"/>
            <w:vAlign w:val="center"/>
          </w:tcPr>
          <w:p w14:paraId="71A1DD74">
            <w:pPr>
              <w:widowControl/>
              <w:autoSpaceDE w:val="0"/>
              <w:autoSpaceDN w:val="0"/>
              <w:spacing w:line="240"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场内道路广场及硬化工程区</w:t>
            </w:r>
          </w:p>
        </w:tc>
        <w:tc>
          <w:tcPr>
            <w:tcW w:w="1053" w:type="dxa"/>
            <w:vAlign w:val="center"/>
          </w:tcPr>
          <w:p w14:paraId="69B995C3">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0.38</w:t>
            </w:r>
          </w:p>
        </w:tc>
        <w:tc>
          <w:tcPr>
            <w:tcW w:w="1180" w:type="dxa"/>
            <w:vAlign w:val="center"/>
          </w:tcPr>
          <w:p w14:paraId="0FB345F7">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0.38</w:t>
            </w:r>
          </w:p>
        </w:tc>
        <w:tc>
          <w:tcPr>
            <w:tcW w:w="677" w:type="dxa"/>
            <w:vAlign w:val="center"/>
          </w:tcPr>
          <w:p w14:paraId="6B8FCC53">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99" w:type="dxa"/>
            <w:vAlign w:val="center"/>
          </w:tcPr>
          <w:p w14:paraId="069E83D1">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tcPr>
          <w:p w14:paraId="0A339F8D">
            <w:pPr>
              <w:widowControl/>
              <w:autoSpaceDE w:val="0"/>
              <w:autoSpaceDN w:val="0"/>
              <w:spacing w:line="384" w:lineRule="auto"/>
              <w:ind w:firstLine="0" w:firstLineChars="0"/>
              <w:textAlignment w:val="baseline"/>
              <w:rPr>
                <w:snapToGrid w:val="0"/>
                <w:color w:val="000000" w:themeColor="text1"/>
                <w:sz w:val="21"/>
                <w:szCs w:val="21"/>
                <w14:textFill>
                  <w14:solidFill>
                    <w14:schemeClr w14:val="tx1"/>
                  </w14:solidFill>
                </w14:textFill>
              </w:rPr>
            </w:pPr>
          </w:p>
        </w:tc>
        <w:tc>
          <w:tcPr>
            <w:tcW w:w="889" w:type="dxa"/>
          </w:tcPr>
          <w:p w14:paraId="797CA7A8">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38EF8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844" w:type="dxa"/>
            <w:vMerge w:val="continue"/>
            <w:vAlign w:val="center"/>
          </w:tcPr>
          <w:p w14:paraId="22C9EA35">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1001" w:type="dxa"/>
            <w:vMerge w:val="continue"/>
          </w:tcPr>
          <w:p w14:paraId="372AA528">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1911" w:type="dxa"/>
            <w:vAlign w:val="center"/>
          </w:tcPr>
          <w:p w14:paraId="7A0EC851">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景观绿化工程区</w:t>
            </w:r>
          </w:p>
        </w:tc>
        <w:tc>
          <w:tcPr>
            <w:tcW w:w="1053" w:type="dxa"/>
            <w:vAlign w:val="center"/>
          </w:tcPr>
          <w:p w14:paraId="2427D4FF">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0.12</w:t>
            </w:r>
          </w:p>
        </w:tc>
        <w:tc>
          <w:tcPr>
            <w:tcW w:w="1180" w:type="dxa"/>
            <w:vAlign w:val="center"/>
          </w:tcPr>
          <w:p w14:paraId="272300FF">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0.12</w:t>
            </w:r>
          </w:p>
        </w:tc>
        <w:tc>
          <w:tcPr>
            <w:tcW w:w="677" w:type="dxa"/>
            <w:vAlign w:val="center"/>
          </w:tcPr>
          <w:p w14:paraId="04E9FF9F">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99" w:type="dxa"/>
            <w:vAlign w:val="center"/>
          </w:tcPr>
          <w:p w14:paraId="20002718">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tcPr>
          <w:p w14:paraId="40E87D44">
            <w:pPr>
              <w:widowControl/>
              <w:autoSpaceDE w:val="0"/>
              <w:autoSpaceDN w:val="0"/>
              <w:spacing w:line="384" w:lineRule="auto"/>
              <w:ind w:firstLine="0" w:firstLineChars="0"/>
              <w:textAlignment w:val="baseline"/>
              <w:rPr>
                <w:snapToGrid w:val="0"/>
                <w:color w:val="000000" w:themeColor="text1"/>
                <w:sz w:val="21"/>
                <w:szCs w:val="21"/>
                <w14:textFill>
                  <w14:solidFill>
                    <w14:schemeClr w14:val="tx1"/>
                  </w14:solidFill>
                </w14:textFill>
              </w:rPr>
            </w:pPr>
          </w:p>
        </w:tc>
        <w:tc>
          <w:tcPr>
            <w:tcW w:w="889" w:type="dxa"/>
          </w:tcPr>
          <w:p w14:paraId="321A605D">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16B0A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3756" w:type="dxa"/>
            <w:gridSpan w:val="3"/>
            <w:vAlign w:val="center"/>
          </w:tcPr>
          <w:p w14:paraId="59320000">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合计</w:t>
            </w:r>
          </w:p>
        </w:tc>
        <w:tc>
          <w:tcPr>
            <w:tcW w:w="1053" w:type="dxa"/>
            <w:vAlign w:val="center"/>
          </w:tcPr>
          <w:p w14:paraId="6E36E167">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0.95</w:t>
            </w:r>
          </w:p>
        </w:tc>
        <w:tc>
          <w:tcPr>
            <w:tcW w:w="1180" w:type="dxa"/>
            <w:vAlign w:val="center"/>
          </w:tcPr>
          <w:p w14:paraId="4A7231B7">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0.95</w:t>
            </w:r>
          </w:p>
        </w:tc>
        <w:tc>
          <w:tcPr>
            <w:tcW w:w="677" w:type="dxa"/>
            <w:vAlign w:val="center"/>
          </w:tcPr>
          <w:p w14:paraId="19EA18B8">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99" w:type="dxa"/>
            <w:vAlign w:val="center"/>
          </w:tcPr>
          <w:p w14:paraId="44C2F926">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vAlign w:val="center"/>
          </w:tcPr>
          <w:p w14:paraId="06DD0A63">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89" w:type="dxa"/>
          </w:tcPr>
          <w:p w14:paraId="68E43ACC">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bl>
    <w:p w14:paraId="11BEE130">
      <w:pPr>
        <w:ind w:firstLine="480"/>
        <w:rPr>
          <w:rFonts w:hint="eastAsia" w:hAnsi="仿宋"/>
          <w:bCs/>
          <w:color w:val="000000" w:themeColor="text1"/>
          <w14:textFill>
            <w14:solidFill>
              <w14:schemeClr w14:val="tx1"/>
            </w14:solidFill>
          </w14:textFill>
        </w:rPr>
      </w:pPr>
      <w:r>
        <w:rPr>
          <w:rFonts w:hint="eastAsia" w:hAnsi="仿宋"/>
          <w:bCs/>
          <w:color w:val="000000" w:themeColor="text1"/>
          <w14:textFill>
            <w14:solidFill>
              <w14:schemeClr w14:val="tx1"/>
            </w14:solidFill>
          </w14:textFill>
        </w:rPr>
        <w:t>备注： *表示该区域占地位于主体工程占地范围内，不重复计算其面积。</w:t>
      </w:r>
    </w:p>
    <w:p w14:paraId="62D1965F">
      <w:pPr>
        <w:pStyle w:val="3"/>
        <w:rPr>
          <w:color w:val="000000" w:themeColor="text1"/>
          <w14:textFill>
            <w14:solidFill>
              <w14:schemeClr w14:val="tx1"/>
            </w14:solidFill>
          </w14:textFill>
        </w:rPr>
      </w:pPr>
      <w:bookmarkStart w:id="72" w:name="_Toc26558"/>
      <w:r>
        <w:rPr>
          <w:rFonts w:hint="eastAsia"/>
          <w:color w:val="000000" w:themeColor="text1"/>
          <w14:textFill>
            <w14:solidFill>
              <w14:schemeClr w14:val="tx1"/>
            </w14:solidFill>
          </w14:textFill>
        </w:rPr>
        <w:t>2.4土石方及其平衡分析</w:t>
      </w:r>
      <w:bookmarkEnd w:id="72"/>
    </w:p>
    <w:p w14:paraId="1D82B399">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2.4.1表土剥离平衡分析</w:t>
      </w:r>
    </w:p>
    <w:p w14:paraId="1D88F9EA">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主体工程已于2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3年6月开工，根据项目地勘报告及现场踏勘，施工单位在开工前期对建构筑物工程区</w:t>
      </w:r>
      <w:r>
        <w:rPr>
          <w:rFonts w:hint="eastAsia"/>
          <w:color w:val="000000" w:themeColor="text1"/>
          <w:lang w:eastAsia="zh-CN"/>
          <w14:textFill>
            <w14:solidFill>
              <w14:schemeClr w14:val="tx1"/>
            </w14:solidFill>
          </w14:textFill>
        </w:rPr>
        <w:t>和</w:t>
      </w:r>
      <w:r>
        <w:rPr>
          <w:rFonts w:hint="eastAsia"/>
          <w:color w:val="000000" w:themeColor="text1"/>
          <w14:textFill>
            <w14:solidFill>
              <w14:schemeClr w14:val="tx1"/>
            </w14:solidFill>
          </w14:textFill>
        </w:rPr>
        <w:t>场内道路广场及硬化工程区可剥离表土区域进行了表土剥离，平均剥离厚度0.20m</w:t>
      </w:r>
      <w:r>
        <w:rPr>
          <w:rFonts w:hint="eastAsia"/>
          <w:color w:val="000000" w:themeColor="text1"/>
          <w:lang w:val="en-US" w:eastAsia="zh-CN"/>
          <w14:textFill>
            <w14:solidFill>
              <w14:schemeClr w14:val="tx1"/>
            </w14:solidFill>
          </w14:textFill>
        </w:rPr>
        <w:t>~0.3m</w:t>
      </w:r>
      <w:r>
        <w:rPr>
          <w:rFonts w:hint="eastAsia"/>
          <w:color w:val="000000" w:themeColor="text1"/>
          <w14:textFill>
            <w14:solidFill>
              <w14:schemeClr w14:val="tx1"/>
            </w14:solidFill>
          </w14:textFill>
        </w:rPr>
        <w:t>，共剥离表土量为</w:t>
      </w:r>
      <w:r>
        <w:rPr>
          <w:rFonts w:hint="eastAsia"/>
          <w:color w:val="000000" w:themeColor="text1"/>
          <w:lang w:val="en-US" w:eastAsia="zh-CN"/>
          <w14:textFill>
            <w14:solidFill>
              <w14:schemeClr w14:val="tx1"/>
            </w14:solidFill>
          </w14:textFill>
        </w:rPr>
        <w:t>0.10</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，剥离的表土堆放于本项目临时堆土场用于本项目后期绿化覆土。</w:t>
      </w:r>
    </w:p>
    <w:p w14:paraId="33F59755">
      <w:pPr>
        <w:ind w:firstLine="480"/>
        <w:rPr>
          <w:rFonts w:hint="eastAsia"/>
          <w:color w:val="000000" w:themeColor="text1"/>
          <w14:textFill>
            <w14:solidFill>
              <w14:schemeClr w14:val="tx1"/>
            </w14:solidFill>
          </w14:textFill>
        </w:rPr>
      </w:pPr>
      <w:r>
        <w:t>本项目绿化工程面积共计0.</w:t>
      </w:r>
      <w:r>
        <w:rPr>
          <w:rFonts w:hint="eastAsia"/>
          <w:lang w:val="en-US" w:eastAsia="zh-CN"/>
        </w:rPr>
        <w:t>12</w:t>
      </w:r>
      <w:r>
        <w:t>hm</w:t>
      </w:r>
      <w:r>
        <w:rPr>
          <w:vertAlign w:val="superscript"/>
        </w:rPr>
        <w:t>2</w:t>
      </w:r>
      <w:r>
        <w:t>，绿化措施实施前进行绿化覆土</w:t>
      </w:r>
      <w:r>
        <w:rPr>
          <w:rFonts w:hint="eastAsia"/>
          <w:lang w:eastAsia="zh-CN"/>
        </w:rPr>
        <w:t>，平均覆土厚度为</w:t>
      </w:r>
      <w:r>
        <w:rPr>
          <w:rFonts w:hint="eastAsia"/>
          <w:lang w:val="en-US" w:eastAsia="zh-CN"/>
        </w:rPr>
        <w:t>0.5m</w:t>
      </w:r>
      <w:r>
        <w:rPr>
          <w:rFonts w:hint="eastAsia"/>
          <w:lang w:eastAsia="zh-CN"/>
        </w:rPr>
        <w:t>，</w:t>
      </w:r>
      <w:r>
        <w:t>经计算，需要覆土</w:t>
      </w:r>
      <w:r>
        <w:rPr>
          <w:rFonts w:hint="eastAsia"/>
          <w:lang w:val="en-US" w:eastAsia="zh-CN"/>
        </w:rPr>
        <w:t>0.10</w:t>
      </w:r>
      <w:r>
        <w:t>万m</w:t>
      </w:r>
      <w:r>
        <w:rPr>
          <w:vertAlign w:val="superscript"/>
        </w:rPr>
        <w:t>3</w:t>
      </w:r>
      <w:r>
        <w:t>，绿化覆土直接利用本项目剥离的表土。</w:t>
      </w:r>
    </w:p>
    <w:p w14:paraId="4B1D15E9">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2.4.2各分区土石方平衡分析</w:t>
      </w:r>
    </w:p>
    <w:p w14:paraId="35DE731F">
      <w:pPr>
        <w:wordWrap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根据测绘地形图，场地原地貌高程为508.58～509.67m 之间，最大高差1.09m。竖向布置采用平坡式布置，依据地块周边城市道路标高和地形现状标高进行设计。</w:t>
      </w:r>
    </w:p>
    <w:p w14:paraId="31F3402F">
      <w:pPr>
        <w:wordWrap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项目土石方开挖主要包括场地平整清理、建构筑物基础开挖、管沟开挖。</w:t>
      </w:r>
    </w:p>
    <w:p w14:paraId="5BF20F55">
      <w:pPr>
        <w:wordWrap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根据设计单位计算，地下建筑开挖</w:t>
      </w:r>
      <w:r>
        <w:rPr>
          <w:color w:val="000000" w:themeColor="text1"/>
          <w14:textFill>
            <w14:solidFill>
              <w14:schemeClr w14:val="tx1"/>
            </w14:solidFill>
          </w14:textFill>
        </w:rPr>
        <w:t>1.</w:t>
      </w:r>
      <w:bookmarkStart w:id="73" w:name="_Hlk124689621"/>
      <w:r>
        <w:rPr>
          <w:rFonts w:hint="eastAsia"/>
          <w:color w:val="000000" w:themeColor="text1"/>
          <w14:textFill>
            <w14:solidFill>
              <w14:schemeClr w14:val="tx1"/>
            </w14:solidFill>
          </w14:textFill>
        </w:rPr>
        <w:t>32万m</w:t>
      </w:r>
      <w:r>
        <w:rPr>
          <w:rFonts w:hint="eastAsia"/>
          <w:color w:val="000000" w:themeColor="text1"/>
          <w:vertAlign w:val="superscript"/>
          <w14:textFill>
            <w14:solidFill>
              <w14:schemeClr w14:val="tx1"/>
            </w14:solidFill>
          </w14:textFill>
        </w:rPr>
        <w:t>3</w:t>
      </w:r>
      <w:bookmarkEnd w:id="73"/>
      <w:r>
        <w:rPr>
          <w:rFonts w:hint="eastAsia"/>
          <w:color w:val="000000" w:themeColor="text1"/>
          <w14:textFill>
            <w14:solidFill>
              <w14:schemeClr w14:val="tx1"/>
            </w14:solidFill>
          </w14:textFill>
        </w:rPr>
        <w:t>，建构筑物工程区开挖1.62万m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，场内道路及硬化工程区开挖（含管线及地沟开挖）0.38万m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bookmarkStart w:id="74" w:name="_Hlk101183142"/>
      <w:r>
        <w:rPr>
          <w:rFonts w:hint="eastAsia"/>
          <w:color w:val="000000" w:themeColor="text1"/>
          <w14:textFill>
            <w14:solidFill>
              <w14:schemeClr w14:val="tx1"/>
            </w14:solidFill>
          </w14:textFill>
        </w:rPr>
        <w:t>景观绿化工程区开挖0.09万m</w:t>
      </w:r>
      <w:r>
        <w:rPr>
          <w:rFonts w:hint="eastAsia"/>
          <w:color w:val="000000" w:themeColor="text1"/>
          <w:vertAlign w:val="superscript"/>
          <w14:textFill>
            <w14:solidFill>
              <w14:schemeClr w14:val="tx1"/>
            </w14:solidFill>
          </w14:textFill>
        </w:rPr>
        <w:t>3</w:t>
      </w:r>
      <w:bookmarkEnd w:id="74"/>
      <w:r>
        <w:rPr>
          <w:rFonts w:hint="eastAsia"/>
          <w:color w:val="000000" w:themeColor="text1"/>
          <w14:textFill>
            <w14:solidFill>
              <w14:schemeClr w14:val="tx1"/>
            </w14:solidFill>
          </w14:textFill>
        </w:rPr>
        <w:t>，项目挖方量合计万3.41m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70431BEC">
      <w:pPr>
        <w:wordWrap w:val="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项目土石方回填主要包括场地平整回填、建构筑物基础回填、室内地坪填土、场内道路广场及硬化工程区回填、绿化工程区回填等。</w:t>
      </w:r>
    </w:p>
    <w:p w14:paraId="59932A17">
      <w:pPr>
        <w:topLinePun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经统计，地下建筑回填0.10万m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，建、构筑物工程回填0.09万m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，场内道路及硬化工程区回填0.</w:t>
      </w:r>
      <w:r>
        <w:rPr>
          <w:rFonts w:hint="eastAsia"/>
          <w:color w:val="000000" w:themeColor="text1"/>
          <w:lang w:val="en-US" w:eastAsia="zh-CN"/>
          <w14:textFill>
            <w14:solidFill>
              <w14:schemeClr w14:val="tx1"/>
            </w14:solidFill>
          </w14:textFill>
        </w:rPr>
        <w:t>08</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，绿化工程区回填</w:t>
      </w:r>
      <w:r>
        <w:rPr>
          <w:rFonts w:hint="eastAsia"/>
          <w:color w:val="000000" w:themeColor="text1"/>
          <w:lang w:eastAsia="zh-CN"/>
          <w14:textFill>
            <w14:solidFill>
              <w14:schemeClr w14:val="tx1"/>
            </w14:solidFill>
          </w14:textFill>
        </w:rPr>
        <w:t>0.10</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含表土剥离0.10万</w:t>
      </w:r>
      <w:r>
        <w:rPr>
          <w:rFonts w:hint="eastAsia"/>
          <w:color w:val="000000" w:themeColor="text1"/>
          <w14:textFill>
            <w14:solidFill>
              <w14:schemeClr w14:val="tx1"/>
            </w14:solidFill>
          </w14:textFill>
        </w:rPr>
        <w:t>m³），项目填方合计0.37万m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7DC289D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项目土石方开挖总量为3.41万m³（</w:t>
      </w:r>
      <w:r>
        <w:rPr>
          <w:rFonts w:hint="eastAsia"/>
          <w:color w:val="000000" w:themeColor="text1"/>
          <w:lang w:eastAsia="zh-CN"/>
          <w14:textFill>
            <w14:solidFill>
              <w14:schemeClr w14:val="tx1"/>
            </w14:solidFill>
          </w14:textFill>
        </w:rPr>
        <w:t>含表土剥离0.10万</w:t>
      </w:r>
      <w:r>
        <w:rPr>
          <w:rFonts w:hint="eastAsia"/>
          <w:color w:val="000000" w:themeColor="text1"/>
          <w14:textFill>
            <w14:solidFill>
              <w14:schemeClr w14:val="tx1"/>
            </w14:solidFill>
          </w14:textFill>
        </w:rPr>
        <w:t>m³），土石方回填量为0.37万m³（</w:t>
      </w:r>
      <w:r>
        <w:rPr>
          <w:rFonts w:hint="eastAsia"/>
          <w:color w:val="000000" w:themeColor="text1"/>
          <w:lang w:eastAsia="zh-CN"/>
          <w14:textFill>
            <w14:solidFill>
              <w14:schemeClr w14:val="tx1"/>
            </w14:solidFill>
          </w14:textFill>
        </w:rPr>
        <w:t>含表土剥离0.10万</w:t>
      </w:r>
      <w:r>
        <w:rPr>
          <w:rFonts w:hint="eastAsia"/>
          <w:color w:val="000000" w:themeColor="text1"/>
          <w14:textFill>
            <w14:solidFill>
              <w14:schemeClr w14:val="tx1"/>
            </w14:solidFill>
          </w14:textFill>
        </w:rPr>
        <w:t>m³），余方3.04万m³，</w:t>
      </w:r>
      <w:r>
        <w:rPr>
          <w:rFonts w:hint="eastAsia"/>
          <w:color w:val="000000" w:themeColor="text1"/>
          <w:highlight w:val="none"/>
          <w14:textFill>
            <w14:solidFill>
              <w14:schemeClr w14:val="tx1"/>
            </w14:solidFill>
          </w14:textFill>
        </w:rPr>
        <w:t>余方运送至距离项目</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5公里的</w:t>
      </w:r>
      <w:r>
        <w:rPr>
          <w:rFonts w:hint="eastAsia"/>
          <w:color w:val="000000" w:themeColor="text1"/>
          <w:spacing w:val="-4"/>
          <w:highlight w:val="none"/>
          <w14:textFill>
            <w14:solidFill>
              <w14:schemeClr w14:val="tx1"/>
            </w14:solidFill>
          </w14:textFill>
        </w:rPr>
        <w:t>绵阳会展中心综合体项目周边道路建设项目（三期）</w:t>
      </w:r>
      <w:r>
        <w:rPr>
          <w:rFonts w:hint="eastAsia"/>
          <w:color w:val="000000" w:themeColor="text1"/>
          <w:highlight w:val="none"/>
          <w14:textFill>
            <w14:solidFill>
              <w14:schemeClr w14:val="tx1"/>
            </w14:solidFill>
          </w14:textFill>
        </w:rPr>
        <w:t>回填后综合利用</w:t>
      </w:r>
      <w:r>
        <w:rPr>
          <w:rFonts w:hint="eastAsia"/>
          <w:color w:val="000000" w:themeColor="text1"/>
          <w:spacing w:val="-4"/>
          <w:highlight w:val="none"/>
          <w14:textFill>
            <w14:solidFill>
              <w14:schemeClr w14:val="tx1"/>
            </w14:solidFill>
          </w14:textFill>
        </w:rPr>
        <w:t>。</w:t>
      </w:r>
    </w:p>
    <w:p w14:paraId="2B2F2D57">
      <w:pPr>
        <w:ind w:firstLine="480"/>
        <w:rPr>
          <w:color w:val="000000" w:themeColor="text1"/>
          <w:spacing w:val="-4"/>
          <w:highlight w:val="green"/>
          <w14:textFill>
            <w14:solidFill>
              <w14:schemeClr w14:val="tx1"/>
            </w14:solidFill>
          </w14:textFill>
        </w:rPr>
      </w:pPr>
      <w:r>
        <w:rPr>
          <w:rFonts w:hint="eastAsia"/>
          <w:color w:val="000000" w:themeColor="text1"/>
          <w:spacing w:val="-4"/>
          <w:highlight w:val="none"/>
          <w14:textFill>
            <w14:solidFill>
              <w14:schemeClr w14:val="tx1"/>
            </w14:solidFill>
          </w14:textFill>
        </w:rPr>
        <w:t>绵阳会展中心综合体项目周边道路建设项目（三期）于2023年10月开工，预计2025 年2月完工，总占地3.40hm</w:t>
      </w:r>
      <w:r>
        <w:rPr>
          <w:rFonts w:hint="eastAsia"/>
          <w:color w:val="000000" w:themeColor="text1"/>
          <w:spacing w:val="-4"/>
          <w:highlight w:val="none"/>
          <w:vertAlign w:val="superscript"/>
          <w14:textFill>
            <w14:solidFill>
              <w14:schemeClr w14:val="tx1"/>
            </w14:solidFill>
          </w14:textFill>
        </w:rPr>
        <w:t>2</w:t>
      </w:r>
      <w:r>
        <w:rPr>
          <w:rFonts w:hint="eastAsia"/>
          <w:color w:val="000000" w:themeColor="text1"/>
          <w:spacing w:val="-4"/>
          <w:highlight w:val="none"/>
          <w14:textFill>
            <w14:solidFill>
              <w14:schemeClr w14:val="tx1"/>
            </w14:solidFill>
          </w14:textFill>
        </w:rPr>
        <w:t>，挖填土石方总量</w:t>
      </w:r>
      <w:r>
        <w:rPr>
          <w:rFonts w:hint="eastAsia"/>
          <w:color w:val="000000" w:themeColor="text1"/>
          <w:spacing w:val="-4"/>
          <w:highlight w:val="none"/>
          <w:lang w:val="en-US" w:eastAsia="zh-CN"/>
          <w14:textFill>
            <w14:solidFill>
              <w14:schemeClr w14:val="tx1"/>
            </w14:solidFill>
          </w14:textFill>
        </w:rPr>
        <w:t>5.54</w:t>
      </w:r>
      <w:r>
        <w:rPr>
          <w:rFonts w:hint="eastAsia"/>
          <w:color w:val="000000" w:themeColor="text1"/>
          <w:spacing w:val="-4"/>
          <w:highlight w:val="none"/>
          <w14:textFill>
            <w14:solidFill>
              <w14:schemeClr w14:val="tx1"/>
            </w14:solidFill>
          </w14:textFill>
        </w:rPr>
        <w:t>万m³，其中：挖方量1.</w:t>
      </w:r>
      <w:r>
        <w:rPr>
          <w:rFonts w:hint="eastAsia"/>
          <w:color w:val="000000" w:themeColor="text1"/>
          <w:spacing w:val="-4"/>
          <w:highlight w:val="none"/>
          <w:lang w:val="en-US" w:eastAsia="zh-CN"/>
          <w14:textFill>
            <w14:solidFill>
              <w14:schemeClr w14:val="tx1"/>
            </w14:solidFill>
          </w14:textFill>
        </w:rPr>
        <w:t>0</w:t>
      </w:r>
      <w:r>
        <w:rPr>
          <w:rFonts w:hint="eastAsia"/>
          <w:color w:val="000000" w:themeColor="text1"/>
          <w:spacing w:val="-4"/>
          <w:highlight w:val="none"/>
          <w14:textFill>
            <w14:solidFill>
              <w14:schemeClr w14:val="tx1"/>
            </w14:solidFill>
          </w14:textFill>
        </w:rPr>
        <w:t>5万m³，填方量</w:t>
      </w:r>
      <w:r>
        <w:rPr>
          <w:rFonts w:hint="eastAsia"/>
          <w:color w:val="000000" w:themeColor="text1"/>
          <w:spacing w:val="-4"/>
          <w:highlight w:val="none"/>
          <w:lang w:val="en-US" w:eastAsia="zh-CN"/>
          <w14:textFill>
            <w14:solidFill>
              <w14:schemeClr w14:val="tx1"/>
            </w14:solidFill>
          </w14:textFill>
        </w:rPr>
        <w:t>4</w:t>
      </w:r>
      <w:r>
        <w:rPr>
          <w:rFonts w:hint="eastAsia"/>
          <w:color w:val="000000" w:themeColor="text1"/>
          <w:spacing w:val="-4"/>
          <w:highlight w:val="none"/>
          <w14:textFill>
            <w14:solidFill>
              <w14:schemeClr w14:val="tx1"/>
            </w14:solidFill>
          </w14:textFill>
        </w:rPr>
        <w:t>.49万m³，包括排洪沟建设 1012.27m，排洪沟建设分为改线后的排水箱涵主体工程、箱涵顶部的绿化工程和边坡防护工程</w:t>
      </w:r>
      <w:r>
        <w:rPr>
          <w:rFonts w:hint="eastAsia"/>
          <w:color w:val="000000" w:themeColor="text1"/>
          <w:spacing w:val="-4"/>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项目水保方案已编制正在上报审批，土方调运时序为202</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年</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月-</w:t>
      </w:r>
      <w:r>
        <w:rPr>
          <w:color w:val="000000" w:themeColor="text1"/>
          <w:highlight w:val="none"/>
          <w14:textFill>
            <w14:solidFill>
              <w14:schemeClr w14:val="tx1"/>
            </w14:solidFill>
          </w14:textFill>
        </w:rPr>
        <w:t>12</w:t>
      </w:r>
      <w:r>
        <w:rPr>
          <w:rFonts w:hint="eastAsia"/>
          <w:color w:val="000000" w:themeColor="text1"/>
          <w:highlight w:val="none"/>
          <w14:textFill>
            <w14:solidFill>
              <w14:schemeClr w14:val="tx1"/>
            </w14:solidFill>
          </w14:textFill>
        </w:rPr>
        <w:t>月，满足本项目余方运送的施工安排。</w:t>
      </w:r>
    </w:p>
    <w:p w14:paraId="4BEB1E79">
      <w:pPr>
        <w:widowControl/>
        <w:autoSpaceDE w:val="0"/>
        <w:autoSpaceDN w:val="0"/>
        <w:spacing w:line="384" w:lineRule="auto"/>
        <w:ind w:firstLine="472"/>
        <w:jc w:val="center"/>
        <w:textAlignment w:val="baseline"/>
        <w:rPr>
          <w:rFonts w:hint="eastAsia" w:ascii="仿宋" w:hAnsi="仿宋" w:eastAsia="仿宋" w:cs="仿宋"/>
          <w:b/>
          <w:bCs/>
          <w:snapToGrid w:val="0"/>
          <w:color w:val="000000" w:themeColor="text1"/>
          <w:spacing w:val="-5"/>
          <w:kern w:val="0"/>
          <w14:textFill>
            <w14:solidFill>
              <w14:schemeClr w14:val="tx1"/>
            </w14:solidFill>
          </w14:textFill>
        </w:rPr>
      </w:pPr>
      <w:r>
        <w:rPr>
          <w:rFonts w:hint="eastAsia" w:ascii="仿宋" w:hAnsi="仿宋" w:eastAsia="仿宋" w:cs="仿宋"/>
          <w:b/>
          <w:bCs/>
          <w:snapToGrid w:val="0"/>
          <w:color w:val="000000" w:themeColor="text1"/>
          <w:spacing w:val="-5"/>
          <w:kern w:val="0"/>
          <w14:textFill>
            <w14:solidFill>
              <w14:schemeClr w14:val="tx1"/>
            </w14:solidFill>
          </w14:textFill>
        </w:rPr>
        <w:t>表</w:t>
      </w:r>
      <w:r>
        <w:rPr>
          <w:rFonts w:eastAsia="仿宋" w:cs="仿宋"/>
          <w:b/>
          <w:bCs/>
          <w:snapToGrid w:val="0"/>
          <w:color w:val="000000" w:themeColor="text1"/>
          <w:spacing w:val="-5"/>
          <w:kern w:val="0"/>
          <w14:textFill>
            <w14:solidFill>
              <w14:schemeClr w14:val="tx1"/>
            </w14:solidFill>
          </w14:textFill>
        </w:rPr>
        <w:t>2</w:t>
      </w:r>
      <w:r>
        <w:rPr>
          <w:rFonts w:hint="eastAsia" w:ascii="仿宋" w:hAnsi="仿宋" w:eastAsia="仿宋" w:cs="仿宋"/>
          <w:b/>
          <w:bCs/>
          <w:snapToGrid w:val="0"/>
          <w:color w:val="000000" w:themeColor="text1"/>
          <w:spacing w:val="-5"/>
          <w:kern w:val="0"/>
          <w14:textFill>
            <w14:solidFill>
              <w14:schemeClr w14:val="tx1"/>
            </w14:solidFill>
          </w14:textFill>
        </w:rPr>
        <w:t>.</w:t>
      </w:r>
      <w:r>
        <w:rPr>
          <w:rFonts w:hint="eastAsia" w:eastAsia="仿宋" w:cs="仿宋"/>
          <w:b/>
          <w:bCs/>
          <w:snapToGrid w:val="0"/>
          <w:color w:val="000000" w:themeColor="text1"/>
          <w:spacing w:val="-5"/>
          <w:kern w:val="0"/>
          <w14:textFill>
            <w14:solidFill>
              <w14:schemeClr w14:val="tx1"/>
            </w14:solidFill>
          </w14:textFill>
        </w:rPr>
        <w:t>4</w:t>
      </w:r>
      <w:r>
        <w:rPr>
          <w:rFonts w:hint="eastAsia" w:ascii="仿宋" w:hAnsi="仿宋" w:eastAsia="仿宋" w:cs="仿宋"/>
          <w:b/>
          <w:bCs/>
          <w:snapToGrid w:val="0"/>
          <w:color w:val="000000" w:themeColor="text1"/>
          <w:spacing w:val="-5"/>
          <w:kern w:val="0"/>
          <w14:textFill>
            <w14:solidFill>
              <w14:schemeClr w14:val="tx1"/>
            </w14:solidFill>
          </w14:textFill>
        </w:rPr>
        <w:t>-</w:t>
      </w:r>
      <w:r>
        <w:rPr>
          <w:rFonts w:eastAsia="仿宋" w:cs="仿宋"/>
          <w:b/>
          <w:bCs/>
          <w:snapToGrid w:val="0"/>
          <w:color w:val="000000" w:themeColor="text1"/>
          <w:spacing w:val="-5"/>
          <w:kern w:val="0"/>
          <w14:textFill>
            <w14:solidFill>
              <w14:schemeClr w14:val="tx1"/>
            </w14:solidFill>
          </w14:textFill>
        </w:rPr>
        <w:t>1</w:t>
      </w:r>
      <w:r>
        <w:rPr>
          <w:rFonts w:hint="eastAsia" w:ascii="仿宋" w:hAnsi="仿宋" w:eastAsia="仿宋" w:cs="仿宋"/>
          <w:b/>
          <w:bCs/>
          <w:snapToGrid w:val="0"/>
          <w:color w:val="000000" w:themeColor="text1"/>
          <w:spacing w:val="-5"/>
          <w:kern w:val="0"/>
          <w14:textFill>
            <w14:solidFill>
              <w14:schemeClr w14:val="tx1"/>
            </w14:solidFill>
          </w14:textFill>
        </w:rPr>
        <w:t xml:space="preserve"> </w:t>
      </w:r>
      <w:r>
        <w:rPr>
          <w:rFonts w:ascii="仿宋" w:hAnsi="仿宋" w:eastAsia="仿宋" w:cs="仿宋"/>
          <w:b/>
          <w:bCs/>
          <w:snapToGrid w:val="0"/>
          <w:color w:val="000000" w:themeColor="text1"/>
          <w:spacing w:val="-5"/>
          <w:kern w:val="0"/>
          <w14:textFill>
            <w14:solidFill>
              <w14:schemeClr w14:val="tx1"/>
            </w14:solidFill>
          </w14:textFill>
        </w:rPr>
        <w:t xml:space="preserve"> </w:t>
      </w:r>
      <w:r>
        <w:rPr>
          <w:rFonts w:hint="eastAsia" w:ascii="仿宋" w:hAnsi="仿宋" w:eastAsia="仿宋" w:cs="仿宋"/>
          <w:b/>
          <w:bCs/>
          <w:snapToGrid w:val="0"/>
          <w:color w:val="000000" w:themeColor="text1"/>
          <w:spacing w:val="-5"/>
          <w:kern w:val="0"/>
          <w14:textFill>
            <w14:solidFill>
              <w14:schemeClr w14:val="tx1"/>
            </w14:solidFill>
          </w14:textFill>
        </w:rPr>
        <w:t>土石方平衡分析表（单位：万m</w:t>
      </w:r>
      <w:r>
        <w:rPr>
          <w:rFonts w:ascii="Calibri" w:hAnsi="Calibri" w:eastAsia="仿宋" w:cs="Calibri"/>
          <w:b/>
          <w:bCs/>
          <w:snapToGrid w:val="0"/>
          <w:color w:val="000000" w:themeColor="text1"/>
          <w:spacing w:val="-5"/>
          <w:kern w:val="0"/>
          <w14:textFill>
            <w14:solidFill>
              <w14:schemeClr w14:val="tx1"/>
            </w14:solidFill>
          </w14:textFill>
        </w:rPr>
        <w:t>³</w:t>
      </w:r>
      <w:r>
        <w:rPr>
          <w:rFonts w:hint="eastAsia" w:ascii="仿宋" w:hAnsi="仿宋" w:eastAsia="仿宋" w:cs="仿宋"/>
          <w:b/>
          <w:bCs/>
          <w:snapToGrid w:val="0"/>
          <w:color w:val="000000" w:themeColor="text1"/>
          <w:spacing w:val="-5"/>
          <w:kern w:val="0"/>
          <w14:textFill>
            <w14:solidFill>
              <w14:schemeClr w14:val="tx1"/>
            </w14:solidFill>
          </w14:textFill>
        </w:rPr>
        <w:t>）</w:t>
      </w:r>
    </w:p>
    <w:tbl>
      <w:tblPr>
        <w:tblStyle w:val="26"/>
        <w:tblW w:w="53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3"/>
        <w:gridCol w:w="531"/>
        <w:gridCol w:w="573"/>
        <w:gridCol w:w="587"/>
        <w:gridCol w:w="510"/>
        <w:gridCol w:w="591"/>
        <w:gridCol w:w="532"/>
        <w:gridCol w:w="441"/>
        <w:gridCol w:w="501"/>
        <w:gridCol w:w="396"/>
        <w:gridCol w:w="531"/>
        <w:gridCol w:w="551"/>
        <w:gridCol w:w="398"/>
        <w:gridCol w:w="540"/>
        <w:gridCol w:w="668"/>
      </w:tblGrid>
      <w:tr w14:paraId="6876E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94" w:type="pct"/>
            <w:vMerge w:val="restart"/>
            <w:shd w:val="clear" w:color="auto" w:fill="auto"/>
            <w:vAlign w:val="center"/>
          </w:tcPr>
          <w:p w14:paraId="15FCE6D2">
            <w:pPr>
              <w:widowControl/>
              <w:adjustRightInd/>
              <w:snapToGrid/>
              <w:spacing w:line="240" w:lineRule="auto"/>
              <w:ind w:firstLine="0" w:firstLineChars="0"/>
              <w:jc w:val="left"/>
              <w:rPr>
                <w:rFonts w:hint="eastAsia" w:ascii="仿宋_GB2312" w:hAnsi="仿宋" w:cs="宋体"/>
                <w:b/>
                <w:bCs/>
                <w:color w:val="000000" w:themeColor="text1"/>
                <w:kern w:val="0"/>
                <w:sz w:val="18"/>
                <w:szCs w:val="18"/>
                <w14:textFill>
                  <w14:solidFill>
                    <w14:schemeClr w14:val="tx1"/>
                  </w14:solidFill>
                </w14:textFill>
              </w:rPr>
            </w:pPr>
            <w:bookmarkStart w:id="75" w:name="RANGE!D14"/>
            <w:r>
              <w:rPr>
                <w:rFonts w:hint="eastAsia" w:ascii="仿宋_GB2312" w:hAnsi="仿宋" w:cs="宋体"/>
                <w:b/>
                <w:bCs/>
                <w:color w:val="000000" w:themeColor="text1"/>
                <w:kern w:val="0"/>
                <w:sz w:val="18"/>
                <w:szCs w:val="18"/>
                <w14:textFill>
                  <w14:solidFill>
                    <w14:schemeClr w14:val="tx1"/>
                  </w14:solidFill>
                </w14:textFill>
              </w:rPr>
              <w:t>　</w:t>
            </w:r>
          </w:p>
          <w:bookmarkEnd w:id="75"/>
          <w:p w14:paraId="222FB81E">
            <w:pPr>
              <w:spacing w:line="240" w:lineRule="auto"/>
              <w:ind w:firstLine="361"/>
              <w:jc w:val="left"/>
              <w:rPr>
                <w:rFonts w:hint="eastAsia" w:ascii="仿宋_GB2312" w:hAnsi="仿宋" w:cs="宋体"/>
                <w:b/>
                <w:bCs/>
                <w:color w:val="000000" w:themeColor="text1"/>
                <w:kern w:val="0"/>
                <w:sz w:val="18"/>
                <w:szCs w:val="18"/>
                <w14:textFill>
                  <w14:solidFill>
                    <w14:schemeClr w14:val="tx1"/>
                  </w14:solidFill>
                </w14:textFill>
              </w:rPr>
            </w:pPr>
            <w:r>
              <w:rPr>
                <w:rFonts w:hint="eastAsia" w:ascii="仿宋_GB2312" w:hAnsi="仿宋" w:cs="宋体"/>
                <w:b/>
                <w:bCs/>
                <w:color w:val="000000" w:themeColor="text1"/>
                <w:kern w:val="0"/>
                <w:sz w:val="18"/>
                <w:szCs w:val="18"/>
                <w14:textFill>
                  <w14:solidFill>
                    <w14:schemeClr w14:val="tx1"/>
                  </w14:solidFill>
                </w14:textFill>
              </w:rPr>
              <w:t>项目组成</w:t>
            </w:r>
          </w:p>
        </w:tc>
        <w:tc>
          <w:tcPr>
            <w:tcW w:w="921" w:type="pct"/>
            <w:gridSpan w:val="3"/>
            <w:shd w:val="clear" w:color="auto" w:fill="auto"/>
            <w:vAlign w:val="center"/>
          </w:tcPr>
          <w:p w14:paraId="1BB728B9">
            <w:pPr>
              <w:widowControl/>
              <w:adjustRightInd/>
              <w:snapToGrid/>
              <w:spacing w:line="240" w:lineRule="auto"/>
              <w:ind w:firstLine="0" w:firstLineChars="0"/>
              <w:jc w:val="center"/>
              <w:rPr>
                <w:rFonts w:hint="eastAsia" w:ascii="仿宋_GB2312" w:hAnsi="仿宋" w:cs="宋体"/>
                <w:b/>
                <w:bCs/>
                <w:color w:val="000000" w:themeColor="text1"/>
                <w:kern w:val="0"/>
                <w:sz w:val="18"/>
                <w:szCs w:val="18"/>
                <w14:textFill>
                  <w14:solidFill>
                    <w14:schemeClr w14:val="tx1"/>
                  </w14:solidFill>
                </w14:textFill>
              </w:rPr>
            </w:pPr>
            <w:r>
              <w:rPr>
                <w:rFonts w:hint="eastAsia" w:ascii="仿宋_GB2312" w:hAnsi="仿宋" w:cs="宋体"/>
                <w:b/>
                <w:bCs/>
                <w:color w:val="000000" w:themeColor="text1"/>
                <w:kern w:val="0"/>
                <w:sz w:val="18"/>
                <w:szCs w:val="18"/>
                <w14:textFill>
                  <w14:solidFill>
                    <w14:schemeClr w14:val="tx1"/>
                  </w14:solidFill>
                </w14:textFill>
              </w:rPr>
              <w:t>挖方</w:t>
            </w:r>
          </w:p>
        </w:tc>
        <w:tc>
          <w:tcPr>
            <w:tcW w:w="890" w:type="pct"/>
            <w:gridSpan w:val="3"/>
            <w:shd w:val="clear" w:color="auto" w:fill="auto"/>
            <w:vAlign w:val="center"/>
          </w:tcPr>
          <w:p w14:paraId="5CA2022B">
            <w:pPr>
              <w:widowControl/>
              <w:adjustRightInd/>
              <w:snapToGrid/>
              <w:spacing w:line="240" w:lineRule="auto"/>
              <w:ind w:firstLine="0" w:firstLineChars="0"/>
              <w:jc w:val="center"/>
              <w:rPr>
                <w:rFonts w:hint="eastAsia" w:ascii="仿宋_GB2312" w:hAnsi="仿宋" w:cs="宋体"/>
                <w:b/>
                <w:bCs/>
                <w:color w:val="000000" w:themeColor="text1"/>
                <w:kern w:val="0"/>
                <w:sz w:val="18"/>
                <w:szCs w:val="18"/>
                <w14:textFill>
                  <w14:solidFill>
                    <w14:schemeClr w14:val="tx1"/>
                  </w14:solidFill>
                </w14:textFill>
              </w:rPr>
            </w:pPr>
            <w:r>
              <w:rPr>
                <w:rFonts w:hint="eastAsia" w:ascii="仿宋_GB2312" w:hAnsi="仿宋" w:cs="宋体"/>
                <w:b/>
                <w:bCs/>
                <w:color w:val="000000" w:themeColor="text1"/>
                <w:kern w:val="0"/>
                <w:sz w:val="18"/>
                <w:szCs w:val="18"/>
                <w14:textFill>
                  <w14:solidFill>
                    <w14:schemeClr w14:val="tx1"/>
                  </w14:solidFill>
                </w14:textFill>
              </w:rPr>
              <w:t>填方</w:t>
            </w:r>
          </w:p>
        </w:tc>
        <w:tc>
          <w:tcPr>
            <w:tcW w:w="729" w:type="pct"/>
            <w:gridSpan w:val="3"/>
            <w:shd w:val="clear" w:color="auto" w:fill="auto"/>
            <w:vAlign w:val="center"/>
          </w:tcPr>
          <w:p w14:paraId="4E3A17F8">
            <w:pPr>
              <w:widowControl/>
              <w:adjustRightInd/>
              <w:snapToGrid/>
              <w:spacing w:line="240" w:lineRule="auto"/>
              <w:ind w:firstLine="0" w:firstLineChars="0"/>
              <w:jc w:val="center"/>
              <w:rPr>
                <w:rFonts w:hint="eastAsia" w:ascii="仿宋_GB2312" w:hAnsi="仿宋" w:cs="宋体"/>
                <w:b/>
                <w:bCs/>
                <w:color w:val="000000" w:themeColor="text1"/>
                <w:kern w:val="0"/>
                <w:sz w:val="18"/>
                <w:szCs w:val="18"/>
                <w14:textFill>
                  <w14:solidFill>
                    <w14:schemeClr w14:val="tx1"/>
                  </w14:solidFill>
                </w14:textFill>
              </w:rPr>
            </w:pPr>
            <w:r>
              <w:rPr>
                <w:rFonts w:hint="eastAsia" w:ascii="仿宋_GB2312" w:hAnsi="仿宋" w:cs="宋体"/>
                <w:b/>
                <w:bCs/>
                <w:color w:val="000000" w:themeColor="text1"/>
                <w:kern w:val="0"/>
                <w:sz w:val="18"/>
                <w:szCs w:val="18"/>
                <w14:textFill>
                  <w14:solidFill>
                    <w14:schemeClr w14:val="tx1"/>
                  </w14:solidFill>
                </w14:textFill>
              </w:rPr>
              <w:t>调入</w:t>
            </w:r>
          </w:p>
        </w:tc>
        <w:tc>
          <w:tcPr>
            <w:tcW w:w="806" w:type="pct"/>
            <w:gridSpan w:val="3"/>
            <w:shd w:val="clear" w:color="auto" w:fill="auto"/>
            <w:vAlign w:val="center"/>
          </w:tcPr>
          <w:p w14:paraId="25B65199">
            <w:pPr>
              <w:widowControl/>
              <w:adjustRightInd/>
              <w:snapToGrid/>
              <w:spacing w:line="240" w:lineRule="auto"/>
              <w:ind w:firstLine="0" w:firstLineChars="0"/>
              <w:jc w:val="center"/>
              <w:rPr>
                <w:rFonts w:hint="eastAsia" w:ascii="仿宋_GB2312" w:hAnsi="仿宋" w:cs="宋体"/>
                <w:b/>
                <w:bCs/>
                <w:color w:val="000000" w:themeColor="text1"/>
                <w:kern w:val="0"/>
                <w:sz w:val="18"/>
                <w:szCs w:val="18"/>
                <w14:textFill>
                  <w14:solidFill>
                    <w14:schemeClr w14:val="tx1"/>
                  </w14:solidFill>
                </w14:textFill>
              </w:rPr>
            </w:pPr>
            <w:r>
              <w:rPr>
                <w:rFonts w:hint="eastAsia" w:ascii="仿宋_GB2312" w:hAnsi="仿宋" w:cs="宋体"/>
                <w:b/>
                <w:bCs/>
                <w:color w:val="000000" w:themeColor="text1"/>
                <w:kern w:val="0"/>
                <w:sz w:val="18"/>
                <w:szCs w:val="18"/>
                <w14:textFill>
                  <w14:solidFill>
                    <w14:schemeClr w14:val="tx1"/>
                  </w14:solidFill>
                </w14:textFill>
              </w:rPr>
              <w:t>调出</w:t>
            </w:r>
          </w:p>
        </w:tc>
        <w:tc>
          <w:tcPr>
            <w:tcW w:w="658" w:type="pct"/>
            <w:gridSpan w:val="2"/>
            <w:shd w:val="clear" w:color="auto" w:fill="auto"/>
            <w:vAlign w:val="center"/>
          </w:tcPr>
          <w:p w14:paraId="5E651F84">
            <w:pPr>
              <w:widowControl/>
              <w:adjustRightInd/>
              <w:snapToGrid/>
              <w:spacing w:line="240" w:lineRule="auto"/>
              <w:ind w:firstLine="0" w:firstLineChars="0"/>
              <w:jc w:val="center"/>
              <w:rPr>
                <w:rFonts w:hint="eastAsia" w:ascii="仿宋_GB2312" w:hAnsi="仿宋" w:cs="宋体"/>
                <w:b/>
                <w:bCs/>
                <w:color w:val="000000" w:themeColor="text1"/>
                <w:kern w:val="0"/>
                <w:sz w:val="18"/>
                <w:szCs w:val="18"/>
                <w14:textFill>
                  <w14:solidFill>
                    <w14:schemeClr w14:val="tx1"/>
                  </w14:solidFill>
                </w14:textFill>
              </w:rPr>
            </w:pPr>
            <w:r>
              <w:rPr>
                <w:rFonts w:hint="eastAsia" w:ascii="仿宋_GB2312" w:hAnsi="仿宋" w:cs="宋体"/>
                <w:b/>
                <w:bCs/>
                <w:color w:val="000000" w:themeColor="text1"/>
                <w:kern w:val="0"/>
                <w:sz w:val="18"/>
                <w:szCs w:val="18"/>
                <w14:textFill>
                  <w14:solidFill>
                    <w14:schemeClr w14:val="tx1"/>
                  </w14:solidFill>
                </w14:textFill>
              </w:rPr>
              <w:t>余方</w:t>
            </w:r>
          </w:p>
        </w:tc>
      </w:tr>
      <w:tr w14:paraId="7F528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994" w:type="pct"/>
            <w:vMerge w:val="continue"/>
            <w:shd w:val="clear" w:color="auto" w:fill="auto"/>
            <w:vAlign w:val="center"/>
          </w:tcPr>
          <w:p w14:paraId="34D50A2D">
            <w:pPr>
              <w:widowControl/>
              <w:adjustRightInd/>
              <w:snapToGrid/>
              <w:spacing w:line="240" w:lineRule="auto"/>
              <w:ind w:firstLine="0" w:firstLineChars="0"/>
              <w:jc w:val="left"/>
              <w:rPr>
                <w:rFonts w:hint="eastAsia" w:ascii="仿宋_GB2312" w:hAnsi="仿宋" w:cs="宋体"/>
                <w:color w:val="000000" w:themeColor="text1"/>
                <w:kern w:val="0"/>
                <w:sz w:val="18"/>
                <w:szCs w:val="18"/>
                <w14:textFill>
                  <w14:solidFill>
                    <w14:schemeClr w14:val="tx1"/>
                  </w14:solidFill>
                </w14:textFill>
              </w:rPr>
            </w:pPr>
          </w:p>
        </w:tc>
        <w:tc>
          <w:tcPr>
            <w:tcW w:w="289" w:type="pct"/>
            <w:shd w:val="clear" w:color="auto" w:fill="auto"/>
            <w:vAlign w:val="center"/>
          </w:tcPr>
          <w:p w14:paraId="6BF43923">
            <w:pPr>
              <w:widowControl/>
              <w:adjustRightInd/>
              <w:snapToGrid/>
              <w:spacing w:line="240" w:lineRule="auto"/>
              <w:ind w:firstLine="0" w:firstLineChars="0"/>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表土</w:t>
            </w:r>
          </w:p>
        </w:tc>
        <w:tc>
          <w:tcPr>
            <w:tcW w:w="312" w:type="pct"/>
            <w:shd w:val="clear" w:color="auto" w:fill="auto"/>
            <w:vAlign w:val="center"/>
          </w:tcPr>
          <w:p w14:paraId="1340D6EC">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一般土石方</w:t>
            </w:r>
          </w:p>
        </w:tc>
        <w:tc>
          <w:tcPr>
            <w:tcW w:w="318" w:type="pct"/>
            <w:shd w:val="clear" w:color="auto" w:fill="auto"/>
            <w:vAlign w:val="center"/>
          </w:tcPr>
          <w:p w14:paraId="3981E218">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合计</w:t>
            </w:r>
          </w:p>
        </w:tc>
        <w:tc>
          <w:tcPr>
            <w:tcW w:w="278" w:type="pct"/>
            <w:shd w:val="clear" w:color="auto" w:fill="auto"/>
            <w:vAlign w:val="center"/>
          </w:tcPr>
          <w:p w14:paraId="46CB7BB3">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表土</w:t>
            </w:r>
          </w:p>
        </w:tc>
        <w:tc>
          <w:tcPr>
            <w:tcW w:w="322" w:type="pct"/>
            <w:shd w:val="clear" w:color="auto" w:fill="auto"/>
            <w:vAlign w:val="center"/>
          </w:tcPr>
          <w:p w14:paraId="075558B9">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一般土石方</w:t>
            </w:r>
          </w:p>
        </w:tc>
        <w:tc>
          <w:tcPr>
            <w:tcW w:w="289" w:type="pct"/>
            <w:shd w:val="clear" w:color="auto" w:fill="auto"/>
            <w:vAlign w:val="center"/>
          </w:tcPr>
          <w:p w14:paraId="70396AC0">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合计</w:t>
            </w:r>
          </w:p>
        </w:tc>
        <w:tc>
          <w:tcPr>
            <w:tcW w:w="240" w:type="pct"/>
            <w:shd w:val="clear" w:color="auto" w:fill="auto"/>
            <w:vAlign w:val="center"/>
          </w:tcPr>
          <w:p w14:paraId="65C134C5">
            <w:pPr>
              <w:widowControl/>
              <w:adjustRightInd/>
              <w:snapToGrid/>
              <w:spacing w:line="240" w:lineRule="auto"/>
              <w:ind w:firstLine="0" w:firstLineChars="0"/>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表土</w:t>
            </w:r>
          </w:p>
        </w:tc>
        <w:tc>
          <w:tcPr>
            <w:tcW w:w="273" w:type="pct"/>
            <w:shd w:val="clear" w:color="auto" w:fill="auto"/>
            <w:vAlign w:val="center"/>
          </w:tcPr>
          <w:p w14:paraId="40124E7F">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一般土石方</w:t>
            </w:r>
          </w:p>
        </w:tc>
        <w:tc>
          <w:tcPr>
            <w:tcW w:w="215" w:type="pct"/>
            <w:shd w:val="clear" w:color="auto" w:fill="auto"/>
            <w:vAlign w:val="center"/>
          </w:tcPr>
          <w:p w14:paraId="195A2B51">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来源</w:t>
            </w:r>
          </w:p>
        </w:tc>
        <w:tc>
          <w:tcPr>
            <w:tcW w:w="289" w:type="pct"/>
            <w:shd w:val="clear" w:color="auto" w:fill="auto"/>
            <w:vAlign w:val="center"/>
          </w:tcPr>
          <w:p w14:paraId="333C7959">
            <w:pPr>
              <w:widowControl/>
              <w:adjustRightInd/>
              <w:snapToGrid/>
              <w:spacing w:line="240" w:lineRule="auto"/>
              <w:ind w:firstLine="0" w:firstLineChars="0"/>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表土</w:t>
            </w:r>
          </w:p>
        </w:tc>
        <w:tc>
          <w:tcPr>
            <w:tcW w:w="300" w:type="pct"/>
            <w:shd w:val="clear" w:color="auto" w:fill="auto"/>
            <w:vAlign w:val="center"/>
          </w:tcPr>
          <w:p w14:paraId="32082AA4">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一般土石方</w:t>
            </w:r>
          </w:p>
        </w:tc>
        <w:tc>
          <w:tcPr>
            <w:tcW w:w="215" w:type="pct"/>
            <w:shd w:val="clear" w:color="auto" w:fill="auto"/>
            <w:vAlign w:val="center"/>
          </w:tcPr>
          <w:p w14:paraId="7E58B136">
            <w:pPr>
              <w:widowControl/>
              <w:adjustRightInd/>
              <w:snapToGrid/>
              <w:spacing w:line="240" w:lineRule="auto"/>
              <w:ind w:firstLine="0" w:firstLineChars="0"/>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去向</w:t>
            </w:r>
          </w:p>
        </w:tc>
        <w:tc>
          <w:tcPr>
            <w:tcW w:w="294" w:type="pct"/>
            <w:shd w:val="clear" w:color="auto" w:fill="auto"/>
            <w:vAlign w:val="center"/>
          </w:tcPr>
          <w:p w14:paraId="2B936A71">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一般土石方</w:t>
            </w:r>
          </w:p>
        </w:tc>
        <w:tc>
          <w:tcPr>
            <w:tcW w:w="364" w:type="pct"/>
            <w:shd w:val="clear" w:color="auto" w:fill="auto"/>
            <w:vAlign w:val="center"/>
          </w:tcPr>
          <w:p w14:paraId="51673469">
            <w:pPr>
              <w:widowControl/>
              <w:adjustRightInd/>
              <w:snapToGrid/>
              <w:spacing w:line="240" w:lineRule="auto"/>
              <w:ind w:firstLine="0" w:firstLineChars="0"/>
              <w:jc w:val="center"/>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合计</w:t>
            </w:r>
          </w:p>
        </w:tc>
      </w:tr>
      <w:tr w14:paraId="16D2E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94" w:type="pct"/>
            <w:shd w:val="clear" w:color="auto" w:fill="auto"/>
            <w:vAlign w:val="center"/>
          </w:tcPr>
          <w:p w14:paraId="1BD096B1">
            <w:pPr>
              <w:widowControl/>
              <w:adjustRightInd/>
              <w:snapToGrid/>
              <w:spacing w:line="240" w:lineRule="auto"/>
              <w:ind w:firstLine="0" w:firstLineChars="0"/>
              <w:jc w:val="center"/>
              <w:rPr>
                <w:rFonts w:hint="eastAsia" w:ascii="仿宋_GB2312" w:hAnsi="仿宋" w:cs="宋体"/>
                <w:color w:val="000000" w:themeColor="text1"/>
                <w:kern w:val="0"/>
                <w:sz w:val="18"/>
                <w:szCs w:val="18"/>
                <w:lang w:val="en-US" w:eastAsia="zh-CN"/>
                <w14:textFill>
                  <w14:solidFill>
                    <w14:schemeClr w14:val="tx1"/>
                  </w14:solidFill>
                </w14:textFill>
              </w:rPr>
            </w:pPr>
            <w:r>
              <w:rPr>
                <w:rFonts w:hint="eastAsia" w:ascii="仿宋_GB2312" w:hAnsi="仿宋" w:cs="宋体"/>
                <w:color w:val="000000" w:themeColor="text1"/>
                <w:kern w:val="0"/>
                <w:sz w:val="18"/>
                <w:szCs w:val="18"/>
                <w:lang w:val="en-US" w:eastAsia="zh-CN"/>
                <w14:textFill>
                  <w14:solidFill>
                    <w14:schemeClr w14:val="tx1"/>
                  </w14:solidFill>
                </w14:textFill>
              </w:rPr>
              <w:t>①地下建筑工程区</w:t>
            </w:r>
          </w:p>
        </w:tc>
        <w:tc>
          <w:tcPr>
            <w:tcW w:w="289" w:type="pct"/>
            <w:shd w:val="clear" w:color="auto" w:fill="auto"/>
            <w:vAlign w:val="center"/>
          </w:tcPr>
          <w:p w14:paraId="2C31D54D">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312" w:type="pct"/>
            <w:shd w:val="clear" w:color="auto" w:fill="auto"/>
            <w:vAlign w:val="center"/>
          </w:tcPr>
          <w:p w14:paraId="0ED0AC04">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1.32</w:t>
            </w:r>
          </w:p>
        </w:tc>
        <w:tc>
          <w:tcPr>
            <w:tcW w:w="318" w:type="pct"/>
            <w:shd w:val="clear" w:color="auto" w:fill="auto"/>
            <w:vAlign w:val="center"/>
          </w:tcPr>
          <w:p w14:paraId="7663BC0A">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1.32</w:t>
            </w:r>
          </w:p>
        </w:tc>
        <w:tc>
          <w:tcPr>
            <w:tcW w:w="278" w:type="pct"/>
            <w:shd w:val="clear" w:color="auto" w:fill="auto"/>
            <w:vAlign w:val="center"/>
          </w:tcPr>
          <w:p w14:paraId="6B31BA60">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322" w:type="pct"/>
            <w:shd w:val="clear" w:color="auto" w:fill="auto"/>
            <w:vAlign w:val="center"/>
          </w:tcPr>
          <w:p w14:paraId="6DC7E0B2">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0.1</w:t>
            </w:r>
          </w:p>
        </w:tc>
        <w:tc>
          <w:tcPr>
            <w:tcW w:w="289" w:type="pct"/>
            <w:shd w:val="clear" w:color="auto" w:fill="auto"/>
            <w:vAlign w:val="center"/>
          </w:tcPr>
          <w:p w14:paraId="2803F531">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0.1</w:t>
            </w:r>
          </w:p>
        </w:tc>
        <w:tc>
          <w:tcPr>
            <w:tcW w:w="240" w:type="pct"/>
            <w:shd w:val="clear" w:color="auto" w:fill="auto"/>
            <w:vAlign w:val="center"/>
          </w:tcPr>
          <w:p w14:paraId="3AE21B43">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73" w:type="pct"/>
            <w:shd w:val="clear" w:color="auto" w:fill="auto"/>
            <w:vAlign w:val="center"/>
          </w:tcPr>
          <w:p w14:paraId="0F3CB79A">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15" w:type="pct"/>
            <w:shd w:val="clear" w:color="auto" w:fill="auto"/>
            <w:vAlign w:val="center"/>
          </w:tcPr>
          <w:p w14:paraId="275C55C1">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89" w:type="pct"/>
            <w:shd w:val="clear" w:color="auto" w:fill="auto"/>
            <w:vAlign w:val="center"/>
          </w:tcPr>
          <w:p w14:paraId="1C52998B">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300" w:type="pct"/>
            <w:shd w:val="clear" w:color="auto" w:fill="auto"/>
            <w:vAlign w:val="center"/>
          </w:tcPr>
          <w:p w14:paraId="27D92777">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15" w:type="pct"/>
            <w:shd w:val="clear" w:color="auto" w:fill="auto"/>
            <w:vAlign w:val="center"/>
          </w:tcPr>
          <w:p w14:paraId="50CBBC06">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94" w:type="pct"/>
            <w:shd w:val="clear" w:color="auto" w:fill="auto"/>
            <w:vAlign w:val="center"/>
          </w:tcPr>
          <w:p w14:paraId="32F90A12">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1.22</w:t>
            </w:r>
          </w:p>
        </w:tc>
        <w:tc>
          <w:tcPr>
            <w:tcW w:w="364" w:type="pct"/>
            <w:shd w:val="clear" w:color="auto" w:fill="auto"/>
            <w:vAlign w:val="center"/>
          </w:tcPr>
          <w:p w14:paraId="170430DB">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1.22</w:t>
            </w:r>
          </w:p>
        </w:tc>
      </w:tr>
      <w:tr w14:paraId="32506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994" w:type="pct"/>
            <w:shd w:val="clear" w:color="auto" w:fill="auto"/>
            <w:vAlign w:val="center"/>
          </w:tcPr>
          <w:p w14:paraId="34CD3A6D">
            <w:pPr>
              <w:widowControl/>
              <w:adjustRightInd/>
              <w:snapToGrid/>
              <w:spacing w:line="240" w:lineRule="auto"/>
              <w:ind w:firstLine="0" w:firstLineChars="0"/>
              <w:jc w:val="center"/>
              <w:rPr>
                <w:rFonts w:hint="eastAsia" w:ascii="仿宋_GB2312" w:hAnsi="仿宋" w:cs="宋体"/>
                <w:color w:val="000000" w:themeColor="text1"/>
                <w:kern w:val="0"/>
                <w:sz w:val="18"/>
                <w:szCs w:val="18"/>
                <w:lang w:val="en-US" w:eastAsia="zh-CN"/>
                <w14:textFill>
                  <w14:solidFill>
                    <w14:schemeClr w14:val="tx1"/>
                  </w14:solidFill>
                </w14:textFill>
              </w:rPr>
            </w:pPr>
            <w:r>
              <w:rPr>
                <w:rFonts w:hint="eastAsia" w:ascii="仿宋_GB2312" w:hAnsi="仿宋" w:cs="宋体"/>
                <w:color w:val="000000" w:themeColor="text1"/>
                <w:kern w:val="0"/>
                <w:sz w:val="18"/>
                <w:szCs w:val="18"/>
                <w:lang w:val="en-US" w:eastAsia="zh-CN"/>
                <w14:textFill>
                  <w14:solidFill>
                    <w14:schemeClr w14:val="tx1"/>
                  </w14:solidFill>
                </w14:textFill>
              </w:rPr>
              <w:t>②建构筑物工程区</w:t>
            </w:r>
          </w:p>
        </w:tc>
        <w:tc>
          <w:tcPr>
            <w:tcW w:w="289" w:type="pct"/>
            <w:shd w:val="clear" w:color="auto" w:fill="auto"/>
            <w:vAlign w:val="center"/>
          </w:tcPr>
          <w:p w14:paraId="40474230">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0.05</w:t>
            </w:r>
          </w:p>
        </w:tc>
        <w:tc>
          <w:tcPr>
            <w:tcW w:w="312" w:type="pct"/>
            <w:shd w:val="clear" w:color="auto" w:fill="auto"/>
            <w:vAlign w:val="center"/>
          </w:tcPr>
          <w:p w14:paraId="08C2F612">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1.57</w:t>
            </w:r>
          </w:p>
        </w:tc>
        <w:tc>
          <w:tcPr>
            <w:tcW w:w="318" w:type="pct"/>
            <w:shd w:val="clear" w:color="auto" w:fill="auto"/>
            <w:vAlign w:val="center"/>
          </w:tcPr>
          <w:p w14:paraId="3A66C0B8">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1.62</w:t>
            </w:r>
          </w:p>
        </w:tc>
        <w:tc>
          <w:tcPr>
            <w:tcW w:w="278" w:type="pct"/>
            <w:shd w:val="clear" w:color="auto" w:fill="auto"/>
            <w:vAlign w:val="center"/>
          </w:tcPr>
          <w:p w14:paraId="12FC24D2">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322" w:type="pct"/>
            <w:shd w:val="clear" w:color="auto" w:fill="auto"/>
            <w:vAlign w:val="center"/>
          </w:tcPr>
          <w:p w14:paraId="6E1D34D3">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0.09</w:t>
            </w:r>
          </w:p>
        </w:tc>
        <w:tc>
          <w:tcPr>
            <w:tcW w:w="289" w:type="pct"/>
            <w:shd w:val="clear" w:color="auto" w:fill="auto"/>
            <w:vAlign w:val="center"/>
          </w:tcPr>
          <w:p w14:paraId="718066C1">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0.09</w:t>
            </w:r>
          </w:p>
        </w:tc>
        <w:tc>
          <w:tcPr>
            <w:tcW w:w="240" w:type="pct"/>
            <w:shd w:val="clear" w:color="auto" w:fill="auto"/>
            <w:vAlign w:val="center"/>
          </w:tcPr>
          <w:p w14:paraId="65F2EDBA">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73" w:type="pct"/>
            <w:shd w:val="clear" w:color="auto" w:fill="auto"/>
            <w:vAlign w:val="center"/>
          </w:tcPr>
          <w:p w14:paraId="3396DCE6">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15" w:type="pct"/>
            <w:shd w:val="clear" w:color="auto" w:fill="auto"/>
            <w:vAlign w:val="center"/>
          </w:tcPr>
          <w:p w14:paraId="3DA545B6">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89" w:type="pct"/>
            <w:shd w:val="clear" w:color="auto" w:fill="auto"/>
            <w:vAlign w:val="center"/>
          </w:tcPr>
          <w:p w14:paraId="08702F03">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0.05</w:t>
            </w:r>
          </w:p>
        </w:tc>
        <w:tc>
          <w:tcPr>
            <w:tcW w:w="300" w:type="pct"/>
            <w:shd w:val="clear" w:color="auto" w:fill="auto"/>
            <w:vAlign w:val="center"/>
          </w:tcPr>
          <w:p w14:paraId="52C83C0A">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15" w:type="pct"/>
            <w:shd w:val="clear" w:color="auto" w:fill="auto"/>
            <w:vAlign w:val="center"/>
          </w:tcPr>
          <w:p w14:paraId="66B41D14">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94" w:type="pct"/>
            <w:shd w:val="clear" w:color="auto" w:fill="auto"/>
            <w:vAlign w:val="center"/>
          </w:tcPr>
          <w:p w14:paraId="26CC731D">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1.48</w:t>
            </w:r>
          </w:p>
        </w:tc>
        <w:tc>
          <w:tcPr>
            <w:tcW w:w="364" w:type="pct"/>
            <w:shd w:val="clear" w:color="auto" w:fill="auto"/>
            <w:vAlign w:val="center"/>
          </w:tcPr>
          <w:p w14:paraId="0C68FA20">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1.</w:t>
            </w:r>
            <w:r>
              <w:rPr>
                <w:rFonts w:hint="eastAsia" w:ascii="Times New Roman" w:hAnsi="Times New Roman" w:cs="Times New Roman"/>
                <w:color w:val="000000" w:themeColor="text1"/>
                <w:kern w:val="0"/>
                <w:sz w:val="18"/>
                <w:szCs w:val="18"/>
                <w:lang w:val="en-US" w:eastAsia="zh-CN"/>
                <w14:textFill>
                  <w14:solidFill>
                    <w14:schemeClr w14:val="tx1"/>
                  </w14:solidFill>
                </w14:textFill>
              </w:rPr>
              <w:t>53</w:t>
            </w:r>
          </w:p>
        </w:tc>
      </w:tr>
      <w:tr w14:paraId="7D1A8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994" w:type="pct"/>
            <w:shd w:val="clear" w:color="auto" w:fill="auto"/>
            <w:vAlign w:val="center"/>
          </w:tcPr>
          <w:p w14:paraId="51BC5C28">
            <w:pPr>
              <w:widowControl/>
              <w:adjustRightInd/>
              <w:snapToGrid/>
              <w:spacing w:line="240" w:lineRule="auto"/>
              <w:ind w:firstLine="0" w:firstLineChars="0"/>
              <w:jc w:val="center"/>
              <w:rPr>
                <w:rFonts w:hint="eastAsia" w:ascii="仿宋_GB2312" w:hAnsi="仿宋" w:cs="宋体"/>
                <w:color w:val="000000" w:themeColor="text1"/>
                <w:kern w:val="0"/>
                <w:sz w:val="18"/>
                <w:szCs w:val="18"/>
                <w:lang w:val="en-US" w:eastAsia="zh-CN"/>
                <w14:textFill>
                  <w14:solidFill>
                    <w14:schemeClr w14:val="tx1"/>
                  </w14:solidFill>
                </w14:textFill>
              </w:rPr>
            </w:pPr>
            <w:r>
              <w:rPr>
                <w:rFonts w:hint="eastAsia" w:ascii="仿宋_GB2312" w:hAnsi="仿宋" w:cs="宋体"/>
                <w:color w:val="000000" w:themeColor="text1"/>
                <w:kern w:val="0"/>
                <w:sz w:val="18"/>
                <w:szCs w:val="18"/>
                <w:lang w:val="en-US" w:eastAsia="zh-CN"/>
                <w14:textFill>
                  <w14:solidFill>
                    <w14:schemeClr w14:val="tx1"/>
                  </w14:solidFill>
                </w14:textFill>
              </w:rPr>
              <w:t>③场内道路及硬化工程区</w:t>
            </w:r>
          </w:p>
        </w:tc>
        <w:tc>
          <w:tcPr>
            <w:tcW w:w="289" w:type="pct"/>
            <w:shd w:val="clear" w:color="auto" w:fill="auto"/>
            <w:vAlign w:val="center"/>
          </w:tcPr>
          <w:p w14:paraId="42283C81">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0.05</w:t>
            </w:r>
          </w:p>
        </w:tc>
        <w:tc>
          <w:tcPr>
            <w:tcW w:w="312" w:type="pct"/>
            <w:shd w:val="clear" w:color="auto" w:fill="auto"/>
            <w:vAlign w:val="center"/>
          </w:tcPr>
          <w:p w14:paraId="1CA5EFC4">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0.33</w:t>
            </w:r>
          </w:p>
        </w:tc>
        <w:tc>
          <w:tcPr>
            <w:tcW w:w="318" w:type="pct"/>
            <w:shd w:val="clear" w:color="auto" w:fill="auto"/>
            <w:vAlign w:val="center"/>
          </w:tcPr>
          <w:p w14:paraId="24EBEFF2">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0.38</w:t>
            </w:r>
          </w:p>
        </w:tc>
        <w:tc>
          <w:tcPr>
            <w:tcW w:w="278" w:type="pct"/>
            <w:shd w:val="clear" w:color="auto" w:fill="auto"/>
            <w:vAlign w:val="center"/>
          </w:tcPr>
          <w:p w14:paraId="0A60E42B">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322" w:type="pct"/>
            <w:shd w:val="clear" w:color="auto" w:fill="auto"/>
            <w:vAlign w:val="center"/>
          </w:tcPr>
          <w:p w14:paraId="421E0383">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0.08</w:t>
            </w:r>
          </w:p>
        </w:tc>
        <w:tc>
          <w:tcPr>
            <w:tcW w:w="289" w:type="pct"/>
            <w:shd w:val="clear" w:color="auto" w:fill="auto"/>
            <w:vAlign w:val="center"/>
          </w:tcPr>
          <w:p w14:paraId="147993C8">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0.08</w:t>
            </w:r>
          </w:p>
        </w:tc>
        <w:tc>
          <w:tcPr>
            <w:tcW w:w="240" w:type="pct"/>
            <w:shd w:val="clear" w:color="auto" w:fill="auto"/>
            <w:vAlign w:val="center"/>
          </w:tcPr>
          <w:p w14:paraId="1727154F">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73" w:type="pct"/>
            <w:shd w:val="clear" w:color="auto" w:fill="auto"/>
            <w:vAlign w:val="center"/>
          </w:tcPr>
          <w:p w14:paraId="51692D46">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15" w:type="pct"/>
            <w:shd w:val="clear" w:color="auto" w:fill="auto"/>
            <w:vAlign w:val="center"/>
          </w:tcPr>
          <w:p w14:paraId="4AFAAB66">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89" w:type="pct"/>
            <w:shd w:val="clear" w:color="auto" w:fill="auto"/>
            <w:vAlign w:val="center"/>
          </w:tcPr>
          <w:p w14:paraId="0D8E4126">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0.05</w:t>
            </w:r>
          </w:p>
        </w:tc>
        <w:tc>
          <w:tcPr>
            <w:tcW w:w="300" w:type="pct"/>
            <w:shd w:val="clear" w:color="auto" w:fill="auto"/>
            <w:vAlign w:val="center"/>
          </w:tcPr>
          <w:p w14:paraId="25660129">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15" w:type="pct"/>
            <w:shd w:val="clear" w:color="auto" w:fill="auto"/>
            <w:vAlign w:val="center"/>
          </w:tcPr>
          <w:p w14:paraId="554737C4">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94" w:type="pct"/>
            <w:shd w:val="clear" w:color="auto" w:fill="auto"/>
            <w:vAlign w:val="center"/>
          </w:tcPr>
          <w:p w14:paraId="28334B0C">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0.25</w:t>
            </w:r>
          </w:p>
        </w:tc>
        <w:tc>
          <w:tcPr>
            <w:tcW w:w="364" w:type="pct"/>
            <w:shd w:val="clear" w:color="auto" w:fill="auto"/>
            <w:vAlign w:val="center"/>
          </w:tcPr>
          <w:p w14:paraId="52D2D3F7">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w:t>
            </w:r>
            <w:r>
              <w:rPr>
                <w:rFonts w:hint="eastAsia" w:ascii="Times New Roman" w:hAnsi="Times New Roman" w:cs="Times New Roman"/>
                <w:color w:val="000000" w:themeColor="text1"/>
                <w:kern w:val="0"/>
                <w:sz w:val="18"/>
                <w:szCs w:val="18"/>
                <w:lang w:val="en-US" w:eastAsia="zh-CN"/>
                <w14:textFill>
                  <w14:solidFill>
                    <w14:schemeClr w14:val="tx1"/>
                  </w14:solidFill>
                </w14:textFill>
              </w:rPr>
              <w:t>30</w:t>
            </w:r>
          </w:p>
        </w:tc>
      </w:tr>
      <w:tr w14:paraId="627D3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994" w:type="pct"/>
            <w:shd w:val="clear" w:color="auto" w:fill="auto"/>
            <w:vAlign w:val="center"/>
          </w:tcPr>
          <w:p w14:paraId="7D6B0610">
            <w:pPr>
              <w:widowControl/>
              <w:adjustRightInd/>
              <w:snapToGrid/>
              <w:spacing w:line="240" w:lineRule="auto"/>
              <w:ind w:firstLine="0" w:firstLineChars="0"/>
              <w:jc w:val="center"/>
              <w:rPr>
                <w:rFonts w:hint="eastAsia" w:ascii="仿宋_GB2312" w:hAnsi="仿宋" w:cs="宋体"/>
                <w:color w:val="000000" w:themeColor="text1"/>
                <w:kern w:val="0"/>
                <w:sz w:val="18"/>
                <w:szCs w:val="18"/>
                <w:lang w:val="en-US" w:eastAsia="zh-CN"/>
                <w14:textFill>
                  <w14:solidFill>
                    <w14:schemeClr w14:val="tx1"/>
                  </w14:solidFill>
                </w14:textFill>
              </w:rPr>
            </w:pPr>
            <w:r>
              <w:rPr>
                <w:rFonts w:hint="eastAsia" w:ascii="仿宋_GB2312" w:hAnsi="仿宋" w:cs="宋体"/>
                <w:color w:val="000000" w:themeColor="text1"/>
                <w:kern w:val="0"/>
                <w:sz w:val="18"/>
                <w:szCs w:val="18"/>
                <w:lang w:val="en-US" w:eastAsia="zh-CN"/>
                <w14:textFill>
                  <w14:solidFill>
                    <w14:schemeClr w14:val="tx1"/>
                  </w14:solidFill>
                </w14:textFill>
              </w:rPr>
              <w:t>④景观绿化工程</w:t>
            </w:r>
          </w:p>
        </w:tc>
        <w:tc>
          <w:tcPr>
            <w:tcW w:w="289" w:type="pct"/>
            <w:shd w:val="clear" w:color="auto" w:fill="auto"/>
            <w:vAlign w:val="center"/>
          </w:tcPr>
          <w:p w14:paraId="0DD47F0A">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312" w:type="pct"/>
            <w:shd w:val="clear" w:color="auto" w:fill="auto"/>
            <w:vAlign w:val="center"/>
          </w:tcPr>
          <w:p w14:paraId="2C1A536A">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0.09</w:t>
            </w:r>
          </w:p>
        </w:tc>
        <w:tc>
          <w:tcPr>
            <w:tcW w:w="318" w:type="pct"/>
            <w:shd w:val="clear" w:color="auto" w:fill="auto"/>
            <w:vAlign w:val="center"/>
          </w:tcPr>
          <w:p w14:paraId="08FEC681">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0.09</w:t>
            </w:r>
          </w:p>
        </w:tc>
        <w:tc>
          <w:tcPr>
            <w:tcW w:w="278" w:type="pct"/>
            <w:shd w:val="clear" w:color="auto" w:fill="auto"/>
            <w:vAlign w:val="center"/>
          </w:tcPr>
          <w:p w14:paraId="3111F0CC">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0.1</w:t>
            </w:r>
          </w:p>
        </w:tc>
        <w:tc>
          <w:tcPr>
            <w:tcW w:w="322" w:type="pct"/>
            <w:shd w:val="clear" w:color="auto" w:fill="auto"/>
            <w:vAlign w:val="center"/>
          </w:tcPr>
          <w:p w14:paraId="184F82DA">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89" w:type="pct"/>
            <w:shd w:val="clear" w:color="auto" w:fill="auto"/>
            <w:vAlign w:val="center"/>
          </w:tcPr>
          <w:p w14:paraId="3D5B9646">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0.1</w:t>
            </w:r>
          </w:p>
        </w:tc>
        <w:tc>
          <w:tcPr>
            <w:tcW w:w="240" w:type="pct"/>
            <w:shd w:val="clear" w:color="auto" w:fill="auto"/>
            <w:vAlign w:val="center"/>
          </w:tcPr>
          <w:p w14:paraId="7DA0D44B">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0.1</w:t>
            </w:r>
          </w:p>
        </w:tc>
        <w:tc>
          <w:tcPr>
            <w:tcW w:w="273" w:type="pct"/>
            <w:shd w:val="clear" w:color="auto" w:fill="auto"/>
            <w:vAlign w:val="center"/>
          </w:tcPr>
          <w:p w14:paraId="1DFD2B6C">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15" w:type="pct"/>
            <w:shd w:val="clear" w:color="auto" w:fill="auto"/>
            <w:vAlign w:val="center"/>
          </w:tcPr>
          <w:p w14:paraId="1477908D">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89" w:type="pct"/>
            <w:shd w:val="clear" w:color="auto" w:fill="auto"/>
            <w:vAlign w:val="center"/>
          </w:tcPr>
          <w:p w14:paraId="49F11B2F">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300" w:type="pct"/>
            <w:shd w:val="clear" w:color="auto" w:fill="auto"/>
            <w:vAlign w:val="center"/>
          </w:tcPr>
          <w:p w14:paraId="41ACA920">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15" w:type="pct"/>
            <w:shd w:val="clear" w:color="auto" w:fill="auto"/>
            <w:vAlign w:val="center"/>
          </w:tcPr>
          <w:p w14:paraId="17E0FC4E">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p>
        </w:tc>
        <w:tc>
          <w:tcPr>
            <w:tcW w:w="294" w:type="pct"/>
            <w:shd w:val="clear" w:color="auto" w:fill="auto"/>
            <w:vAlign w:val="center"/>
          </w:tcPr>
          <w:p w14:paraId="2D3C0159">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default" w:ascii="Times New Roman" w:hAnsi="Times New Roman" w:cs="Times New Roman"/>
                <w:color w:val="000000" w:themeColor="text1"/>
                <w:kern w:val="0"/>
                <w:sz w:val="18"/>
                <w:szCs w:val="18"/>
                <w:lang w:val="en-US" w:eastAsia="zh-CN"/>
                <w14:textFill>
                  <w14:solidFill>
                    <w14:schemeClr w14:val="tx1"/>
                  </w14:solidFill>
                </w14:textFill>
              </w:rPr>
              <w:t>0.09</w:t>
            </w:r>
          </w:p>
        </w:tc>
        <w:tc>
          <w:tcPr>
            <w:tcW w:w="364" w:type="pct"/>
            <w:shd w:val="clear" w:color="auto" w:fill="auto"/>
            <w:vAlign w:val="center"/>
          </w:tcPr>
          <w:p w14:paraId="720C71F8">
            <w:pPr>
              <w:widowControl/>
              <w:adjustRightInd/>
              <w:snapToGrid/>
              <w:spacing w:line="240" w:lineRule="auto"/>
              <w:ind w:firstLine="0" w:firstLineChars="0"/>
              <w:jc w:val="center"/>
              <w:rPr>
                <w:rFonts w:hint="default" w:ascii="Times New Roman" w:hAnsi="Times New Roman" w:cs="Times New Roman"/>
                <w:color w:val="000000" w:themeColor="text1"/>
                <w:kern w:val="0"/>
                <w:sz w:val="18"/>
                <w:szCs w:val="18"/>
                <w:lang w:val="en-US" w:eastAsia="zh-CN"/>
                <w14:textFill>
                  <w14:solidFill>
                    <w14:schemeClr w14:val="tx1"/>
                  </w14:solidFill>
                </w14:textFill>
              </w:rPr>
            </w:pPr>
            <w:r>
              <w:rPr>
                <w:rFonts w:hint="eastAsia" w:ascii="Times New Roman" w:hAnsi="Times New Roman" w:cs="Times New Roman"/>
                <w:color w:val="000000" w:themeColor="text1"/>
                <w:kern w:val="0"/>
                <w:sz w:val="18"/>
                <w:szCs w:val="18"/>
                <w:lang w:val="en-US" w:eastAsia="zh-CN"/>
                <w14:textFill>
                  <w14:solidFill>
                    <w14:schemeClr w14:val="tx1"/>
                  </w14:solidFill>
                </w14:textFill>
              </w:rPr>
              <w:t>-</w:t>
            </w:r>
            <w:r>
              <w:rPr>
                <w:rFonts w:hint="default" w:ascii="Times New Roman" w:hAnsi="Times New Roman" w:cs="Times New Roman"/>
                <w:color w:val="000000" w:themeColor="text1"/>
                <w:kern w:val="0"/>
                <w:sz w:val="18"/>
                <w:szCs w:val="18"/>
                <w:lang w:val="en-US" w:eastAsia="zh-CN"/>
                <w14:textFill>
                  <w14:solidFill>
                    <w14:schemeClr w14:val="tx1"/>
                  </w14:solidFill>
                </w14:textFill>
              </w:rPr>
              <w:t>0.0</w:t>
            </w:r>
            <w:r>
              <w:rPr>
                <w:rFonts w:hint="eastAsia" w:ascii="Times New Roman" w:hAnsi="Times New Roman" w:cs="Times New Roman"/>
                <w:color w:val="000000" w:themeColor="text1"/>
                <w:kern w:val="0"/>
                <w:sz w:val="18"/>
                <w:szCs w:val="18"/>
                <w:lang w:val="en-US" w:eastAsia="zh-CN"/>
                <w14:textFill>
                  <w14:solidFill>
                    <w14:schemeClr w14:val="tx1"/>
                  </w14:solidFill>
                </w14:textFill>
              </w:rPr>
              <w:t>1</w:t>
            </w:r>
          </w:p>
        </w:tc>
      </w:tr>
      <w:tr w14:paraId="66D60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94" w:type="pct"/>
            <w:shd w:val="clear" w:color="auto" w:fill="auto"/>
            <w:vAlign w:val="center"/>
          </w:tcPr>
          <w:p w14:paraId="77E4BA2F">
            <w:pPr>
              <w:widowControl/>
              <w:adjustRightInd/>
              <w:snapToGrid/>
              <w:spacing w:line="240" w:lineRule="auto"/>
              <w:ind w:firstLine="0" w:firstLineChars="0"/>
              <w:rPr>
                <w:rFonts w:hint="eastAsia" w:ascii="仿宋_GB2312" w:hAnsi="仿宋" w:cs="宋体"/>
                <w:color w:val="000000" w:themeColor="text1"/>
                <w:kern w:val="0"/>
                <w:sz w:val="18"/>
                <w:szCs w:val="18"/>
                <w14:textFill>
                  <w14:solidFill>
                    <w14:schemeClr w14:val="tx1"/>
                  </w14:solidFill>
                </w14:textFill>
              </w:rPr>
            </w:pPr>
            <w:r>
              <w:rPr>
                <w:rFonts w:hint="eastAsia" w:ascii="仿宋_GB2312" w:hAnsi="仿宋" w:cs="宋体"/>
                <w:color w:val="000000" w:themeColor="text1"/>
                <w:kern w:val="0"/>
                <w:sz w:val="18"/>
                <w:szCs w:val="18"/>
                <w14:textFill>
                  <w14:solidFill>
                    <w14:schemeClr w14:val="tx1"/>
                  </w14:solidFill>
                </w14:textFill>
              </w:rPr>
              <w:t>合计</w:t>
            </w:r>
          </w:p>
        </w:tc>
        <w:tc>
          <w:tcPr>
            <w:tcW w:w="289" w:type="pct"/>
            <w:shd w:val="clear" w:color="auto" w:fill="auto"/>
            <w:vAlign w:val="center"/>
          </w:tcPr>
          <w:p w14:paraId="1CC783BA">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0.1</w:t>
            </w:r>
          </w:p>
        </w:tc>
        <w:tc>
          <w:tcPr>
            <w:tcW w:w="312" w:type="pct"/>
            <w:shd w:val="clear" w:color="auto" w:fill="auto"/>
            <w:vAlign w:val="center"/>
          </w:tcPr>
          <w:p w14:paraId="2D154AB7">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3.31</w:t>
            </w:r>
          </w:p>
        </w:tc>
        <w:tc>
          <w:tcPr>
            <w:tcW w:w="318" w:type="pct"/>
            <w:shd w:val="clear" w:color="auto" w:fill="auto"/>
            <w:vAlign w:val="center"/>
          </w:tcPr>
          <w:p w14:paraId="24E027A6">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3.41</w:t>
            </w:r>
          </w:p>
        </w:tc>
        <w:tc>
          <w:tcPr>
            <w:tcW w:w="278" w:type="pct"/>
            <w:shd w:val="clear" w:color="auto" w:fill="auto"/>
            <w:vAlign w:val="center"/>
          </w:tcPr>
          <w:p w14:paraId="465DC4A0">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0.1</w:t>
            </w:r>
          </w:p>
        </w:tc>
        <w:tc>
          <w:tcPr>
            <w:tcW w:w="322" w:type="pct"/>
            <w:shd w:val="clear" w:color="auto" w:fill="auto"/>
            <w:vAlign w:val="center"/>
          </w:tcPr>
          <w:p w14:paraId="164D063E">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0.27</w:t>
            </w:r>
          </w:p>
        </w:tc>
        <w:tc>
          <w:tcPr>
            <w:tcW w:w="289" w:type="pct"/>
            <w:shd w:val="clear" w:color="auto" w:fill="auto"/>
            <w:vAlign w:val="center"/>
          </w:tcPr>
          <w:p w14:paraId="23F54361">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0.37</w:t>
            </w:r>
          </w:p>
        </w:tc>
        <w:tc>
          <w:tcPr>
            <w:tcW w:w="240" w:type="pct"/>
            <w:shd w:val="clear" w:color="auto" w:fill="auto"/>
            <w:vAlign w:val="center"/>
          </w:tcPr>
          <w:p w14:paraId="1326A553">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0.1</w:t>
            </w:r>
          </w:p>
        </w:tc>
        <w:tc>
          <w:tcPr>
            <w:tcW w:w="273" w:type="pct"/>
            <w:shd w:val="clear" w:color="auto" w:fill="auto"/>
            <w:vAlign w:val="center"/>
          </w:tcPr>
          <w:p w14:paraId="4CA126C3">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w:t>
            </w:r>
          </w:p>
        </w:tc>
        <w:tc>
          <w:tcPr>
            <w:tcW w:w="215" w:type="pct"/>
            <w:shd w:val="clear" w:color="auto" w:fill="auto"/>
            <w:vAlign w:val="center"/>
          </w:tcPr>
          <w:p w14:paraId="5D58D6DD">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w:t>
            </w:r>
          </w:p>
        </w:tc>
        <w:tc>
          <w:tcPr>
            <w:tcW w:w="289" w:type="pct"/>
            <w:shd w:val="clear" w:color="auto" w:fill="auto"/>
            <w:vAlign w:val="center"/>
          </w:tcPr>
          <w:p w14:paraId="3437B5D3">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0.1</w:t>
            </w:r>
          </w:p>
        </w:tc>
        <w:tc>
          <w:tcPr>
            <w:tcW w:w="300" w:type="pct"/>
            <w:shd w:val="clear" w:color="auto" w:fill="auto"/>
            <w:vAlign w:val="center"/>
          </w:tcPr>
          <w:p w14:paraId="58473BD0">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w:t>
            </w:r>
          </w:p>
        </w:tc>
        <w:tc>
          <w:tcPr>
            <w:tcW w:w="215" w:type="pct"/>
            <w:shd w:val="clear" w:color="auto" w:fill="auto"/>
            <w:vAlign w:val="center"/>
          </w:tcPr>
          <w:p w14:paraId="3FCE8470">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0</w:t>
            </w:r>
          </w:p>
        </w:tc>
        <w:tc>
          <w:tcPr>
            <w:tcW w:w="294" w:type="pct"/>
            <w:shd w:val="clear" w:color="auto" w:fill="auto"/>
            <w:vAlign w:val="center"/>
          </w:tcPr>
          <w:p w14:paraId="70BB8969">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3.04</w:t>
            </w:r>
          </w:p>
        </w:tc>
        <w:tc>
          <w:tcPr>
            <w:tcW w:w="364" w:type="pct"/>
            <w:shd w:val="clear" w:color="auto" w:fill="auto"/>
            <w:vAlign w:val="center"/>
          </w:tcPr>
          <w:p w14:paraId="65938158">
            <w:pPr>
              <w:widowControl/>
              <w:adjustRightInd/>
              <w:snapToGrid/>
              <w:spacing w:line="240" w:lineRule="auto"/>
              <w:ind w:firstLine="0" w:firstLineChars="0"/>
              <w:jc w:val="center"/>
              <w:rPr>
                <w:rFonts w:hint="default" w:ascii="Times New Roman" w:hAnsi="Times New Roman" w:cs="Times New Roman"/>
                <w:b/>
                <w:bCs/>
                <w:color w:val="000000" w:themeColor="text1"/>
                <w:kern w:val="0"/>
                <w:sz w:val="18"/>
                <w:szCs w:val="18"/>
                <w14:textFill>
                  <w14:solidFill>
                    <w14:schemeClr w14:val="tx1"/>
                  </w14:solidFill>
                </w14:textFill>
              </w:rPr>
            </w:pPr>
            <w:r>
              <w:rPr>
                <w:rFonts w:hint="default" w:ascii="Times New Roman" w:hAnsi="Times New Roman" w:cs="Times New Roman"/>
                <w:b/>
                <w:bCs/>
                <w:color w:val="000000" w:themeColor="text1"/>
                <w:kern w:val="0"/>
                <w:sz w:val="18"/>
                <w:szCs w:val="18"/>
                <w:lang w:val="en-US" w:eastAsia="zh-CN"/>
                <w14:textFill>
                  <w14:solidFill>
                    <w14:schemeClr w14:val="tx1"/>
                  </w14:solidFill>
                </w14:textFill>
              </w:rPr>
              <w:t>3.04</w:t>
            </w:r>
          </w:p>
        </w:tc>
      </w:tr>
    </w:tbl>
    <w:p w14:paraId="45BDB43B">
      <w:pPr>
        <w:ind w:firstLine="0" w:firstLineChars="0"/>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4507865" cy="2673350"/>
            <wp:effectExtent l="0" t="0" r="0" b="0"/>
            <wp:docPr id="6" name="ECB019B1-382A-4266-B25C-5B523AA43C14-1" descr="C:/Users/Administrator/AppData/Local/Temp/wps.MOdZgU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B019B1-382A-4266-B25C-5B523AA43C14-1" descr="C:/Users/Administrator/AppData/Local/Temp/wps.MOdZgUwps"/>
                    <pic:cNvPicPr>
                      <a:picLocks noChangeAspect="1"/>
                    </pic:cNvPicPr>
                  </pic:nvPicPr>
                  <pic:blipFill>
                    <a:blip r:embed="rId50"/>
                    <a:stretch>
                      <a:fillRect/>
                    </a:stretch>
                  </pic:blipFill>
                  <pic:spPr>
                    <a:xfrm>
                      <a:off x="0" y="0"/>
                      <a:ext cx="4507865" cy="2673350"/>
                    </a:xfrm>
                    <a:prstGeom prst="rect">
                      <a:avLst/>
                    </a:prstGeom>
                  </pic:spPr>
                </pic:pic>
              </a:graphicData>
            </a:graphic>
          </wp:inline>
        </w:drawing>
      </w:r>
    </w:p>
    <w:p w14:paraId="3049D26D">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图2.4-1    项目土石方平衡框图</w:t>
      </w:r>
    </w:p>
    <w:p w14:paraId="19B80790">
      <w:pPr>
        <w:pStyle w:val="3"/>
        <w:rPr>
          <w:color w:val="000000" w:themeColor="text1"/>
          <w14:textFill>
            <w14:solidFill>
              <w14:schemeClr w14:val="tx1"/>
            </w14:solidFill>
          </w14:textFill>
        </w:rPr>
      </w:pPr>
      <w:bookmarkStart w:id="76" w:name="_Toc17603"/>
      <w:r>
        <w:rPr>
          <w:rFonts w:hint="eastAsia"/>
          <w:color w:val="000000" w:themeColor="text1"/>
          <w14:textFill>
            <w14:solidFill>
              <w14:schemeClr w14:val="tx1"/>
            </w14:solidFill>
          </w14:textFill>
        </w:rPr>
        <w:t>2.5拆迁安置与专项设施改（迁）建</w:t>
      </w:r>
      <w:bookmarkEnd w:id="76"/>
    </w:p>
    <w:p w14:paraId="4406E7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本项目建设区为规划的工业用地，已由政府完成征地和拆迁安置，建设单位取得的土地为净地，不涉及拆迁安置和专项设施改（迁）建。</w:t>
      </w:r>
    </w:p>
    <w:p w14:paraId="57F63CD8">
      <w:pPr>
        <w:pStyle w:val="3"/>
        <w:rPr>
          <w:color w:val="000000" w:themeColor="text1"/>
          <w14:textFill>
            <w14:solidFill>
              <w14:schemeClr w14:val="tx1"/>
            </w14:solidFill>
          </w14:textFill>
        </w:rPr>
      </w:pPr>
      <w:bookmarkStart w:id="77" w:name="_Toc4214"/>
      <w:r>
        <w:rPr>
          <w:rFonts w:hint="eastAsia"/>
          <w:color w:val="000000" w:themeColor="text1"/>
          <w14:textFill>
            <w14:solidFill>
              <w14:schemeClr w14:val="tx1"/>
            </w14:solidFill>
          </w14:textFill>
        </w:rPr>
        <w:t>2.6施工进度</w:t>
      </w:r>
      <w:bookmarkEnd w:id="77"/>
    </w:p>
    <w:p w14:paraId="1C8900DD">
      <w:pPr>
        <w:ind w:firstLine="480"/>
        <w:rPr>
          <w:bCs/>
          <w:color w:val="000000" w:themeColor="text1"/>
          <w14:textFill>
            <w14:solidFill>
              <w14:schemeClr w14:val="tx1"/>
            </w14:solidFill>
          </w14:textFill>
        </w:rPr>
      </w:pPr>
      <w:r>
        <w:rPr>
          <w:rFonts w:hint="eastAsia"/>
          <w:color w:val="000000" w:themeColor="text1"/>
          <w14:textFill>
            <w14:solidFill>
              <w14:schemeClr w14:val="tx1"/>
            </w14:solidFill>
          </w14:textFill>
        </w:rPr>
        <w:t>本项目为补报水保方案，项目已于2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3年6月22日开工，截止2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4年5月，项目已完成</w:t>
      </w:r>
      <w:r>
        <w:rPr>
          <w:rFonts w:hint="eastAsia"/>
          <w:bCs/>
          <w:color w:val="000000" w:themeColor="text1"/>
          <w14:textFill>
            <w14:solidFill>
              <w14:schemeClr w14:val="tx1"/>
            </w14:solidFill>
          </w14:textFill>
        </w:rPr>
        <w:t>7号生产车间的主体结构工程。</w:t>
      </w:r>
    </w:p>
    <w:p w14:paraId="4EF2E252">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项目区内的截水沟、临时排水沟和沉沙池已建成投入使用，地下工程区已完成基坑截水沟276.3</w:t>
      </w:r>
      <w:r>
        <w:rPr>
          <w:bCs/>
          <w:color w:val="000000" w:themeColor="text1"/>
          <w14:textFill>
            <w14:solidFill>
              <w14:schemeClr w14:val="tx1"/>
            </w14:solidFill>
          </w14:textFill>
        </w:rPr>
        <w:t>m</w:t>
      </w:r>
      <w:r>
        <w:rPr>
          <w:rFonts w:hint="eastAsia"/>
          <w:bCs/>
          <w:color w:val="000000" w:themeColor="text1"/>
          <w14:textFill>
            <w14:solidFill>
              <w14:schemeClr w14:val="tx1"/>
            </w14:solidFill>
          </w14:textFill>
        </w:rPr>
        <w:t>，沉沙池2个；建构筑物工程区已完成砖砌临时排水沟</w:t>
      </w:r>
      <w:r>
        <w:rPr>
          <w:rFonts w:hint="eastAsia"/>
          <w:snapToGrid w:val="0"/>
          <w:color w:val="000000" w:themeColor="text1"/>
          <w14:textFill>
            <w14:solidFill>
              <w14:schemeClr w14:val="tx1"/>
            </w14:solidFill>
          </w14:textFill>
        </w:rPr>
        <w:t>358m</w:t>
      </w:r>
      <w:r>
        <w:rPr>
          <w:rFonts w:hint="eastAsia"/>
          <w:bCs/>
          <w:color w:val="000000" w:themeColor="text1"/>
          <w14:textFill>
            <w14:solidFill>
              <w14:schemeClr w14:val="tx1"/>
            </w14:solidFill>
          </w14:textFill>
        </w:rPr>
        <w:t>，临时沉沙池4个，完成密目网苫盖1752</w:t>
      </w:r>
      <w:r>
        <w:rPr>
          <w:bCs/>
          <w:color w:val="000000" w:themeColor="text1"/>
          <w14:textFill>
            <w14:solidFill>
              <w14:schemeClr w14:val="tx1"/>
            </w14:solidFill>
          </w14:textFill>
        </w:rPr>
        <w:t>m</w:t>
      </w:r>
      <w:r>
        <w:rPr>
          <w:bCs/>
          <w:color w:val="000000" w:themeColor="text1"/>
          <w:vertAlign w:val="superscript"/>
          <w14:textFill>
            <w14:solidFill>
              <w14:schemeClr w14:val="tx1"/>
            </w14:solidFill>
          </w14:textFill>
        </w:rPr>
        <w:t>2</w:t>
      </w:r>
      <w:r>
        <w:rPr>
          <w:rFonts w:hint="eastAsia"/>
          <w:bCs/>
          <w:color w:val="000000" w:themeColor="text1"/>
          <w14:textFill>
            <w14:solidFill>
              <w14:schemeClr w14:val="tx1"/>
            </w14:solidFill>
          </w14:textFill>
        </w:rPr>
        <w:t>，</w:t>
      </w:r>
      <w:r>
        <w:rPr>
          <w:rFonts w:hint="eastAsia"/>
          <w:bCs/>
          <w:color w:val="000000" w:themeColor="text1"/>
          <w:lang w:eastAsia="zh-CN"/>
          <w14:textFill>
            <w14:solidFill>
              <w14:schemeClr w14:val="tx1"/>
            </w14:solidFill>
          </w14:textFill>
        </w:rPr>
        <w:t>剥离表土</w:t>
      </w:r>
      <w:r>
        <w:rPr>
          <w:rFonts w:hint="eastAsia"/>
          <w:bCs/>
          <w:color w:val="000000" w:themeColor="text1"/>
          <w:lang w:val="en-US" w:eastAsia="zh-CN"/>
          <w14:textFill>
            <w14:solidFill>
              <w14:schemeClr w14:val="tx1"/>
            </w14:solidFill>
          </w14:textFill>
        </w:rPr>
        <w:t>0.05m</w:t>
      </w:r>
      <w:r>
        <w:rPr>
          <w:rFonts w:hint="eastAsia"/>
          <w:bCs/>
          <w:color w:val="000000" w:themeColor="text1"/>
          <w:vertAlign w:val="superscript"/>
          <w:lang w:val="en-US" w:eastAsia="zh-CN"/>
          <w14:textFill>
            <w14:solidFill>
              <w14:schemeClr w14:val="tx1"/>
            </w14:solidFill>
          </w14:textFill>
        </w:rPr>
        <w:t>2</w:t>
      </w:r>
      <w:r>
        <w:rPr>
          <w:rFonts w:hint="eastAsia"/>
          <w:bCs/>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场内道路及硬化工程区已完成洗车设施1套</w:t>
      </w:r>
      <w:r>
        <w:rPr>
          <w:rFonts w:hint="eastAsia"/>
          <w:snapToGrid w:val="0"/>
          <w:color w:val="000000" w:themeColor="text1"/>
          <w:lang w:eastAsia="zh-CN"/>
          <w14:textFill>
            <w14:solidFill>
              <w14:schemeClr w14:val="tx1"/>
            </w14:solidFill>
          </w14:textFill>
        </w:rPr>
        <w:t>，</w:t>
      </w:r>
      <w:r>
        <w:rPr>
          <w:rFonts w:hint="eastAsia"/>
          <w:bCs/>
          <w:color w:val="000000" w:themeColor="text1"/>
          <w:lang w:eastAsia="zh-CN"/>
          <w14:textFill>
            <w14:solidFill>
              <w14:schemeClr w14:val="tx1"/>
            </w14:solidFill>
          </w14:textFill>
        </w:rPr>
        <w:t>剥离表土</w:t>
      </w:r>
      <w:r>
        <w:rPr>
          <w:rFonts w:hint="eastAsia"/>
          <w:bCs/>
          <w:color w:val="000000" w:themeColor="text1"/>
          <w:lang w:val="en-US" w:eastAsia="zh-CN"/>
          <w14:textFill>
            <w14:solidFill>
              <w14:schemeClr w14:val="tx1"/>
            </w14:solidFill>
          </w14:textFill>
        </w:rPr>
        <w:t>0.05m</w:t>
      </w:r>
      <w:r>
        <w:rPr>
          <w:rFonts w:hint="eastAsia"/>
          <w:bCs/>
          <w:color w:val="000000" w:themeColor="text1"/>
          <w:vertAlign w:val="superscript"/>
          <w:lang w:val="en-US" w:eastAsia="zh-CN"/>
          <w14:textFill>
            <w14:solidFill>
              <w14:schemeClr w14:val="tx1"/>
            </w14:solidFill>
          </w14:textFill>
        </w:rPr>
        <w:t>2</w:t>
      </w:r>
      <w:r>
        <w:rPr>
          <w:rFonts w:hint="eastAsia"/>
          <w:snapToGrid w:val="0"/>
          <w:color w:val="000000" w:themeColor="text1"/>
          <w14:textFill>
            <w14:solidFill>
              <w14:schemeClr w14:val="tx1"/>
            </w14:solidFill>
          </w14:textFill>
        </w:rPr>
        <w:t>。</w:t>
      </w:r>
    </w:p>
    <w:p w14:paraId="56E13A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项目计划竣工日期为2024年</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月31日，总工期1</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个月。项目进度详见表2.6-1。</w:t>
      </w:r>
    </w:p>
    <w:p w14:paraId="199E9FD2">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表2.6-1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项目实施进度一览表</w:t>
      </w:r>
    </w:p>
    <w:p w14:paraId="7565E938">
      <w:pPr>
        <w:pStyle w:val="33"/>
        <w:rPr>
          <w:color w:val="000000" w:themeColor="text1"/>
          <w14:textFill>
            <w14:solidFill>
              <w14:schemeClr w14:val="tx1"/>
            </w14:solidFill>
          </w14:textFill>
        </w:rPr>
      </w:pPr>
    </w:p>
    <w:tbl>
      <w:tblPr>
        <w:tblStyle w:val="26"/>
        <w:tblW w:w="520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65"/>
        <w:gridCol w:w="946"/>
        <w:gridCol w:w="991"/>
        <w:gridCol w:w="1123"/>
        <w:gridCol w:w="859"/>
        <w:gridCol w:w="991"/>
        <w:gridCol w:w="1210"/>
        <w:gridCol w:w="1186"/>
      </w:tblGrid>
      <w:tr w14:paraId="1277E1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65" w:type="dxa"/>
            <w:vMerge w:val="restart"/>
            <w:tcBorders>
              <w:tl2br w:val="nil"/>
              <w:tr2bl w:val="nil"/>
            </w:tcBorders>
            <w:vAlign w:val="center"/>
          </w:tcPr>
          <w:p w14:paraId="61B0F071">
            <w:pPr>
              <w:pStyle w:val="34"/>
              <w:rPr>
                <w:color w:val="000000" w:themeColor="text1"/>
                <w14:textFill>
                  <w14:solidFill>
                    <w14:schemeClr w14:val="tx1"/>
                  </w14:solidFill>
                </w14:textFill>
              </w:rPr>
            </w:pPr>
            <w:r>
              <w:rPr>
                <w:color w:val="000000" w:themeColor="text1"/>
                <w14:textFill>
                  <w14:solidFill>
                    <w14:schemeClr w14:val="tx1"/>
                  </w14:solidFill>
                </w14:textFill>
              </w:rPr>
              <w:t>项目名称</w:t>
            </w:r>
          </w:p>
        </w:tc>
        <w:tc>
          <w:tcPr>
            <w:tcW w:w="3060" w:type="dxa"/>
            <w:gridSpan w:val="3"/>
            <w:tcBorders>
              <w:tl2br w:val="nil"/>
              <w:tr2bl w:val="nil"/>
            </w:tcBorders>
            <w:vAlign w:val="center"/>
          </w:tcPr>
          <w:p w14:paraId="5C051CDB">
            <w:pPr>
              <w:pStyle w:val="34"/>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14:textFill>
                  <w14:solidFill>
                    <w14:schemeClr w14:val="tx1"/>
                  </w14:solidFill>
                </w14:textFill>
              </w:rPr>
              <w:t>3年(月</w:t>
            </w:r>
            <w:r>
              <w:rPr>
                <w:color w:val="000000" w:themeColor="text1"/>
                <w14:textFill>
                  <w14:solidFill>
                    <w14:schemeClr w14:val="tx1"/>
                  </w14:solidFill>
                </w14:textFill>
              </w:rPr>
              <w:t>)</w:t>
            </w:r>
          </w:p>
        </w:tc>
        <w:tc>
          <w:tcPr>
            <w:tcW w:w="4246" w:type="dxa"/>
            <w:gridSpan w:val="4"/>
            <w:tcBorders>
              <w:tl2br w:val="nil"/>
              <w:tr2bl w:val="nil"/>
            </w:tcBorders>
            <w:vAlign w:val="center"/>
          </w:tcPr>
          <w:p w14:paraId="1F9E3315">
            <w:pPr>
              <w:pStyle w:val="34"/>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4年(月</w:t>
            </w:r>
            <w:r>
              <w:rPr>
                <w:color w:val="000000" w:themeColor="text1"/>
                <w14:textFill>
                  <w14:solidFill>
                    <w14:schemeClr w14:val="tx1"/>
                  </w14:solidFill>
                </w14:textFill>
              </w:rPr>
              <w:t>)</w:t>
            </w:r>
          </w:p>
        </w:tc>
      </w:tr>
      <w:tr w14:paraId="27AE72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65" w:type="dxa"/>
            <w:vMerge w:val="continue"/>
            <w:tcBorders>
              <w:tl2br w:val="nil"/>
              <w:tr2bl w:val="nil"/>
            </w:tcBorders>
            <w:vAlign w:val="center"/>
          </w:tcPr>
          <w:p w14:paraId="07BA9963">
            <w:pPr>
              <w:pStyle w:val="34"/>
              <w:rPr>
                <w:color w:val="000000" w:themeColor="text1"/>
                <w14:textFill>
                  <w14:solidFill>
                    <w14:schemeClr w14:val="tx1"/>
                  </w14:solidFill>
                </w14:textFill>
              </w:rPr>
            </w:pPr>
          </w:p>
        </w:tc>
        <w:tc>
          <w:tcPr>
            <w:tcW w:w="946" w:type="dxa"/>
            <w:tcBorders>
              <w:tl2br w:val="nil"/>
              <w:tr2bl w:val="nil"/>
            </w:tcBorders>
            <w:vAlign w:val="center"/>
          </w:tcPr>
          <w:p w14:paraId="1C9B0DF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991" w:type="dxa"/>
            <w:tcBorders>
              <w:tl2br w:val="nil"/>
              <w:tr2bl w:val="nil"/>
            </w:tcBorders>
            <w:vAlign w:val="center"/>
          </w:tcPr>
          <w:p w14:paraId="0373432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9</w:t>
            </w:r>
          </w:p>
        </w:tc>
        <w:tc>
          <w:tcPr>
            <w:tcW w:w="1123" w:type="dxa"/>
            <w:tcBorders>
              <w:tl2br w:val="nil"/>
              <w:tr2bl w:val="nil"/>
            </w:tcBorders>
            <w:vAlign w:val="center"/>
          </w:tcPr>
          <w:p w14:paraId="77E4E0A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12</w:t>
            </w:r>
          </w:p>
        </w:tc>
        <w:tc>
          <w:tcPr>
            <w:tcW w:w="859" w:type="dxa"/>
            <w:tcBorders>
              <w:tl2br w:val="nil"/>
              <w:tr2bl w:val="nil"/>
            </w:tcBorders>
            <w:vAlign w:val="center"/>
          </w:tcPr>
          <w:p w14:paraId="228B2F3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p>
        </w:tc>
        <w:tc>
          <w:tcPr>
            <w:tcW w:w="991" w:type="dxa"/>
            <w:tcBorders>
              <w:tl2br w:val="nil"/>
              <w:tr2bl w:val="nil"/>
            </w:tcBorders>
            <w:vAlign w:val="center"/>
          </w:tcPr>
          <w:p w14:paraId="509E8AC6">
            <w:pPr>
              <w:pStyle w:val="34"/>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p>
        </w:tc>
        <w:tc>
          <w:tcPr>
            <w:tcW w:w="1210" w:type="dxa"/>
            <w:tcBorders>
              <w:tl2br w:val="nil"/>
              <w:tr2bl w:val="nil"/>
            </w:tcBorders>
            <w:vAlign w:val="center"/>
          </w:tcPr>
          <w:p w14:paraId="6D3EA033">
            <w:pPr>
              <w:pStyle w:val="34"/>
              <w:rPr>
                <w:rFonts w:hint="eastAsia" w:eastAsia="仿宋_GB2312"/>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7-</w:t>
            </w:r>
            <w:r>
              <w:rPr>
                <w:rFonts w:hint="eastAsia"/>
                <w:color w:val="000000" w:themeColor="text1"/>
                <w:lang w:val="en-US" w:eastAsia="zh-CN"/>
                <w14:textFill>
                  <w14:solidFill>
                    <w14:schemeClr w14:val="tx1"/>
                  </w14:solidFill>
                </w14:textFill>
              </w:rPr>
              <w:t>9</w:t>
            </w:r>
          </w:p>
        </w:tc>
        <w:tc>
          <w:tcPr>
            <w:tcW w:w="1186" w:type="dxa"/>
            <w:tcBorders>
              <w:tl2br w:val="nil"/>
              <w:tr2bl w:val="nil"/>
            </w:tcBorders>
            <w:vAlign w:val="center"/>
          </w:tcPr>
          <w:p w14:paraId="6D10AC0C">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10-12</w:t>
            </w:r>
          </w:p>
        </w:tc>
      </w:tr>
      <w:tr w14:paraId="429534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65" w:type="dxa"/>
            <w:tcBorders>
              <w:tl2br w:val="nil"/>
              <w:tr2bl w:val="nil"/>
            </w:tcBorders>
            <w:vAlign w:val="center"/>
          </w:tcPr>
          <w:p w14:paraId="6115F0AA">
            <w:pPr>
              <w:pStyle w:val="34"/>
              <w:rPr>
                <w:color w:val="000000" w:themeColor="text1"/>
                <w14:textFill>
                  <w14:solidFill>
                    <w14:schemeClr w14:val="tx1"/>
                  </w14:solidFill>
                </w14:textFill>
              </w:rPr>
            </w:pPr>
            <w:r>
              <w:rPr>
                <w:color w:val="000000" w:themeColor="text1"/>
                <w14:textFill>
                  <w14:solidFill>
                    <w14:schemeClr w14:val="tx1"/>
                  </w14:solidFill>
                </w14:textFill>
              </w:rPr>
              <w:t>施工准备期</w:t>
            </w:r>
          </w:p>
        </w:tc>
        <w:tc>
          <w:tcPr>
            <w:tcW w:w="946" w:type="dxa"/>
            <w:tcBorders>
              <w:tl2br w:val="nil"/>
              <w:tr2bl w:val="nil"/>
            </w:tcBorders>
            <w:vAlign w:val="center"/>
          </w:tcPr>
          <w:p w14:paraId="21BEA5D7">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334645</wp:posOffset>
                      </wp:positionH>
                      <wp:positionV relativeFrom="paragraph">
                        <wp:posOffset>129540</wp:posOffset>
                      </wp:positionV>
                      <wp:extent cx="255905" cy="1270"/>
                      <wp:effectExtent l="0" t="0" r="0" b="0"/>
                      <wp:wrapNone/>
                      <wp:docPr id="14" name="直接连接符 34"/>
                      <wp:cNvGraphicFramePr/>
                      <a:graphic xmlns:a="http://schemas.openxmlformats.org/drawingml/2006/main">
                        <a:graphicData uri="http://schemas.microsoft.com/office/word/2010/wordprocessingShape">
                          <wps:wsp>
                            <wps:cNvCnPr/>
                            <wps:spPr>
                              <a:xfrm flipH="1">
                                <a:off x="0" y="0"/>
                                <a:ext cx="255905" cy="127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4" o:spid="_x0000_s1026" o:spt="20" style="position:absolute;left:0pt;flip:x;margin-left:26.35pt;margin-top:10.2pt;height:0.1pt;width:20.15pt;z-index:251680768;mso-width-relative:page;mso-height-relative:page;" filled="f" stroked="t" coordsize="21600,21600" o:gfxdata="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1GByyNcAAAAHAQAADwAAAAAAAAABACAAAAAiAAAAZHJzL2Rvd25yZXYueG1sUEsBAhQAFAAA&#10;AAgAh07iQKtlNFXwAQAAwAMAAA4AAAAAAAAAAQAgAAAAJgEAAGRycy9lMm9Eb2MueG1sUEsFBgAA&#10;AAAGAAYAWQEAAIgFAAAAAA==&#10;">
                      <v:fill on="f" focussize="0,0"/>
                      <v:stroke weight="2pt" color="#000000 [3213]" miterlimit="8" joinstyle="miter"/>
                      <v:imagedata o:title=""/>
                      <o:lock v:ext="edit" aspectratio="f"/>
                    </v:line>
                  </w:pict>
                </mc:Fallback>
              </mc:AlternateContent>
            </w:r>
          </w:p>
        </w:tc>
        <w:tc>
          <w:tcPr>
            <w:tcW w:w="991" w:type="dxa"/>
            <w:tcBorders>
              <w:tl2br w:val="nil"/>
              <w:tr2bl w:val="nil"/>
            </w:tcBorders>
          </w:tcPr>
          <w:p w14:paraId="29ECFB27">
            <w:pPr>
              <w:pStyle w:val="34"/>
              <w:rPr>
                <w:color w:val="000000" w:themeColor="text1"/>
                <w14:textFill>
                  <w14:solidFill>
                    <w14:schemeClr w14:val="tx1"/>
                  </w14:solidFill>
                </w14:textFill>
              </w:rPr>
            </w:pPr>
          </w:p>
        </w:tc>
        <w:tc>
          <w:tcPr>
            <w:tcW w:w="1123" w:type="dxa"/>
            <w:tcBorders>
              <w:tl2br w:val="nil"/>
              <w:tr2bl w:val="nil"/>
            </w:tcBorders>
          </w:tcPr>
          <w:p w14:paraId="036BDD0A">
            <w:pPr>
              <w:pStyle w:val="34"/>
              <w:rPr>
                <w:color w:val="000000" w:themeColor="text1"/>
                <w14:textFill>
                  <w14:solidFill>
                    <w14:schemeClr w14:val="tx1"/>
                  </w14:solidFill>
                </w14:textFill>
              </w:rPr>
            </w:pPr>
          </w:p>
        </w:tc>
        <w:tc>
          <w:tcPr>
            <w:tcW w:w="859" w:type="dxa"/>
            <w:tcBorders>
              <w:tl2br w:val="nil"/>
              <w:tr2bl w:val="nil"/>
            </w:tcBorders>
          </w:tcPr>
          <w:p w14:paraId="5C0B8240">
            <w:pPr>
              <w:pStyle w:val="34"/>
              <w:rPr>
                <w:color w:val="000000" w:themeColor="text1"/>
                <w14:textFill>
                  <w14:solidFill>
                    <w14:schemeClr w14:val="tx1"/>
                  </w14:solidFill>
                </w14:textFill>
              </w:rPr>
            </w:pPr>
          </w:p>
        </w:tc>
        <w:tc>
          <w:tcPr>
            <w:tcW w:w="991" w:type="dxa"/>
            <w:tcBorders>
              <w:tl2br w:val="nil"/>
              <w:tr2bl w:val="nil"/>
            </w:tcBorders>
            <w:vAlign w:val="center"/>
          </w:tcPr>
          <w:p w14:paraId="4090C53D">
            <w:pPr>
              <w:pStyle w:val="34"/>
              <w:rPr>
                <w:color w:val="000000" w:themeColor="text1"/>
                <w14:textFill>
                  <w14:solidFill>
                    <w14:schemeClr w14:val="tx1"/>
                  </w14:solidFill>
                </w14:textFill>
              </w:rPr>
            </w:pPr>
          </w:p>
        </w:tc>
        <w:tc>
          <w:tcPr>
            <w:tcW w:w="1210" w:type="dxa"/>
            <w:tcBorders>
              <w:tl2br w:val="nil"/>
              <w:tr2bl w:val="nil"/>
            </w:tcBorders>
          </w:tcPr>
          <w:p w14:paraId="0CEB95E5">
            <w:pPr>
              <w:pStyle w:val="34"/>
              <w:rPr>
                <w:color w:val="000000" w:themeColor="text1"/>
                <w14:textFill>
                  <w14:solidFill>
                    <w14:schemeClr w14:val="tx1"/>
                  </w14:solidFill>
                </w14:textFill>
              </w:rPr>
            </w:pPr>
          </w:p>
        </w:tc>
        <w:tc>
          <w:tcPr>
            <w:tcW w:w="1186" w:type="dxa"/>
            <w:tcBorders>
              <w:tl2br w:val="nil"/>
              <w:tr2bl w:val="nil"/>
            </w:tcBorders>
          </w:tcPr>
          <w:p w14:paraId="618A1EC9">
            <w:pPr>
              <w:pStyle w:val="34"/>
              <w:rPr>
                <w:color w:val="000000" w:themeColor="text1"/>
                <w14:textFill>
                  <w14:solidFill>
                    <w14:schemeClr w14:val="tx1"/>
                  </w14:solidFill>
                </w14:textFill>
              </w:rPr>
            </w:pPr>
          </w:p>
        </w:tc>
      </w:tr>
      <w:tr w14:paraId="4BCF3D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65" w:type="dxa"/>
            <w:tcBorders>
              <w:tl2br w:val="nil"/>
              <w:tr2bl w:val="nil"/>
            </w:tcBorders>
            <w:vAlign w:val="center"/>
          </w:tcPr>
          <w:p w14:paraId="35A8E1D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场地</w:t>
            </w:r>
            <w:r>
              <w:rPr>
                <w:color w:val="000000" w:themeColor="text1"/>
                <w14:textFill>
                  <w14:solidFill>
                    <w14:schemeClr w14:val="tx1"/>
                  </w14:solidFill>
                </w14:textFill>
              </w:rPr>
              <w:t>平整</w:t>
            </w:r>
          </w:p>
        </w:tc>
        <w:tc>
          <w:tcPr>
            <w:tcW w:w="946" w:type="dxa"/>
            <w:tcBorders>
              <w:tl2br w:val="nil"/>
              <w:tr2bl w:val="nil"/>
            </w:tcBorders>
            <w:vAlign w:val="center"/>
          </w:tcPr>
          <w:p w14:paraId="2AEBD942">
            <w:pPr>
              <w:pStyle w:val="34"/>
              <w:rPr>
                <w:color w:val="000000" w:themeColor="text1"/>
                <w14:textFill>
                  <w14:solidFill>
                    <w14:schemeClr w14:val="tx1"/>
                  </w14:solidFill>
                </w14:textFill>
              </w:rPr>
            </w:pPr>
          </w:p>
        </w:tc>
        <w:tc>
          <w:tcPr>
            <w:tcW w:w="991" w:type="dxa"/>
            <w:tcBorders>
              <w:tl2br w:val="nil"/>
              <w:tr2bl w:val="nil"/>
            </w:tcBorders>
          </w:tcPr>
          <w:p w14:paraId="34FA73A5">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-59690</wp:posOffset>
                      </wp:positionH>
                      <wp:positionV relativeFrom="paragraph">
                        <wp:posOffset>123825</wp:posOffset>
                      </wp:positionV>
                      <wp:extent cx="259080" cy="3175"/>
                      <wp:effectExtent l="0" t="0" r="0" b="0"/>
                      <wp:wrapNone/>
                      <wp:docPr id="15" name="直接连接符 33"/>
                      <wp:cNvGraphicFramePr/>
                      <a:graphic xmlns:a="http://schemas.openxmlformats.org/drawingml/2006/main">
                        <a:graphicData uri="http://schemas.microsoft.com/office/word/2010/wordprocessingShape">
                          <wps:wsp>
                            <wps:cNvCnPr/>
                            <wps:spPr>
                              <a:xfrm>
                                <a:off x="0" y="0"/>
                                <a:ext cx="259080" cy="3175"/>
                              </a:xfrm>
                              <a:prstGeom prst="line">
                                <a:avLst/>
                              </a:prstGeom>
                              <a:ln w="25400">
                                <a:solidFill>
                                  <a:schemeClr val="tx1">
                                    <a:alpha val="92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3" o:spid="_x0000_s1026" o:spt="20" style="position:absolute;left:0pt;margin-left:-4.7pt;margin-top:9.75pt;height:0.25pt;width:20.4pt;z-index:251681792;mso-width-relative:page;mso-height-relative:page;" filled="f" stroked="t" coordsize="21600,21600" o:gfxdata="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UznXbWAAAABwEAAA8AAAAAAAAAAQAgAAAAIgAAAGRycy9kb3ducmV2LnhtbFBLAQIU&#10;ABQAAAAIAIdO4kAsB9LP9QEAANcDAAAOAAAAAAAAAAEAIAAAACUBAABkcnMvZTJvRG9jLnhtbFBL&#10;BQYAAAAABgAGAFkBAACMBQAAAAA=&#10;">
                      <v:fill on="f" focussize="0,0"/>
                      <v:stroke weight="2pt" color="#000000 [3213]" opacity="60293f" miterlimit="8" joinstyle="miter"/>
                      <v:imagedata o:title=""/>
                      <o:lock v:ext="edit" aspectratio="f"/>
                    </v:line>
                  </w:pict>
                </mc:Fallback>
              </mc:AlternateContent>
            </w:r>
          </w:p>
        </w:tc>
        <w:tc>
          <w:tcPr>
            <w:tcW w:w="1123" w:type="dxa"/>
            <w:tcBorders>
              <w:tl2br w:val="nil"/>
              <w:tr2bl w:val="nil"/>
            </w:tcBorders>
          </w:tcPr>
          <w:p w14:paraId="07336367">
            <w:pPr>
              <w:pStyle w:val="34"/>
              <w:rPr>
                <w:color w:val="000000" w:themeColor="text1"/>
                <w14:textFill>
                  <w14:solidFill>
                    <w14:schemeClr w14:val="tx1"/>
                  </w14:solidFill>
                </w14:textFill>
              </w:rPr>
            </w:pPr>
          </w:p>
        </w:tc>
        <w:tc>
          <w:tcPr>
            <w:tcW w:w="859" w:type="dxa"/>
            <w:tcBorders>
              <w:tl2br w:val="nil"/>
              <w:tr2bl w:val="nil"/>
            </w:tcBorders>
          </w:tcPr>
          <w:p w14:paraId="59790D74">
            <w:pPr>
              <w:pStyle w:val="34"/>
              <w:rPr>
                <w:color w:val="000000" w:themeColor="text1"/>
                <w14:textFill>
                  <w14:solidFill>
                    <w14:schemeClr w14:val="tx1"/>
                  </w14:solidFill>
                </w14:textFill>
              </w:rPr>
            </w:pPr>
          </w:p>
        </w:tc>
        <w:tc>
          <w:tcPr>
            <w:tcW w:w="991" w:type="dxa"/>
            <w:tcBorders>
              <w:tl2br w:val="nil"/>
              <w:tr2bl w:val="nil"/>
            </w:tcBorders>
            <w:vAlign w:val="center"/>
          </w:tcPr>
          <w:p w14:paraId="14060D56">
            <w:pPr>
              <w:pStyle w:val="34"/>
              <w:rPr>
                <w:color w:val="000000" w:themeColor="text1"/>
                <w14:textFill>
                  <w14:solidFill>
                    <w14:schemeClr w14:val="tx1"/>
                  </w14:solidFill>
                </w14:textFill>
              </w:rPr>
            </w:pPr>
          </w:p>
        </w:tc>
        <w:tc>
          <w:tcPr>
            <w:tcW w:w="1210" w:type="dxa"/>
            <w:tcBorders>
              <w:tl2br w:val="nil"/>
              <w:tr2bl w:val="nil"/>
            </w:tcBorders>
          </w:tcPr>
          <w:p w14:paraId="473A48D3">
            <w:pPr>
              <w:pStyle w:val="34"/>
              <w:rPr>
                <w:color w:val="000000" w:themeColor="text1"/>
                <w14:textFill>
                  <w14:solidFill>
                    <w14:schemeClr w14:val="tx1"/>
                  </w14:solidFill>
                </w14:textFill>
              </w:rPr>
            </w:pPr>
          </w:p>
        </w:tc>
        <w:tc>
          <w:tcPr>
            <w:tcW w:w="1186" w:type="dxa"/>
            <w:tcBorders>
              <w:tl2br w:val="nil"/>
              <w:tr2bl w:val="nil"/>
            </w:tcBorders>
          </w:tcPr>
          <w:p w14:paraId="6237B633">
            <w:pPr>
              <w:pStyle w:val="34"/>
              <w:rPr>
                <w:color w:val="000000" w:themeColor="text1"/>
                <w14:textFill>
                  <w14:solidFill>
                    <w14:schemeClr w14:val="tx1"/>
                  </w14:solidFill>
                </w14:textFill>
              </w:rPr>
            </w:pPr>
          </w:p>
        </w:tc>
      </w:tr>
      <w:tr w14:paraId="7D818C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65" w:type="dxa"/>
            <w:tcBorders>
              <w:tl2br w:val="nil"/>
              <w:tr2bl w:val="nil"/>
            </w:tcBorders>
            <w:vAlign w:val="center"/>
          </w:tcPr>
          <w:p w14:paraId="4071EE6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地下室及建筑物基础施工</w:t>
            </w:r>
          </w:p>
        </w:tc>
        <w:tc>
          <w:tcPr>
            <w:tcW w:w="946" w:type="dxa"/>
            <w:tcBorders>
              <w:tl2br w:val="nil"/>
              <w:tr2bl w:val="nil"/>
            </w:tcBorders>
            <w:vAlign w:val="center"/>
          </w:tcPr>
          <w:p w14:paraId="6DD3B789">
            <w:pPr>
              <w:pStyle w:val="34"/>
              <w:rPr>
                <w:color w:val="000000" w:themeColor="text1"/>
                <w14:textFill>
                  <w14:solidFill>
                    <w14:schemeClr w14:val="tx1"/>
                  </w14:solidFill>
                </w14:textFill>
              </w:rPr>
            </w:pPr>
          </w:p>
        </w:tc>
        <w:tc>
          <w:tcPr>
            <w:tcW w:w="991" w:type="dxa"/>
            <w:tcBorders>
              <w:tl2br w:val="nil"/>
              <w:tr2bl w:val="nil"/>
            </w:tcBorders>
          </w:tcPr>
          <w:p w14:paraId="6E3505F7">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222885</wp:posOffset>
                      </wp:positionH>
                      <wp:positionV relativeFrom="paragraph">
                        <wp:posOffset>142240</wp:posOffset>
                      </wp:positionV>
                      <wp:extent cx="636905" cy="635"/>
                      <wp:effectExtent l="0" t="0" r="0" b="0"/>
                      <wp:wrapNone/>
                      <wp:docPr id="22" name="直接连接符 32"/>
                      <wp:cNvGraphicFramePr/>
                      <a:graphic xmlns:a="http://schemas.openxmlformats.org/drawingml/2006/main">
                        <a:graphicData uri="http://schemas.microsoft.com/office/word/2010/wordprocessingShape">
                          <wps:wsp>
                            <wps:cNvCnPr/>
                            <wps:spPr>
                              <a:xfrm>
                                <a:off x="0" y="0"/>
                                <a:ext cx="636905" cy="63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2" o:spid="_x0000_s1026" o:spt="20" style="position:absolute;left:0pt;margin-left:17.55pt;margin-top:11.2pt;height:0.05pt;width:50.15pt;z-index:251682816;mso-width-relative:page;mso-height-relative:page;" filled="f" stroked="t" coordsize="21600,21600" o:gfxdata="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3VOvPY&#10;AAAACAEAAA8AAAAAAAAAAQAgAAAAIgAAAGRycy9kb3ducmV2LnhtbFBLAQIUABQAAAAIAIdO4kA8&#10;N++T5wEAALUDAAAOAAAAAAAAAAEAIAAAACcBAABkcnMvZTJvRG9jLnhtbFBLBQYAAAAABgAGAFkB&#10;AACABQAAAAA=&#10;">
                      <v:fill on="f" focussize="0,0"/>
                      <v:stroke weight="2pt" color="#000000 [3213]" miterlimit="8" joinstyle="miter"/>
                      <v:imagedata o:title=""/>
                      <o:lock v:ext="edit" aspectratio="f"/>
                    </v:line>
                  </w:pict>
                </mc:Fallback>
              </mc:AlternateContent>
            </w:r>
          </w:p>
        </w:tc>
        <w:tc>
          <w:tcPr>
            <w:tcW w:w="1123" w:type="dxa"/>
            <w:tcBorders>
              <w:tl2br w:val="nil"/>
              <w:tr2bl w:val="nil"/>
            </w:tcBorders>
          </w:tcPr>
          <w:p w14:paraId="0332D709">
            <w:pPr>
              <w:pStyle w:val="34"/>
              <w:rPr>
                <w:color w:val="000000" w:themeColor="text1"/>
                <w14:textFill>
                  <w14:solidFill>
                    <w14:schemeClr w14:val="tx1"/>
                  </w14:solidFill>
                </w14:textFill>
              </w:rPr>
            </w:pPr>
          </w:p>
        </w:tc>
        <w:tc>
          <w:tcPr>
            <w:tcW w:w="859" w:type="dxa"/>
            <w:tcBorders>
              <w:tl2br w:val="nil"/>
              <w:tr2bl w:val="nil"/>
            </w:tcBorders>
          </w:tcPr>
          <w:p w14:paraId="507022F3">
            <w:pPr>
              <w:pStyle w:val="34"/>
              <w:rPr>
                <w:color w:val="000000" w:themeColor="text1"/>
                <w14:textFill>
                  <w14:solidFill>
                    <w14:schemeClr w14:val="tx1"/>
                  </w14:solidFill>
                </w14:textFill>
              </w:rPr>
            </w:pPr>
          </w:p>
        </w:tc>
        <w:tc>
          <w:tcPr>
            <w:tcW w:w="991" w:type="dxa"/>
            <w:tcBorders>
              <w:tl2br w:val="nil"/>
              <w:tr2bl w:val="nil"/>
            </w:tcBorders>
            <w:vAlign w:val="center"/>
          </w:tcPr>
          <w:p w14:paraId="78F9A456">
            <w:pPr>
              <w:pStyle w:val="34"/>
              <w:rPr>
                <w:color w:val="000000" w:themeColor="text1"/>
                <w14:textFill>
                  <w14:solidFill>
                    <w14:schemeClr w14:val="tx1"/>
                  </w14:solidFill>
                </w14:textFill>
              </w:rPr>
            </w:pPr>
          </w:p>
        </w:tc>
        <w:tc>
          <w:tcPr>
            <w:tcW w:w="1210" w:type="dxa"/>
            <w:tcBorders>
              <w:tl2br w:val="nil"/>
              <w:tr2bl w:val="nil"/>
            </w:tcBorders>
          </w:tcPr>
          <w:p w14:paraId="1C2262D7">
            <w:pPr>
              <w:pStyle w:val="34"/>
              <w:rPr>
                <w:color w:val="000000" w:themeColor="text1"/>
                <w14:textFill>
                  <w14:solidFill>
                    <w14:schemeClr w14:val="tx1"/>
                  </w14:solidFill>
                </w14:textFill>
              </w:rPr>
            </w:pPr>
          </w:p>
        </w:tc>
        <w:tc>
          <w:tcPr>
            <w:tcW w:w="1186" w:type="dxa"/>
            <w:tcBorders>
              <w:tl2br w:val="nil"/>
              <w:tr2bl w:val="nil"/>
            </w:tcBorders>
          </w:tcPr>
          <w:p w14:paraId="2CF81389">
            <w:pPr>
              <w:pStyle w:val="34"/>
              <w:rPr>
                <w:color w:val="000000" w:themeColor="text1"/>
                <w14:textFill>
                  <w14:solidFill>
                    <w14:schemeClr w14:val="tx1"/>
                  </w14:solidFill>
                </w14:textFill>
              </w:rPr>
            </w:pPr>
          </w:p>
        </w:tc>
      </w:tr>
      <w:tr w14:paraId="1C67DD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65" w:type="dxa"/>
            <w:tcBorders>
              <w:tl2br w:val="nil"/>
              <w:tr2bl w:val="nil"/>
            </w:tcBorders>
            <w:vAlign w:val="center"/>
          </w:tcPr>
          <w:p w14:paraId="417DBF7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建筑物主体</w:t>
            </w:r>
            <w:r>
              <w:rPr>
                <w:color w:val="000000" w:themeColor="text1"/>
                <w14:textFill>
                  <w14:solidFill>
                    <w14:schemeClr w14:val="tx1"/>
                  </w14:solidFill>
                </w14:textFill>
              </w:rPr>
              <w:t>施工</w:t>
            </w:r>
          </w:p>
        </w:tc>
        <w:tc>
          <w:tcPr>
            <w:tcW w:w="946" w:type="dxa"/>
            <w:tcBorders>
              <w:tl2br w:val="nil"/>
              <w:tr2bl w:val="nil"/>
            </w:tcBorders>
            <w:vAlign w:val="center"/>
          </w:tcPr>
          <w:p w14:paraId="10267938">
            <w:pPr>
              <w:pStyle w:val="34"/>
              <w:rPr>
                <w:color w:val="000000" w:themeColor="text1"/>
                <w14:textFill>
                  <w14:solidFill>
                    <w14:schemeClr w14:val="tx1"/>
                  </w14:solidFill>
                </w14:textFill>
              </w:rPr>
            </w:pPr>
          </w:p>
        </w:tc>
        <w:tc>
          <w:tcPr>
            <w:tcW w:w="991" w:type="dxa"/>
            <w:tcBorders>
              <w:tl2br w:val="nil"/>
              <w:tr2bl w:val="nil"/>
            </w:tcBorders>
          </w:tcPr>
          <w:p w14:paraId="2F051609">
            <w:pPr>
              <w:pStyle w:val="34"/>
              <w:rPr>
                <w:color w:val="000000" w:themeColor="text1"/>
                <w14:textFill>
                  <w14:solidFill>
                    <w14:schemeClr w14:val="tx1"/>
                  </w14:solidFill>
                </w14:textFill>
              </w:rPr>
            </w:pPr>
          </w:p>
        </w:tc>
        <w:tc>
          <w:tcPr>
            <w:tcW w:w="1123" w:type="dxa"/>
            <w:tcBorders>
              <w:tl2br w:val="nil"/>
              <w:tr2bl w:val="nil"/>
            </w:tcBorders>
          </w:tcPr>
          <w:p w14:paraId="712B360D">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234950</wp:posOffset>
                      </wp:positionH>
                      <wp:positionV relativeFrom="paragraph">
                        <wp:posOffset>164465</wp:posOffset>
                      </wp:positionV>
                      <wp:extent cx="1323340" cy="0"/>
                      <wp:effectExtent l="0" t="12700" r="10160" b="15875"/>
                      <wp:wrapNone/>
                      <wp:docPr id="23" name="AutoShape 225"/>
                      <wp:cNvGraphicFramePr/>
                      <a:graphic xmlns:a="http://schemas.openxmlformats.org/drawingml/2006/main">
                        <a:graphicData uri="http://schemas.microsoft.com/office/word/2010/wordprocessingShape">
                          <wps:wsp>
                            <wps:cNvCnPr>
                              <a:cxnSpLocks noChangeShapeType="1"/>
                            </wps:cNvCnPr>
                            <wps:spPr bwMode="auto">
                              <a:xfrm>
                                <a:off x="0" y="0"/>
                                <a:ext cx="1323340" cy="0"/>
                              </a:xfrm>
                              <a:prstGeom prst="straightConnector1">
                                <a:avLst/>
                              </a:prstGeom>
                              <a:noFill/>
                              <a:ln w="25400">
                                <a:solidFill>
                                  <a:srgbClr val="000000"/>
                                </a:solidFill>
                                <a:round/>
                              </a:ln>
                            </wps:spPr>
                            <wps:bodyPr/>
                          </wps:wsp>
                        </a:graphicData>
                      </a:graphic>
                    </wp:anchor>
                  </w:drawing>
                </mc:Choice>
                <mc:Fallback>
                  <w:pict>
                    <v:shape id="AutoShape 225" o:spid="_x0000_s1026" o:spt="32" type="#_x0000_t32" style="position:absolute;left:0pt;margin-left:18.5pt;margin-top:12.95pt;height:0pt;width:104.2pt;z-index:251683840;mso-width-relative:page;mso-height-relative:page;" filled="f" stroked="t" coordsize="21600,21600" o:gfxdata="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itYwh1gAAAAgBAAAPAAAAAAAAAAEA&#10;IAAAACIAAABkcnMvZG93bnJldi54bWxQSwECFAAUAAAACACHTuJARIFfRdgBAAC2AwAADgAAAAAA&#10;AAABACAAAAAlAQAAZHJzL2Uyb0RvYy54bWxQSwUGAAAAAAYABgBZAQAAbwUAAAAA&#10;">
                      <v:fill on="f" focussize="0,0"/>
                      <v:stroke weight="2pt" color="#000000" joinstyle="round"/>
                      <v:imagedata o:title=""/>
                      <o:lock v:ext="edit" aspectratio="f"/>
                    </v:shape>
                  </w:pict>
                </mc:Fallback>
              </mc:AlternateContent>
            </w:r>
          </w:p>
        </w:tc>
        <w:tc>
          <w:tcPr>
            <w:tcW w:w="859" w:type="dxa"/>
            <w:tcBorders>
              <w:tl2br w:val="nil"/>
              <w:tr2bl w:val="nil"/>
            </w:tcBorders>
          </w:tcPr>
          <w:p w14:paraId="21C5884F">
            <w:pPr>
              <w:pStyle w:val="34"/>
              <w:rPr>
                <w:color w:val="000000" w:themeColor="text1"/>
                <w14:textFill>
                  <w14:solidFill>
                    <w14:schemeClr w14:val="tx1"/>
                  </w14:solidFill>
                </w14:textFill>
              </w:rPr>
            </w:pPr>
          </w:p>
        </w:tc>
        <w:tc>
          <w:tcPr>
            <w:tcW w:w="991" w:type="dxa"/>
            <w:tcBorders>
              <w:tl2br w:val="nil"/>
              <w:tr2bl w:val="nil"/>
            </w:tcBorders>
            <w:vAlign w:val="center"/>
          </w:tcPr>
          <w:p w14:paraId="320B14A5">
            <w:pPr>
              <w:pStyle w:val="34"/>
              <w:rPr>
                <w:color w:val="000000" w:themeColor="text1"/>
                <w14:textFill>
                  <w14:solidFill>
                    <w14:schemeClr w14:val="tx1"/>
                  </w14:solidFill>
                </w14:textFill>
              </w:rPr>
            </w:pPr>
          </w:p>
        </w:tc>
        <w:tc>
          <w:tcPr>
            <w:tcW w:w="1210" w:type="dxa"/>
            <w:tcBorders>
              <w:tl2br w:val="nil"/>
              <w:tr2bl w:val="nil"/>
            </w:tcBorders>
          </w:tcPr>
          <w:p w14:paraId="6E23BE87">
            <w:pPr>
              <w:pStyle w:val="34"/>
              <w:rPr>
                <w:color w:val="000000" w:themeColor="text1"/>
                <w14:textFill>
                  <w14:solidFill>
                    <w14:schemeClr w14:val="tx1"/>
                  </w14:solidFill>
                </w14:textFill>
              </w:rPr>
            </w:pPr>
          </w:p>
        </w:tc>
        <w:tc>
          <w:tcPr>
            <w:tcW w:w="1186" w:type="dxa"/>
            <w:tcBorders>
              <w:tl2br w:val="nil"/>
              <w:tr2bl w:val="nil"/>
            </w:tcBorders>
          </w:tcPr>
          <w:p w14:paraId="397C316E">
            <w:pPr>
              <w:pStyle w:val="34"/>
              <w:rPr>
                <w:color w:val="000000" w:themeColor="text1"/>
                <w14:textFill>
                  <w14:solidFill>
                    <w14:schemeClr w14:val="tx1"/>
                  </w14:solidFill>
                </w14:textFill>
              </w:rPr>
            </w:pPr>
          </w:p>
        </w:tc>
      </w:tr>
      <w:tr w14:paraId="3A4910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65" w:type="dxa"/>
            <w:tcBorders>
              <w:tl2br w:val="nil"/>
              <w:tr2bl w:val="nil"/>
            </w:tcBorders>
            <w:vAlign w:val="center"/>
          </w:tcPr>
          <w:p w14:paraId="01CE3BD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管线工程</w:t>
            </w:r>
          </w:p>
        </w:tc>
        <w:tc>
          <w:tcPr>
            <w:tcW w:w="946" w:type="dxa"/>
            <w:tcBorders>
              <w:tl2br w:val="nil"/>
              <w:tr2bl w:val="nil"/>
            </w:tcBorders>
            <w:vAlign w:val="center"/>
          </w:tcPr>
          <w:p w14:paraId="5FD9FE1E">
            <w:pPr>
              <w:pStyle w:val="34"/>
              <w:rPr>
                <w:color w:val="000000" w:themeColor="text1"/>
                <w14:textFill>
                  <w14:solidFill>
                    <w14:schemeClr w14:val="tx1"/>
                  </w14:solidFill>
                </w14:textFill>
              </w:rPr>
            </w:pPr>
          </w:p>
        </w:tc>
        <w:tc>
          <w:tcPr>
            <w:tcW w:w="991" w:type="dxa"/>
            <w:tcBorders>
              <w:tl2br w:val="nil"/>
              <w:tr2bl w:val="nil"/>
            </w:tcBorders>
          </w:tcPr>
          <w:p w14:paraId="48F6B764">
            <w:pPr>
              <w:pStyle w:val="34"/>
              <w:rPr>
                <w:color w:val="000000" w:themeColor="text1"/>
                <w14:textFill>
                  <w14:solidFill>
                    <w14:schemeClr w14:val="tx1"/>
                  </w14:solidFill>
                </w14:textFill>
              </w:rPr>
            </w:pPr>
          </w:p>
        </w:tc>
        <w:tc>
          <w:tcPr>
            <w:tcW w:w="1123" w:type="dxa"/>
            <w:tcBorders>
              <w:tl2br w:val="nil"/>
              <w:tr2bl w:val="nil"/>
            </w:tcBorders>
          </w:tcPr>
          <w:p w14:paraId="3BE656CA">
            <w:pPr>
              <w:pStyle w:val="34"/>
              <w:rPr>
                <w:color w:val="000000" w:themeColor="text1"/>
                <w14:textFill>
                  <w14:solidFill>
                    <w14:schemeClr w14:val="tx1"/>
                  </w14:solidFill>
                </w14:textFill>
              </w:rPr>
            </w:pPr>
          </w:p>
        </w:tc>
        <w:tc>
          <w:tcPr>
            <w:tcW w:w="859" w:type="dxa"/>
            <w:tcBorders>
              <w:tl2br w:val="nil"/>
              <w:tr2bl w:val="nil"/>
            </w:tcBorders>
          </w:tcPr>
          <w:p w14:paraId="0E9C4699">
            <w:pPr>
              <w:pStyle w:val="34"/>
              <w:rPr>
                <w:color w:val="000000" w:themeColor="text1"/>
                <w14:textFill>
                  <w14:solidFill>
                    <w14:schemeClr w14:val="tx1"/>
                  </w14:solidFill>
                </w14:textFill>
              </w:rPr>
            </w:pPr>
          </w:p>
        </w:tc>
        <w:tc>
          <w:tcPr>
            <w:tcW w:w="991" w:type="dxa"/>
            <w:tcBorders>
              <w:tl2br w:val="nil"/>
              <w:tr2bl w:val="nil"/>
            </w:tcBorders>
            <w:vAlign w:val="center"/>
          </w:tcPr>
          <w:p w14:paraId="1C4D0C70">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304165</wp:posOffset>
                      </wp:positionH>
                      <wp:positionV relativeFrom="paragraph">
                        <wp:posOffset>76835</wp:posOffset>
                      </wp:positionV>
                      <wp:extent cx="559435" cy="0"/>
                      <wp:effectExtent l="0" t="12700" r="12065" b="15875"/>
                      <wp:wrapNone/>
                      <wp:docPr id="24" name="AutoShape 226"/>
                      <wp:cNvGraphicFramePr/>
                      <a:graphic xmlns:a="http://schemas.openxmlformats.org/drawingml/2006/main">
                        <a:graphicData uri="http://schemas.microsoft.com/office/word/2010/wordprocessingShape">
                          <wps:wsp>
                            <wps:cNvCnPr>
                              <a:cxnSpLocks noChangeShapeType="1"/>
                            </wps:cNvCnPr>
                            <wps:spPr bwMode="auto">
                              <a:xfrm>
                                <a:off x="0" y="0"/>
                                <a:ext cx="559435" cy="0"/>
                              </a:xfrm>
                              <a:prstGeom prst="straightConnector1">
                                <a:avLst/>
                              </a:prstGeom>
                              <a:noFill/>
                              <a:ln w="25400">
                                <a:solidFill>
                                  <a:srgbClr val="000000"/>
                                </a:solidFill>
                                <a:round/>
                              </a:ln>
                            </wps:spPr>
                            <wps:bodyPr/>
                          </wps:wsp>
                        </a:graphicData>
                      </a:graphic>
                    </wp:anchor>
                  </w:drawing>
                </mc:Choice>
                <mc:Fallback>
                  <w:pict>
                    <v:shape id="AutoShape 226" o:spid="_x0000_s1026" o:spt="32" type="#_x0000_t32" style="position:absolute;left:0pt;margin-left:23.95pt;margin-top:6.05pt;height:0pt;width:44.05pt;z-index:251684864;mso-width-relative:page;mso-height-relative:page;" filled="f" stroked="t" coordsize="21600,21600" o:gfxdata="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NLUBq1AAAAAgBAAAPAAAAAAAAAAEAIAAA&#10;ACIAAABkcnMvZG93bnJldi54bWxQSwECFAAUAAAACACHTuJAEvvo/tcBAAC1AwAADgAAAAAAAAAB&#10;ACAAAAAjAQAAZHJzL2Uyb0RvYy54bWxQSwUGAAAAAAYABgBZAQAAbAUAAAAA&#10;">
                      <v:fill on="f" focussize="0,0"/>
                      <v:stroke weight="2pt" color="#000000" joinstyle="round"/>
                      <v:imagedata o:title=""/>
                      <o:lock v:ext="edit" aspectratio="f"/>
                    </v:shape>
                  </w:pict>
                </mc:Fallback>
              </mc:AlternateContent>
            </w:r>
          </w:p>
        </w:tc>
        <w:tc>
          <w:tcPr>
            <w:tcW w:w="1210" w:type="dxa"/>
            <w:tcBorders>
              <w:tl2br w:val="nil"/>
              <w:tr2bl w:val="nil"/>
            </w:tcBorders>
          </w:tcPr>
          <w:p w14:paraId="52E2E8A6">
            <w:pPr>
              <w:pStyle w:val="34"/>
              <w:rPr>
                <w:color w:val="000000" w:themeColor="text1"/>
                <w14:textFill>
                  <w14:solidFill>
                    <w14:schemeClr w14:val="tx1"/>
                  </w14:solidFill>
                </w14:textFill>
              </w:rPr>
            </w:pPr>
          </w:p>
        </w:tc>
        <w:tc>
          <w:tcPr>
            <w:tcW w:w="1186" w:type="dxa"/>
            <w:tcBorders>
              <w:tl2br w:val="nil"/>
              <w:tr2bl w:val="nil"/>
            </w:tcBorders>
          </w:tcPr>
          <w:p w14:paraId="0DA832F0">
            <w:pPr>
              <w:pStyle w:val="34"/>
              <w:rPr>
                <w:color w:val="000000" w:themeColor="text1"/>
                <w14:textFill>
                  <w14:solidFill>
                    <w14:schemeClr w14:val="tx1"/>
                  </w14:solidFill>
                </w14:textFill>
              </w:rPr>
            </w:pPr>
          </w:p>
        </w:tc>
      </w:tr>
      <w:tr w14:paraId="05F37A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65" w:type="dxa"/>
            <w:tcBorders>
              <w:tl2br w:val="nil"/>
              <w:tr2bl w:val="nil"/>
            </w:tcBorders>
            <w:vAlign w:val="center"/>
          </w:tcPr>
          <w:p w14:paraId="416047C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道路及</w:t>
            </w:r>
            <w:r>
              <w:rPr>
                <w:color w:val="000000" w:themeColor="text1"/>
                <w14:textFill>
                  <w14:solidFill>
                    <w14:schemeClr w14:val="tx1"/>
                  </w14:solidFill>
                </w14:textFill>
              </w:rPr>
              <w:t>硬化</w:t>
            </w:r>
            <w:r>
              <w:rPr>
                <w:rFonts w:hint="eastAsia"/>
                <w:color w:val="000000" w:themeColor="text1"/>
                <w14:textFill>
                  <w14:solidFill>
                    <w14:schemeClr w14:val="tx1"/>
                  </w14:solidFill>
                </w14:textFill>
              </w:rPr>
              <w:t>工程区</w:t>
            </w:r>
            <w:r>
              <w:rPr>
                <w:color w:val="000000" w:themeColor="text1"/>
                <w14:textFill>
                  <w14:solidFill>
                    <w14:schemeClr w14:val="tx1"/>
                  </w14:solidFill>
                </w14:textFill>
              </w:rPr>
              <w:t>施工</w:t>
            </w:r>
          </w:p>
        </w:tc>
        <w:tc>
          <w:tcPr>
            <w:tcW w:w="946" w:type="dxa"/>
            <w:tcBorders>
              <w:tl2br w:val="nil"/>
              <w:tr2bl w:val="nil"/>
            </w:tcBorders>
            <w:vAlign w:val="center"/>
          </w:tcPr>
          <w:p w14:paraId="25AF3108">
            <w:pPr>
              <w:pStyle w:val="34"/>
              <w:rPr>
                <w:color w:val="000000" w:themeColor="text1"/>
                <w14:textFill>
                  <w14:solidFill>
                    <w14:schemeClr w14:val="tx1"/>
                  </w14:solidFill>
                </w14:textFill>
              </w:rPr>
            </w:pPr>
          </w:p>
        </w:tc>
        <w:tc>
          <w:tcPr>
            <w:tcW w:w="991" w:type="dxa"/>
            <w:tcBorders>
              <w:tl2br w:val="nil"/>
              <w:tr2bl w:val="nil"/>
            </w:tcBorders>
          </w:tcPr>
          <w:p w14:paraId="4CF8C42A">
            <w:pPr>
              <w:pStyle w:val="34"/>
              <w:rPr>
                <w:color w:val="000000" w:themeColor="text1"/>
                <w14:textFill>
                  <w14:solidFill>
                    <w14:schemeClr w14:val="tx1"/>
                  </w14:solidFill>
                </w14:textFill>
              </w:rPr>
            </w:pPr>
          </w:p>
        </w:tc>
        <w:tc>
          <w:tcPr>
            <w:tcW w:w="1123" w:type="dxa"/>
            <w:tcBorders>
              <w:tl2br w:val="nil"/>
              <w:tr2bl w:val="nil"/>
            </w:tcBorders>
          </w:tcPr>
          <w:p w14:paraId="7E8A6B4D">
            <w:pPr>
              <w:pStyle w:val="34"/>
              <w:rPr>
                <w:color w:val="000000" w:themeColor="text1"/>
                <w14:textFill>
                  <w14:solidFill>
                    <w14:schemeClr w14:val="tx1"/>
                  </w14:solidFill>
                </w14:textFill>
              </w:rPr>
            </w:pPr>
          </w:p>
        </w:tc>
        <w:tc>
          <w:tcPr>
            <w:tcW w:w="859" w:type="dxa"/>
            <w:tcBorders>
              <w:tl2br w:val="nil"/>
              <w:tr2bl w:val="nil"/>
            </w:tcBorders>
          </w:tcPr>
          <w:p w14:paraId="1F436654">
            <w:pPr>
              <w:pStyle w:val="34"/>
              <w:rPr>
                <w:color w:val="000000" w:themeColor="text1"/>
                <w14:textFill>
                  <w14:solidFill>
                    <w14:schemeClr w14:val="tx1"/>
                  </w14:solidFill>
                </w14:textFill>
              </w:rPr>
            </w:pPr>
          </w:p>
        </w:tc>
        <w:tc>
          <w:tcPr>
            <w:tcW w:w="991" w:type="dxa"/>
            <w:tcBorders>
              <w:tl2br w:val="nil"/>
              <w:tr2bl w:val="nil"/>
            </w:tcBorders>
            <w:vAlign w:val="center"/>
          </w:tcPr>
          <w:p w14:paraId="77B97A01">
            <w:pPr>
              <w:pStyle w:val="34"/>
              <w:rPr>
                <w:color w:val="000000" w:themeColor="text1"/>
                <w14:textFill>
                  <w14:solidFill>
                    <w14:schemeClr w14:val="tx1"/>
                  </w14:solidFill>
                </w14:textFill>
              </w:rPr>
            </w:pPr>
          </w:p>
        </w:tc>
        <w:tc>
          <w:tcPr>
            <w:tcW w:w="1210" w:type="dxa"/>
            <w:tcBorders>
              <w:tl2br w:val="nil"/>
              <w:tr2bl w:val="nil"/>
            </w:tcBorders>
          </w:tcPr>
          <w:p w14:paraId="218A823C">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257810</wp:posOffset>
                      </wp:positionH>
                      <wp:positionV relativeFrom="paragraph">
                        <wp:posOffset>274320</wp:posOffset>
                      </wp:positionV>
                      <wp:extent cx="636270" cy="3175"/>
                      <wp:effectExtent l="0" t="0" r="0" b="0"/>
                      <wp:wrapNone/>
                      <wp:docPr id="25" name="AutoShape 227"/>
                      <wp:cNvGraphicFramePr/>
                      <a:graphic xmlns:a="http://schemas.openxmlformats.org/drawingml/2006/main">
                        <a:graphicData uri="http://schemas.microsoft.com/office/word/2010/wordprocessingShape">
                          <wps:wsp>
                            <wps:cNvCnPr>
                              <a:cxnSpLocks noChangeShapeType="1"/>
                            </wps:cNvCnPr>
                            <wps:spPr bwMode="auto">
                              <a:xfrm>
                                <a:off x="0" y="0"/>
                                <a:ext cx="636270" cy="3175"/>
                              </a:xfrm>
                              <a:prstGeom prst="straightConnector1">
                                <a:avLst/>
                              </a:prstGeom>
                              <a:noFill/>
                              <a:ln w="25400">
                                <a:solidFill>
                                  <a:srgbClr val="000000"/>
                                </a:solidFill>
                                <a:round/>
                              </a:ln>
                            </wps:spPr>
                            <wps:bodyPr/>
                          </wps:wsp>
                        </a:graphicData>
                      </a:graphic>
                    </wp:anchor>
                  </w:drawing>
                </mc:Choice>
                <mc:Fallback>
                  <w:pict>
                    <v:shape id="AutoShape 227" o:spid="_x0000_s1026" o:spt="32" type="#_x0000_t32" style="position:absolute;left:0pt;margin-left:20.3pt;margin-top:21.6pt;height:0.25pt;width:50.1pt;z-index:251685888;mso-width-relative:page;mso-height-relative:page;" filled="f" stroked="t" coordsize="21600,21600" o:gfxdata="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WeQJjWAAAACAEAAA8AAAAAAAAA&#10;AQAgAAAAIgAAAGRycy9kb3ducmV2LnhtbFBLAQIUABQAAAAIAIdO4kB6b6BU2gEAALgDAAAOAAAA&#10;AAAAAAEAIAAAACUBAABkcnMvZTJvRG9jLnhtbFBLBQYAAAAABgAGAFkBAABxBQAAAAA=&#10;">
                      <v:fill on="f" focussize="0,0"/>
                      <v:stroke weight="2pt" color="#000000" joinstyle="round"/>
                      <v:imagedata o:title=""/>
                      <o:lock v:ext="edit" aspectratio="f"/>
                    </v:shape>
                  </w:pict>
                </mc:Fallback>
              </mc:AlternateContent>
            </w:r>
          </w:p>
        </w:tc>
        <w:tc>
          <w:tcPr>
            <w:tcW w:w="1186" w:type="dxa"/>
            <w:tcBorders>
              <w:tl2br w:val="nil"/>
              <w:tr2bl w:val="nil"/>
            </w:tcBorders>
          </w:tcPr>
          <w:p w14:paraId="3B4BBDCE">
            <w:pPr>
              <w:pStyle w:val="34"/>
              <w:rPr>
                <w:color w:val="000000" w:themeColor="text1"/>
                <w14:textFill>
                  <w14:solidFill>
                    <w14:schemeClr w14:val="tx1"/>
                  </w14:solidFill>
                </w14:textFill>
              </w:rPr>
            </w:pPr>
          </w:p>
        </w:tc>
      </w:tr>
      <w:tr w14:paraId="374557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1565" w:type="dxa"/>
            <w:tcBorders>
              <w:tl2br w:val="nil"/>
              <w:tr2bl w:val="nil"/>
            </w:tcBorders>
            <w:vAlign w:val="center"/>
          </w:tcPr>
          <w:p w14:paraId="413A9F9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绿化工程施工</w:t>
            </w:r>
          </w:p>
          <w:p w14:paraId="010A4898">
            <w:pPr>
              <w:pStyle w:val="34"/>
              <w:rPr>
                <w:color w:val="000000" w:themeColor="text1"/>
                <w14:textFill>
                  <w14:solidFill>
                    <w14:schemeClr w14:val="tx1"/>
                  </w14:solidFill>
                </w14:textFill>
              </w:rPr>
            </w:pPr>
          </w:p>
        </w:tc>
        <w:tc>
          <w:tcPr>
            <w:tcW w:w="946" w:type="dxa"/>
            <w:tcBorders>
              <w:tl2br w:val="nil"/>
              <w:tr2bl w:val="nil"/>
            </w:tcBorders>
            <w:vAlign w:val="center"/>
          </w:tcPr>
          <w:p w14:paraId="028F9AAE">
            <w:pPr>
              <w:pStyle w:val="34"/>
              <w:rPr>
                <w:color w:val="000000" w:themeColor="text1"/>
                <w14:textFill>
                  <w14:solidFill>
                    <w14:schemeClr w14:val="tx1"/>
                  </w14:solidFill>
                </w14:textFill>
              </w:rPr>
            </w:pPr>
          </w:p>
        </w:tc>
        <w:tc>
          <w:tcPr>
            <w:tcW w:w="991" w:type="dxa"/>
            <w:tcBorders>
              <w:tl2br w:val="nil"/>
              <w:tr2bl w:val="nil"/>
            </w:tcBorders>
          </w:tcPr>
          <w:p w14:paraId="5A2DC62C">
            <w:pPr>
              <w:pStyle w:val="34"/>
              <w:rPr>
                <w:color w:val="000000" w:themeColor="text1"/>
                <w14:textFill>
                  <w14:solidFill>
                    <w14:schemeClr w14:val="tx1"/>
                  </w14:solidFill>
                </w14:textFill>
              </w:rPr>
            </w:pPr>
          </w:p>
        </w:tc>
        <w:tc>
          <w:tcPr>
            <w:tcW w:w="1123" w:type="dxa"/>
            <w:tcBorders>
              <w:tl2br w:val="nil"/>
              <w:tr2bl w:val="nil"/>
            </w:tcBorders>
          </w:tcPr>
          <w:p w14:paraId="29187DD5">
            <w:pPr>
              <w:pStyle w:val="34"/>
              <w:rPr>
                <w:color w:val="000000" w:themeColor="text1"/>
                <w14:textFill>
                  <w14:solidFill>
                    <w14:schemeClr w14:val="tx1"/>
                  </w14:solidFill>
                </w14:textFill>
              </w:rPr>
            </w:pPr>
          </w:p>
        </w:tc>
        <w:tc>
          <w:tcPr>
            <w:tcW w:w="859" w:type="dxa"/>
            <w:tcBorders>
              <w:tl2br w:val="nil"/>
              <w:tr2bl w:val="nil"/>
            </w:tcBorders>
          </w:tcPr>
          <w:p w14:paraId="2BA01891">
            <w:pPr>
              <w:pStyle w:val="34"/>
              <w:rPr>
                <w:color w:val="000000" w:themeColor="text1"/>
                <w14:textFill>
                  <w14:solidFill>
                    <w14:schemeClr w14:val="tx1"/>
                  </w14:solidFill>
                </w14:textFill>
              </w:rPr>
            </w:pPr>
          </w:p>
        </w:tc>
        <w:tc>
          <w:tcPr>
            <w:tcW w:w="991" w:type="dxa"/>
            <w:tcBorders>
              <w:tl2br w:val="nil"/>
              <w:tr2bl w:val="nil"/>
            </w:tcBorders>
            <w:vAlign w:val="center"/>
          </w:tcPr>
          <w:p w14:paraId="37DB3164">
            <w:pPr>
              <w:pStyle w:val="34"/>
              <w:rPr>
                <w:color w:val="000000" w:themeColor="text1"/>
                <w14:textFill>
                  <w14:solidFill>
                    <w14:schemeClr w14:val="tx1"/>
                  </w14:solidFill>
                </w14:textFill>
              </w:rPr>
            </w:pPr>
          </w:p>
        </w:tc>
        <w:tc>
          <w:tcPr>
            <w:tcW w:w="1210" w:type="dxa"/>
            <w:tcBorders>
              <w:tl2br w:val="nil"/>
              <w:tr2bl w:val="nil"/>
            </w:tcBorders>
          </w:tcPr>
          <w:p w14:paraId="6F02A470">
            <w:pPr>
              <w:pStyle w:val="34"/>
              <w:rPr>
                <w:color w:val="000000" w:themeColor="text1"/>
                <w14:textFill>
                  <w14:solidFill>
                    <w14:schemeClr w14:val="tx1"/>
                  </w14:solidFill>
                </w14:textFill>
              </w:rPr>
            </w:pPr>
          </w:p>
        </w:tc>
        <w:tc>
          <w:tcPr>
            <w:tcW w:w="1186" w:type="dxa"/>
            <w:tcBorders>
              <w:tl2br w:val="nil"/>
              <w:tr2bl w:val="nil"/>
            </w:tcBorders>
          </w:tcPr>
          <w:p w14:paraId="2ED89026">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187960</wp:posOffset>
                      </wp:positionH>
                      <wp:positionV relativeFrom="paragraph">
                        <wp:posOffset>118745</wp:posOffset>
                      </wp:positionV>
                      <wp:extent cx="348615" cy="635"/>
                      <wp:effectExtent l="0" t="0" r="0" b="0"/>
                      <wp:wrapNone/>
                      <wp:docPr id="26" name="AutoShape 228"/>
                      <wp:cNvGraphicFramePr/>
                      <a:graphic xmlns:a="http://schemas.openxmlformats.org/drawingml/2006/main">
                        <a:graphicData uri="http://schemas.microsoft.com/office/word/2010/wordprocessingShape">
                          <wps:wsp>
                            <wps:cNvCnPr>
                              <a:cxnSpLocks noChangeShapeType="1"/>
                            </wps:cNvCnPr>
                            <wps:spPr bwMode="auto">
                              <a:xfrm>
                                <a:off x="0" y="0"/>
                                <a:ext cx="348615" cy="635"/>
                              </a:xfrm>
                              <a:prstGeom prst="straightConnector1">
                                <a:avLst/>
                              </a:prstGeom>
                              <a:noFill/>
                              <a:ln w="25400">
                                <a:solidFill>
                                  <a:srgbClr val="000000"/>
                                </a:solidFill>
                                <a:round/>
                              </a:ln>
                            </wps:spPr>
                            <wps:bodyPr/>
                          </wps:wsp>
                        </a:graphicData>
                      </a:graphic>
                    </wp:anchor>
                  </w:drawing>
                </mc:Choice>
                <mc:Fallback>
                  <w:pict>
                    <v:shape id="AutoShape 228" o:spid="_x0000_s1026" o:spt="32" type="#_x0000_t32" style="position:absolute;left:0pt;margin-left:14.8pt;margin-top:9.35pt;height:0.05pt;width:27.45pt;z-index:251686912;mso-width-relative:page;mso-height-relative:page;" filled="f" stroked="t" coordsize="21600,21600" o:gfxdata="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AbgE8NMAAAAHAQAADwAAAAAAAAABACAA&#10;AAAiAAAAZHJzL2Rvd25yZXYueG1sUEsBAhQAFAAAAAgAh07iQOkcbLnZAQAAtwMAAA4AAAAAAAAA&#10;AQAgAAAAIgEAAGRycy9lMm9Eb2MueG1sUEsFBgAAAAAGAAYAWQEAAG0FAAAAAA==&#10;">
                      <v:fill on="f" focussize="0,0"/>
                      <v:stroke weight="2pt" color="#000000" joinstyle="round"/>
                      <v:imagedata o:title=""/>
                      <o:lock v:ext="edit" aspectratio="f"/>
                    </v:shape>
                  </w:pict>
                </mc:Fallback>
              </mc:AlternateContent>
            </w:r>
          </w:p>
        </w:tc>
      </w:tr>
    </w:tbl>
    <w:p w14:paraId="581F70DA">
      <w:pPr>
        <w:pStyle w:val="3"/>
        <w:rPr>
          <w:color w:val="000000" w:themeColor="text1"/>
          <w14:textFill>
            <w14:solidFill>
              <w14:schemeClr w14:val="tx1"/>
            </w14:solidFill>
          </w14:textFill>
        </w:rPr>
      </w:pPr>
      <w:bookmarkStart w:id="78" w:name="_Toc24715"/>
      <w:r>
        <w:rPr>
          <w:rFonts w:hint="eastAsia"/>
          <w:color w:val="000000" w:themeColor="text1"/>
          <w14:textFill>
            <w14:solidFill>
              <w14:schemeClr w14:val="tx1"/>
            </w14:solidFill>
          </w14:textFill>
        </w:rPr>
        <w:t>2.7自然概况</w:t>
      </w:r>
      <w:bookmarkEnd w:id="78"/>
    </w:p>
    <w:p w14:paraId="493936C2">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2.7.1地质</w:t>
      </w:r>
    </w:p>
    <w:p w14:paraId="32F688F8">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2.7.1.1区域地质构造</w:t>
      </w:r>
    </w:p>
    <w:p w14:paraId="36F1596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场地位于绵阳市高新区，属绵阳帚状构造的西部，褶皱大部分收敛，地层平缓，倾角在2°～8°。根据《绵阳城区1：5万区域地质调查报告》（四川省地质矿产局，1989年），在该场地方圆10km范围无发震断裂。本勘察场区处于新桥场背斜的东南翼，褶皱构造-新桥场背斜：呈北东——南西贯穿境内，轴线走向北50~80°东，其轴部水平，倾角1°～3°。两翼略缓；岩层倾角3～8°，两翼未见发育的压扭性逆断层。场地距离背斜轴部1.5Km。</w:t>
      </w:r>
    </w:p>
    <w:p w14:paraId="64008170">
      <w:pPr>
        <w:ind w:firstLine="48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991100" cy="2453640"/>
            <wp:effectExtent l="9525" t="9525" r="9525" b="13335"/>
            <wp:docPr id="1220063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063120" name="图片 1"/>
                    <pic:cNvPicPr>
                      <a:picLocks noChangeAspect="1"/>
                    </pic:cNvPicPr>
                  </pic:nvPicPr>
                  <pic:blipFill>
                    <a:blip r:embed="rId51"/>
                    <a:stretch>
                      <a:fillRect/>
                    </a:stretch>
                  </pic:blipFill>
                  <pic:spPr>
                    <a:xfrm>
                      <a:off x="0" y="0"/>
                      <a:ext cx="4991533" cy="2453853"/>
                    </a:xfrm>
                    <a:prstGeom prst="rect">
                      <a:avLst/>
                    </a:prstGeom>
                    <a:ln>
                      <a:solidFill>
                        <a:schemeClr val="tx1"/>
                      </a:solidFill>
                    </a:ln>
                  </pic:spPr>
                </pic:pic>
              </a:graphicData>
            </a:graphic>
          </wp:inline>
        </w:drawing>
      </w:r>
    </w:p>
    <w:p w14:paraId="02729389">
      <w:pPr>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图2</w:t>
      </w:r>
      <w:r>
        <w:rPr>
          <w:color w:val="000000" w:themeColor="text1"/>
          <w14:textFill>
            <w14:solidFill>
              <w14:schemeClr w14:val="tx1"/>
            </w14:solidFill>
          </w14:textFill>
        </w:rPr>
        <w:t>.7.1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区域地质构造图</w:t>
      </w:r>
    </w:p>
    <w:p w14:paraId="0092AD3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区构造作用虽使地层发生褶皱，但是未造成规模较大的断裂。区域构造运动早期以北东东向平缓开阔的褶皱为主，较晚时期全区受南北构造的叠加，使北东东向褶皱产生变形，增强了节理的发育程度，全测区发育X扭性节理，一组走向NW30°～50°，另一组走向NE35°～55°。经场区及附近工程地质测绘和调查，场地内代表性岩层产状130°∠3°。</w:t>
      </w:r>
    </w:p>
    <w:p w14:paraId="160AC9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总体来说，区内地质构造较简单，方圆10km无新近断裂构造发育，场地属稳定区。优势发育两组构造裂隙对边坡稳定有一定影响。</w:t>
      </w:r>
    </w:p>
    <w:p w14:paraId="36E7EE60">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2.7.1.2地层岩性</w:t>
      </w:r>
    </w:p>
    <w:p w14:paraId="7AB09B3D">
      <w:pPr>
        <w:autoSpaceDE w:val="0"/>
        <w:autoSpaceDN w:val="0"/>
        <w:ind w:firstLine="480"/>
        <w:rPr>
          <w:rFonts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据区域地质资料和现场钻探揭露，揭露的地层为第四系全新统素填土（Q</w:t>
      </w:r>
      <w:r>
        <w:rPr>
          <w:rFonts w:hint="eastAsia" w:cs="宋体"/>
          <w:color w:val="000000" w:themeColor="text1"/>
          <w:vertAlign w:val="subscript"/>
          <w14:textFill>
            <w14:solidFill>
              <w14:schemeClr w14:val="tx1"/>
            </w14:solidFill>
          </w14:textFill>
        </w:rPr>
        <w:t>4</w:t>
      </w:r>
      <w:r>
        <w:rPr>
          <w:rFonts w:hint="eastAsia" w:cs="宋体"/>
          <w:color w:val="000000" w:themeColor="text1"/>
          <w:vertAlign w:val="superscript"/>
          <w14:textFill>
            <w14:solidFill>
              <w14:schemeClr w14:val="tx1"/>
            </w14:solidFill>
          </w14:textFill>
        </w:rPr>
        <w:t>ml</w:t>
      </w:r>
      <w:r>
        <w:rPr>
          <w:rFonts w:hint="eastAsia" w:cs="宋体"/>
          <w:color w:val="000000" w:themeColor="text1"/>
          <w14:textFill>
            <w14:solidFill>
              <w14:schemeClr w14:val="tx1"/>
            </w14:solidFill>
          </w14:textFill>
        </w:rPr>
        <w:t>）、淤泥质土（Q</w:t>
      </w:r>
      <w:r>
        <w:rPr>
          <w:rFonts w:hint="eastAsia" w:cs="宋体"/>
          <w:color w:val="000000" w:themeColor="text1"/>
          <w:vertAlign w:val="subscript"/>
          <w14:textFill>
            <w14:solidFill>
              <w14:schemeClr w14:val="tx1"/>
            </w14:solidFill>
          </w14:textFill>
        </w:rPr>
        <w:t>4</w:t>
      </w:r>
      <w:r>
        <w:rPr>
          <w:rFonts w:hint="eastAsia" w:cs="宋体"/>
          <w:color w:val="000000" w:themeColor="text1"/>
          <w:vertAlign w:val="superscript"/>
          <w14:textFill>
            <w14:solidFill>
              <w14:schemeClr w14:val="tx1"/>
            </w14:solidFill>
          </w14:textFill>
        </w:rPr>
        <w:t>l</w:t>
      </w:r>
      <w:r>
        <w:rPr>
          <w:rFonts w:hint="eastAsia" w:cs="宋体"/>
          <w:color w:val="000000" w:themeColor="text1"/>
          <w14:textFill>
            <w14:solidFill>
              <w14:schemeClr w14:val="tx1"/>
            </w14:solidFill>
          </w14:textFill>
        </w:rPr>
        <w:t>）、第四系中更新统冰水堆积积层（Q</w:t>
      </w:r>
      <w:r>
        <w:rPr>
          <w:rFonts w:hint="eastAsia" w:cs="宋体"/>
          <w:color w:val="000000" w:themeColor="text1"/>
          <w:vertAlign w:val="subscript"/>
          <w14:textFill>
            <w14:solidFill>
              <w14:schemeClr w14:val="tx1"/>
            </w14:solidFill>
          </w14:textFill>
        </w:rPr>
        <w:t>2</w:t>
      </w:r>
      <w:r>
        <w:rPr>
          <w:rFonts w:hint="eastAsia" w:cs="宋体"/>
          <w:color w:val="000000" w:themeColor="text1"/>
          <w:vertAlign w:val="superscript"/>
          <w14:textFill>
            <w14:solidFill>
              <w14:schemeClr w14:val="tx1"/>
            </w14:solidFill>
          </w14:textFill>
        </w:rPr>
        <w:t>fgl</w:t>
      </w:r>
      <w:r>
        <w:rPr>
          <w:rFonts w:hint="eastAsia" w:cs="宋体"/>
          <w:color w:val="000000" w:themeColor="text1"/>
          <w14:textFill>
            <w14:solidFill>
              <w14:schemeClr w14:val="tx1"/>
            </w14:solidFill>
          </w14:textFill>
        </w:rPr>
        <w:t>）粉质黏土、粘土、混合土和白垩系下统剑阁组（K</w:t>
      </w:r>
      <w:r>
        <w:rPr>
          <w:rFonts w:hint="eastAsia" w:cs="宋体"/>
          <w:color w:val="000000" w:themeColor="text1"/>
          <w:vertAlign w:val="subscript"/>
          <w14:textFill>
            <w14:solidFill>
              <w14:schemeClr w14:val="tx1"/>
            </w14:solidFill>
          </w14:textFill>
        </w:rPr>
        <w:t>1jn</w:t>
      </w:r>
      <w:r>
        <w:rPr>
          <w:rFonts w:hint="eastAsia" w:cs="宋体"/>
          <w:color w:val="000000" w:themeColor="text1"/>
          <w14:textFill>
            <w14:solidFill>
              <w14:schemeClr w14:val="tx1"/>
            </w14:solidFill>
          </w14:textFill>
        </w:rPr>
        <w:t>）砂质泥岩夹泥质砂岩。现对各地层特征描述如下：</w:t>
      </w:r>
    </w:p>
    <w:p w14:paraId="644078AE">
      <w:pPr>
        <w:autoSpaceDE w:val="0"/>
        <w:autoSpaceDN w:val="0"/>
        <w:ind w:firstLine="0" w:firstLineChars="0"/>
        <w:rPr>
          <w:rFonts w:cs="宋体"/>
          <w:b/>
          <w:color w:val="000000" w:themeColor="text1"/>
          <w14:textFill>
            <w14:solidFill>
              <w14:schemeClr w14:val="tx1"/>
            </w14:solidFill>
          </w14:textFill>
        </w:rPr>
      </w:pPr>
      <w:r>
        <w:rPr>
          <w:rFonts w:hint="eastAsia" w:cs="宋体"/>
          <w:b/>
          <w:color w:val="000000" w:themeColor="text1"/>
          <w14:textFill>
            <w14:solidFill>
              <w14:schemeClr w14:val="tx1"/>
            </w14:solidFill>
          </w14:textFill>
        </w:rPr>
        <w:t>（一）第四系全新统人工填土层、湖积层</w:t>
      </w:r>
    </w:p>
    <w:p w14:paraId="18629F6D">
      <w:pPr>
        <w:autoSpaceDE w:val="0"/>
        <w:autoSpaceDN w:val="0"/>
        <w:ind w:firstLine="480"/>
        <w:rPr>
          <w:rFonts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①素填土（Q</w:t>
      </w:r>
      <w:r>
        <w:rPr>
          <w:rFonts w:hint="eastAsia" w:cs="宋体"/>
          <w:color w:val="000000" w:themeColor="text1"/>
          <w:vertAlign w:val="subscript"/>
          <w14:textFill>
            <w14:solidFill>
              <w14:schemeClr w14:val="tx1"/>
            </w14:solidFill>
          </w14:textFill>
        </w:rPr>
        <w:t>4</w:t>
      </w:r>
      <w:r>
        <w:rPr>
          <w:rFonts w:hint="eastAsia" w:cs="宋体"/>
          <w:color w:val="000000" w:themeColor="text1"/>
          <w:vertAlign w:val="superscript"/>
          <w14:textFill>
            <w14:solidFill>
              <w14:schemeClr w14:val="tx1"/>
            </w14:solidFill>
          </w14:textFill>
        </w:rPr>
        <w:t>ml</w:t>
      </w:r>
      <w:r>
        <w:rPr>
          <w:rFonts w:hint="eastAsia" w:cs="宋体"/>
          <w:color w:val="000000" w:themeColor="text1"/>
          <w14:textFill>
            <w14:solidFill>
              <w14:schemeClr w14:val="tx1"/>
            </w14:solidFill>
          </w14:textFill>
        </w:rPr>
        <w:t>）：杂色，松散，局部稍密，有架空现象，稍湿，主要由粘性土、圆砾、卵石漂石组成。卵石漂石占比约50%，粒径0.02~0.35m。硬杂质含量大于25%，性质不均匀。回填时间2~3年，为周边工程开挖碎石土料新近、堆填土，自重固结未完成。重型动力触探平均击数4.0击/10cm。该层在场地内广泛分布，层顶埋深517.35m~527.45m，层厚0.3～9.5m。</w:t>
      </w:r>
    </w:p>
    <w:p w14:paraId="1A8AE7E0">
      <w:pPr>
        <w:ind w:firstLine="480"/>
        <w:rPr>
          <w:color w:val="000000" w:themeColor="text1"/>
          <w14:textFill>
            <w14:solidFill>
              <w14:schemeClr w14:val="tx1"/>
            </w14:solidFill>
          </w14:textFill>
        </w:rPr>
      </w:pPr>
      <w:r>
        <w:rPr>
          <w:rFonts w:hint="eastAsia" w:cs="宋体"/>
          <w:color w:val="000000" w:themeColor="text1"/>
          <w14:textFill>
            <w14:solidFill>
              <w14:schemeClr w14:val="tx1"/>
            </w14:solidFill>
          </w14:textFill>
        </w:rPr>
        <w:t>①</w:t>
      </w:r>
      <w:r>
        <w:rPr>
          <w:color w:val="000000" w:themeColor="text1"/>
          <w14:textFill>
            <w14:solidFill>
              <w14:schemeClr w14:val="tx1"/>
            </w14:solidFill>
          </w14:textFill>
        </w:rPr>
        <w:t>2淤泥质粉质黏土（Q</w:t>
      </w:r>
      <w:r>
        <w:rPr>
          <w:color w:val="000000" w:themeColor="text1"/>
          <w:vertAlign w:val="subscript"/>
          <w14:textFill>
            <w14:solidFill>
              <w14:schemeClr w14:val="tx1"/>
            </w14:solidFill>
          </w14:textFill>
        </w:rPr>
        <w:t>4</w:t>
      </w:r>
      <w:r>
        <w:rPr>
          <w:color w:val="000000" w:themeColor="text1"/>
          <w:vertAlign w:val="superscript"/>
          <w14:textFill>
            <w14:solidFill>
              <w14:schemeClr w14:val="tx1"/>
            </w14:solidFill>
          </w14:textFill>
        </w:rPr>
        <w:t>l</w:t>
      </w:r>
      <w:r>
        <w:rPr>
          <w:color w:val="000000" w:themeColor="text1"/>
          <w14:textFill>
            <w14:solidFill>
              <w14:schemeClr w14:val="tx1"/>
            </w14:solidFill>
          </w14:textFill>
        </w:rPr>
        <w:t>）：灰褐色，流塑状，</w:t>
      </w:r>
      <w:r>
        <w:rPr>
          <w:rFonts w:hint="eastAsia"/>
          <w:color w:val="000000" w:themeColor="text1"/>
          <w14:textFill>
            <w14:solidFill>
              <w14:schemeClr w14:val="tx1"/>
            </w14:solidFill>
          </w14:textFill>
        </w:rPr>
        <w:t>受上覆回填土覆盖压实作用，局部软塑，</w:t>
      </w:r>
      <w:r>
        <w:rPr>
          <w:color w:val="000000" w:themeColor="text1"/>
          <w14:textFill>
            <w14:solidFill>
              <w14:schemeClr w14:val="tx1"/>
            </w14:solidFill>
          </w14:textFill>
        </w:rPr>
        <w:t>味臭、含植物根茎腐殖质，孔隙比1.383，塑性指数Ip=12.6，液性指数IL=1.08，干强度高，韧性中硬，无摇震反应。</w:t>
      </w:r>
      <w:r>
        <w:rPr>
          <w:rFonts w:hint="eastAsia"/>
          <w:color w:val="000000" w:themeColor="text1"/>
          <w14:textFill>
            <w14:solidFill>
              <w14:schemeClr w14:val="tx1"/>
            </w14:solidFill>
          </w14:textFill>
        </w:rPr>
        <w:t>仅在钻孔ZK62、ZK89、ZK114揭露该层，其层顶埋深512.1m~</w:t>
      </w:r>
      <w:r>
        <w:rPr>
          <w:color w:val="000000" w:themeColor="text1"/>
          <w14:textFill>
            <w14:solidFill>
              <w14:schemeClr w14:val="tx1"/>
            </w14:solidFill>
          </w14:textFill>
        </w:rPr>
        <w:t xml:space="preserve"> 522.81</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层厚0.8～1.2m。</w:t>
      </w:r>
    </w:p>
    <w:p w14:paraId="5DEE3698">
      <w:pPr>
        <w:autoSpaceDE w:val="0"/>
        <w:autoSpaceDN w:val="0"/>
        <w:ind w:firstLine="0" w:firstLineChars="0"/>
        <w:rPr>
          <w:rFonts w:cs="宋体"/>
          <w:b/>
          <w:color w:val="000000" w:themeColor="text1"/>
          <w14:textFill>
            <w14:solidFill>
              <w14:schemeClr w14:val="tx1"/>
            </w14:solidFill>
          </w14:textFill>
        </w:rPr>
      </w:pPr>
      <w:r>
        <w:rPr>
          <w:rFonts w:hint="eastAsia" w:cs="宋体"/>
          <w:b/>
          <w:color w:val="000000" w:themeColor="text1"/>
          <w14:textFill>
            <w14:solidFill>
              <w14:schemeClr w14:val="tx1"/>
            </w14:solidFill>
          </w14:textFill>
        </w:rPr>
        <w:t>（二）四系中更新统冰水堆积积层（Q4</w:t>
      </w:r>
      <w:r>
        <w:rPr>
          <w:rFonts w:hint="eastAsia" w:cs="宋体"/>
          <w:b/>
          <w:color w:val="000000" w:themeColor="text1"/>
          <w:vertAlign w:val="superscript"/>
          <w14:textFill>
            <w14:solidFill>
              <w14:schemeClr w14:val="tx1"/>
            </w14:solidFill>
          </w14:textFill>
        </w:rPr>
        <w:t>al</w:t>
      </w:r>
      <w:r>
        <w:rPr>
          <w:rFonts w:hint="eastAsia" w:cs="宋体"/>
          <w:b/>
          <w:color w:val="000000" w:themeColor="text1"/>
          <w14:textFill>
            <w14:solidFill>
              <w14:schemeClr w14:val="tx1"/>
            </w14:solidFill>
          </w14:textFill>
        </w:rPr>
        <w:t xml:space="preserve">） </w:t>
      </w:r>
    </w:p>
    <w:p w14:paraId="16B1443B">
      <w:pPr>
        <w:autoSpaceDE w:val="0"/>
        <w:autoSpaceDN w:val="0"/>
        <w:ind w:firstLine="480"/>
        <w:rPr>
          <w:rFonts w:cs="宋体"/>
          <w:color w:val="000000" w:themeColor="text1"/>
          <w14:textFill>
            <w14:solidFill>
              <w14:schemeClr w14:val="tx1"/>
            </w14:solidFill>
          </w14:textFill>
        </w:rPr>
      </w:pPr>
      <w:r>
        <w:rPr>
          <w:rFonts w:hint="eastAsia" w:cs="宋体"/>
          <w:color w:val="000000" w:themeColor="text1"/>
          <w14:textFill>
            <w14:solidFill>
              <w14:schemeClr w14:val="tx1"/>
            </w14:solidFill>
          </w14:textFill>
        </w:rPr>
        <w:t>②1粉质黏土（Q</w:t>
      </w:r>
      <w:r>
        <w:rPr>
          <w:rFonts w:hint="eastAsia" w:cs="宋体"/>
          <w:color w:val="000000" w:themeColor="text1"/>
          <w:vertAlign w:val="subscript"/>
          <w14:textFill>
            <w14:solidFill>
              <w14:schemeClr w14:val="tx1"/>
            </w14:solidFill>
          </w14:textFill>
        </w:rPr>
        <w:t>2</w:t>
      </w:r>
      <w:r>
        <w:rPr>
          <w:rFonts w:hint="eastAsia" w:cs="宋体"/>
          <w:color w:val="000000" w:themeColor="text1"/>
          <w:vertAlign w:val="superscript"/>
          <w14:textFill>
            <w14:solidFill>
              <w14:schemeClr w14:val="tx1"/>
            </w14:solidFill>
          </w14:textFill>
        </w:rPr>
        <w:t>fgl</w:t>
      </w:r>
      <w:r>
        <w:rPr>
          <w:rFonts w:hint="eastAsia" w:cs="宋体"/>
          <w:color w:val="000000" w:themeColor="text1"/>
          <w14:textFill>
            <w14:solidFill>
              <w14:schemeClr w14:val="tx1"/>
            </w14:solidFill>
          </w14:textFill>
        </w:rPr>
        <w:t>）：灰黄色~黄褐色，可塑~硬塑状，含黑色铁锰质结核，裂隙不发育，无摇震反应，韧性较好，干强度较高，切面较光滑，偶夹少量卵石。该层在场地内广泛分布，层顶埋深510.9m~520.18m，层厚1.1～7.0m。</w:t>
      </w:r>
    </w:p>
    <w:p w14:paraId="29934B33">
      <w:pPr>
        <w:ind w:firstLine="480"/>
        <w:rPr>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②</w:t>
      </w:r>
      <w:r>
        <w:rPr>
          <w:color w:val="000000" w:themeColor="text1"/>
          <w14:textFill>
            <w14:solidFill>
              <w14:schemeClr w14:val="tx1"/>
            </w14:solidFill>
          </w14:textFill>
        </w:rPr>
        <w:t>2黏土（</w:t>
      </w:r>
      <w:r>
        <w:rPr>
          <w:color w:val="000000" w:themeColor="text1"/>
          <w:sz w:val="28"/>
          <w:szCs w:val="28"/>
          <w14:textFill>
            <w14:solidFill>
              <w14:schemeClr w14:val="tx1"/>
            </w14:solidFill>
          </w14:textFill>
        </w:rPr>
        <w:t>Q</w:t>
      </w:r>
      <w:r>
        <w:rPr>
          <w:color w:val="000000" w:themeColor="text1"/>
          <w:sz w:val="28"/>
          <w:szCs w:val="28"/>
          <w:vertAlign w:val="subscript"/>
          <w14:textFill>
            <w14:solidFill>
              <w14:schemeClr w14:val="tx1"/>
            </w14:solidFill>
          </w14:textFill>
        </w:rPr>
        <w:t>2</w:t>
      </w:r>
      <w:r>
        <w:rPr>
          <w:color w:val="000000" w:themeColor="text1"/>
          <w:sz w:val="28"/>
          <w:szCs w:val="28"/>
          <w:vertAlign w:val="superscript"/>
          <w14:textFill>
            <w14:solidFill>
              <w14:schemeClr w14:val="tx1"/>
            </w14:solidFill>
          </w14:textFill>
        </w:rPr>
        <w:t>fgl</w:t>
      </w:r>
      <w:r>
        <w:rPr>
          <w:color w:val="000000" w:themeColor="text1"/>
          <w14:textFill>
            <w14:solidFill>
              <w14:schemeClr w14:val="tx1"/>
            </w14:solidFill>
          </w14:textFill>
        </w:rPr>
        <w:t>）：灰黄色~黄褐色，硬塑~坚硬状，含黑色铁锰质结核，夹灰白色亲水矿物团块，裂隙较发育，无摇震反应，韧性较好，干强度较高，切面较光滑，偶夹少量卵石，</w:t>
      </w:r>
      <w:r>
        <w:rPr>
          <w:rFonts w:hint="eastAsia"/>
          <w:color w:val="000000" w:themeColor="text1"/>
          <w14:textFill>
            <w14:solidFill>
              <w14:schemeClr w14:val="tx1"/>
            </w14:solidFill>
          </w14:textFill>
        </w:rPr>
        <w:t>不具</w:t>
      </w:r>
      <w:r>
        <w:rPr>
          <w:color w:val="000000" w:themeColor="text1"/>
          <w14:textFill>
            <w14:solidFill>
              <w14:schemeClr w14:val="tx1"/>
            </w14:solidFill>
          </w14:textFill>
        </w:rPr>
        <w:t>膨胀性。</w:t>
      </w:r>
      <w:r>
        <w:rPr>
          <w:rFonts w:hint="eastAsia"/>
          <w:color w:val="000000" w:themeColor="text1"/>
          <w14:textFill>
            <w14:solidFill>
              <w14:schemeClr w14:val="tx1"/>
            </w14:solidFill>
          </w14:textFill>
        </w:rPr>
        <w:t>该层在场地内广泛分布，层顶埋深</w:t>
      </w:r>
      <w:r>
        <w:rPr>
          <w:color w:val="000000" w:themeColor="text1"/>
          <w14:textFill>
            <w14:solidFill>
              <w14:schemeClr w14:val="tx1"/>
            </w14:solidFill>
          </w14:textFill>
        </w:rPr>
        <w:t>518.34</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527.35</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层厚0.8～7.0m。</w:t>
      </w:r>
    </w:p>
    <w:p w14:paraId="12B8AD1C">
      <w:pPr>
        <w:ind w:firstLine="480"/>
        <w:rPr>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③</w:t>
      </w:r>
      <w:r>
        <w:rPr>
          <w:color w:val="000000" w:themeColor="text1"/>
          <w14:textFill>
            <w14:solidFill>
              <w14:schemeClr w14:val="tx1"/>
            </w14:solidFill>
          </w14:textFill>
        </w:rPr>
        <w:t>含粘性土卵石（</w:t>
      </w:r>
      <w:r>
        <w:rPr>
          <w:color w:val="000000" w:themeColor="text1"/>
          <w:sz w:val="28"/>
          <w:szCs w:val="28"/>
          <w14:textFill>
            <w14:solidFill>
              <w14:schemeClr w14:val="tx1"/>
            </w14:solidFill>
          </w14:textFill>
        </w:rPr>
        <w:t>Q</w:t>
      </w:r>
      <w:r>
        <w:rPr>
          <w:color w:val="000000" w:themeColor="text1"/>
          <w:sz w:val="28"/>
          <w:szCs w:val="28"/>
          <w:vertAlign w:val="subscript"/>
          <w14:textFill>
            <w14:solidFill>
              <w14:schemeClr w14:val="tx1"/>
            </w14:solidFill>
          </w14:textFill>
        </w:rPr>
        <w:t>2</w:t>
      </w:r>
      <w:r>
        <w:rPr>
          <w:color w:val="000000" w:themeColor="text1"/>
          <w:sz w:val="28"/>
          <w:szCs w:val="28"/>
          <w:vertAlign w:val="superscript"/>
          <w14:textFill>
            <w14:solidFill>
              <w14:schemeClr w14:val="tx1"/>
            </w14:solidFill>
          </w14:textFill>
        </w:rPr>
        <w:t>fgl</w:t>
      </w:r>
      <w:r>
        <w:rPr>
          <w:color w:val="000000" w:themeColor="text1"/>
          <w14:textFill>
            <w14:solidFill>
              <w14:schemeClr w14:val="tx1"/>
            </w14:solidFill>
          </w14:textFill>
        </w:rPr>
        <w:t>）：灰褐～黄灰色，稍湿～饱和，稍密为主，漂石含量约10~15%，漂石粒径20~35cm，最大粒径50cm，卵石含量约40%~45%，粒径2～20cm，圆砾含量约5%~10%，粒径0.2~2cm，母岩成分以风化石英砂岩、花岗岩为主，呈亚圆状，局部扁平状，分选性较差，级配较差，充填物以粘土为主，超重型动力触探平均击数5.2击/10cm。</w:t>
      </w:r>
      <w:r>
        <w:rPr>
          <w:rFonts w:hint="eastAsia"/>
          <w:color w:val="000000" w:themeColor="text1"/>
          <w14:textFill>
            <w14:solidFill>
              <w14:schemeClr w14:val="tx1"/>
            </w14:solidFill>
          </w14:textFill>
        </w:rPr>
        <w:t>该层在场地内广泛分布，层顶埋深</w:t>
      </w:r>
      <w:r>
        <w:rPr>
          <w:color w:val="000000" w:themeColor="text1"/>
          <w14:textFill>
            <w14:solidFill>
              <w14:schemeClr w14:val="tx1"/>
            </w14:solidFill>
          </w14:textFill>
        </w:rPr>
        <w:t>509.26</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521.88</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层厚0.4~2.9m。</w:t>
      </w:r>
    </w:p>
    <w:p w14:paraId="51D5CCE2">
      <w:pPr>
        <w:autoSpaceDE w:val="0"/>
        <w:autoSpaceDN w:val="0"/>
        <w:ind w:firstLine="0" w:firstLineChars="0"/>
        <w:rPr>
          <w:rFonts w:cs="宋体"/>
          <w:b/>
          <w:color w:val="000000" w:themeColor="text1"/>
          <w14:textFill>
            <w14:solidFill>
              <w14:schemeClr w14:val="tx1"/>
            </w14:solidFill>
          </w14:textFill>
        </w:rPr>
      </w:pPr>
      <w:r>
        <w:rPr>
          <w:rFonts w:hint="eastAsia" w:cs="宋体"/>
          <w:b/>
          <w:color w:val="000000" w:themeColor="text1"/>
          <w14:textFill>
            <w14:solidFill>
              <w14:schemeClr w14:val="tx1"/>
            </w14:solidFill>
          </w14:textFill>
        </w:rPr>
        <w:t>（三）白白垩系下统剑阁组（K</w:t>
      </w:r>
      <w:r>
        <w:rPr>
          <w:rFonts w:hint="eastAsia" w:cs="宋体"/>
          <w:b/>
          <w:color w:val="000000" w:themeColor="text1"/>
          <w:vertAlign w:val="subscript"/>
          <w14:textFill>
            <w14:solidFill>
              <w14:schemeClr w14:val="tx1"/>
            </w14:solidFill>
          </w14:textFill>
        </w:rPr>
        <w:t>1jn</w:t>
      </w:r>
      <w:r>
        <w:rPr>
          <w:rFonts w:hint="eastAsia" w:cs="宋体"/>
          <w:b/>
          <w:color w:val="000000" w:themeColor="text1"/>
          <w14:textFill>
            <w14:solidFill>
              <w14:schemeClr w14:val="tx1"/>
            </w14:solidFill>
          </w14:textFill>
        </w:rPr>
        <w:t>）</w:t>
      </w:r>
    </w:p>
    <w:p w14:paraId="1221DF68">
      <w:pPr>
        <w:ind w:firstLine="480"/>
        <w:rPr>
          <w:color w:val="000000" w:themeColor="text1"/>
          <w14:textFill>
            <w14:solidFill>
              <w14:schemeClr w14:val="tx1"/>
            </w14:solidFill>
          </w14:textFill>
        </w:rPr>
      </w:pPr>
      <w:r>
        <w:rPr>
          <w:color w:val="000000" w:themeColor="text1"/>
          <w14:textFill>
            <w14:solidFill>
              <w14:schemeClr w14:val="tx1"/>
            </w14:solidFill>
          </w14:textFill>
        </w:rPr>
        <w:t>砂质泥岩：紫红色，泥质结构，泥质、钙质胶结，薄层状构造，成份以粘土矿物为主，具水平或斜交层理，岩层产状130°</w:t>
      </w:r>
      <w:r>
        <w:rPr>
          <w:rFonts w:hint="eastAsia" w:hAnsi="宋体" w:cs="宋体"/>
          <w:color w:val="000000" w:themeColor="text1"/>
          <w14:textFill>
            <w14:solidFill>
              <w14:schemeClr w14:val="tx1"/>
            </w14:solidFill>
          </w14:textFill>
        </w:rPr>
        <w:t>∠</w:t>
      </w:r>
      <w:r>
        <w:rPr>
          <w:color w:val="000000" w:themeColor="text1"/>
          <w14:textFill>
            <w14:solidFill>
              <w14:schemeClr w14:val="tx1"/>
            </w14:solidFill>
          </w14:textFill>
        </w:rPr>
        <w:t>3°，局部夹砂岩，属极软岩</w:t>
      </w:r>
      <w:r>
        <w:rPr>
          <w:rFonts w:hint="eastAsia"/>
          <w:color w:val="000000" w:themeColor="text1"/>
          <w14:textFill>
            <w14:solidFill>
              <w14:schemeClr w14:val="tx1"/>
            </w14:solidFill>
          </w14:textFill>
        </w:rPr>
        <w:t>，层顶埋深</w:t>
      </w:r>
      <w:r>
        <w:rPr>
          <w:color w:val="000000" w:themeColor="text1"/>
          <w14:textFill>
            <w14:solidFill>
              <w14:schemeClr w14:val="tx1"/>
            </w14:solidFill>
          </w14:textFill>
        </w:rPr>
        <w:t>507.68</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526.83</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。在钻探深度范围内，根据野外鉴别可将其分为风化程度划分为强风化和中风化2个亚层。</w:t>
      </w:r>
    </w:p>
    <w:p w14:paraId="38846270">
      <w:pPr>
        <w:ind w:firstLine="484" w:firstLineChars="202"/>
        <w:rPr>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④</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强风化砂质泥岩：紫红色，岩石组织结构大部分被破坏，风化裂隙、节理发育，易钻进，钻进速度快，岩芯以碎块状、饼状为主，少量呈柱状，一般节长5.0～8.0cm，遇水极易软化，该层分布于基岩表层</w:t>
      </w:r>
      <w:r>
        <w:rPr>
          <w:rFonts w:hint="eastAsia"/>
          <w:color w:val="000000" w:themeColor="text1"/>
          <w14:textFill>
            <w14:solidFill>
              <w14:schemeClr w14:val="tx1"/>
            </w14:solidFill>
          </w14:textFill>
        </w:rPr>
        <w:t>，性质均匀较差</w:t>
      </w:r>
      <w:r>
        <w:rPr>
          <w:color w:val="000000" w:themeColor="text1"/>
          <w14:textFill>
            <w14:solidFill>
              <w14:schemeClr w14:val="tx1"/>
            </w14:solidFill>
          </w14:textFill>
        </w:rPr>
        <w:t>，揭露厚度：2.00～5.20m。岩芯采取率75~90%。</w:t>
      </w:r>
    </w:p>
    <w:p w14:paraId="49C12B5E">
      <w:pPr>
        <w:autoSpaceDE w:val="0"/>
        <w:autoSpaceDN w:val="0"/>
        <w:ind w:firstLine="480"/>
        <w:rPr>
          <w:rFonts w:cs="宋体"/>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④</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中风化砂质泥岩：紫红色，泥质结构，薄~中厚层状构造，裂隙一般发育，结构面较清晰，偶见少量的竖向构造节理，局部夹砂岩，岩体整体较为完整，岩芯呈短柱～柱状，一般节长为6～30cm，最长约35cm，采取率90~98%，RQD=30~45%。该层</w:t>
      </w:r>
      <w:r>
        <w:rPr>
          <w:rFonts w:hint="eastAsia"/>
          <w:color w:val="000000" w:themeColor="text1"/>
          <w14:textFill>
            <w14:solidFill>
              <w14:schemeClr w14:val="tx1"/>
            </w14:solidFill>
          </w14:textFill>
        </w:rPr>
        <w:t>性质均匀，</w:t>
      </w:r>
      <w:r>
        <w:rPr>
          <w:color w:val="000000" w:themeColor="text1"/>
          <w14:textFill>
            <w14:solidFill>
              <w14:schemeClr w14:val="tx1"/>
            </w14:solidFill>
          </w14:textFill>
        </w:rPr>
        <w:t>本次勘察未揭穿，最大揭露厚度17.3m</w:t>
      </w:r>
      <w:r>
        <w:rPr>
          <w:rFonts w:hint="eastAsia" w:cs="宋体"/>
          <w:color w:val="000000" w:themeColor="text1"/>
          <w14:textFill>
            <w14:solidFill>
              <w14:schemeClr w14:val="tx1"/>
            </w14:solidFill>
          </w14:textFill>
        </w:rPr>
        <w:t>。</w:t>
      </w:r>
    </w:p>
    <w:p w14:paraId="12A99655">
      <w:pPr>
        <w:ind w:firstLine="480"/>
        <w:rPr>
          <w:color w:val="000000" w:themeColor="text1"/>
          <w:sz w:val="21"/>
          <w14:textFill>
            <w14:solidFill>
              <w14:schemeClr w14:val="tx1"/>
            </w14:solidFill>
          </w14:textFill>
        </w:rPr>
      </w:pPr>
      <w:r>
        <w:rPr>
          <w:rFonts w:hint="eastAsia" w:hAnsi="宋体" w:cs="宋体"/>
          <w:color w:val="000000" w:themeColor="text1"/>
          <w14:textFill>
            <w14:solidFill>
              <w14:schemeClr w14:val="tx1"/>
            </w14:solidFill>
          </w14:textFill>
        </w:rPr>
        <w:t>⑤</w:t>
      </w:r>
      <w:r>
        <w:rPr>
          <w:color w:val="000000" w:themeColor="text1"/>
          <w14:textFill>
            <w14:solidFill>
              <w14:schemeClr w14:val="tx1"/>
            </w14:solidFill>
          </w14:textFill>
        </w:rPr>
        <w:t>中风化泥质砂岩：灰白色-褐红色，砂质结构，层状结构，主要矿物成分为石英、长石，含少量云母等，岩石组织结构，部分破坏，节理裂隙较发育，裂隙面偶见水锈斑点，锤击声较清脆，为软岩，岩体较完整，岩芯呈柱状、长柱状，节长30.0～50.0cm，最大节长约70.0cm，少量呈块状，为机械破碎，岩芯采取率约 80~95%，局部泥质含量较高，属较软岩。该层</w:t>
      </w:r>
      <w:r>
        <w:rPr>
          <w:rFonts w:hint="eastAsia"/>
          <w:color w:val="000000" w:themeColor="text1"/>
          <w14:textFill>
            <w14:solidFill>
              <w14:schemeClr w14:val="tx1"/>
            </w14:solidFill>
          </w14:textFill>
        </w:rPr>
        <w:t>仅个别孔揭露，性质均匀，</w:t>
      </w:r>
      <w:r>
        <w:rPr>
          <w:color w:val="000000" w:themeColor="text1"/>
          <w14:textFill>
            <w14:solidFill>
              <w14:schemeClr w14:val="tx1"/>
            </w14:solidFill>
          </w14:textFill>
        </w:rPr>
        <w:t>本次揭露厚度2.40~7.80m。</w:t>
      </w:r>
    </w:p>
    <w:p w14:paraId="0EF904E9">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2.7.1.3水文地质</w:t>
      </w:r>
    </w:p>
    <w:p w14:paraId="023E23CF">
      <w:pPr>
        <w:ind w:firstLine="480"/>
        <w:rPr>
          <w:color w:val="000000" w:themeColor="text1"/>
          <w14:textFill>
            <w14:solidFill>
              <w14:schemeClr w14:val="tx1"/>
            </w14:solidFill>
          </w14:textFill>
        </w:rPr>
      </w:pPr>
      <w:r>
        <w:rPr>
          <w:color w:val="000000" w:themeColor="text1"/>
          <w14:textFill>
            <w14:solidFill>
              <w14:schemeClr w14:val="tx1"/>
            </w14:solidFill>
          </w14:textFill>
        </w:rPr>
        <w:t>根据地下水的赋存条件，场地内地下水可分为第四系松散堆积层中的上层滞水、基岩风化裂隙水两种类型。</w:t>
      </w:r>
    </w:p>
    <w:p w14:paraId="24F0626A">
      <w:pPr>
        <w:ind w:firstLine="480"/>
        <w:rPr>
          <w:color w:val="000000" w:themeColor="text1"/>
          <w14:textFill>
            <w14:solidFill>
              <w14:schemeClr w14:val="tx1"/>
            </w14:solidFill>
          </w14:textFill>
        </w:rPr>
      </w:pPr>
      <w:r>
        <w:rPr>
          <w:color w:val="000000" w:themeColor="text1"/>
          <w14:textFill>
            <w14:solidFill>
              <w14:schemeClr w14:val="tx1"/>
            </w14:solidFill>
          </w14:textFill>
        </w:rPr>
        <w:t>（1）上层滞水：第四系松散堆积层上层滞水，一般赋存于填土、含粘性土卵石层中</w:t>
      </w:r>
      <w:r>
        <w:rPr>
          <w:rFonts w:hint="eastAsia"/>
          <w:color w:val="000000" w:themeColor="text1"/>
          <w14:textFill>
            <w14:solidFill>
              <w14:schemeClr w14:val="tx1"/>
            </w14:solidFill>
          </w14:textFill>
        </w:rPr>
        <w:t>，粘土和基岩为隔水层，粘土埋深层顶埋深0.0~2.5m；风化岩顶部埋深0.5~13.6m。该类型水</w:t>
      </w:r>
      <w:r>
        <w:rPr>
          <w:color w:val="000000" w:themeColor="text1"/>
          <w14:textFill>
            <w14:solidFill>
              <w14:schemeClr w14:val="tx1"/>
            </w14:solidFill>
          </w14:textFill>
        </w:rPr>
        <w:t>主要受大气降水、地表径流补给，水量一般较小，水位无规律，无统一的地下水位，在地势低洼区域较富集，本次在钻孔中揭露该层水水位埋深1.6~11.8m，高程510.0~512.6m。水位变化较大，无统一的连通面。</w:t>
      </w:r>
    </w:p>
    <w:p w14:paraId="34FC486A">
      <w:pPr>
        <w:ind w:firstLine="480"/>
        <w:rPr>
          <w:color w:val="000000" w:themeColor="text1"/>
          <w14:textFill>
            <w14:solidFill>
              <w14:schemeClr w14:val="tx1"/>
            </w14:solidFill>
          </w14:textFill>
        </w:rPr>
      </w:pPr>
      <w:r>
        <w:rPr>
          <w:color w:val="000000" w:themeColor="text1"/>
          <w14:textFill>
            <w14:solidFill>
              <w14:schemeClr w14:val="tx1"/>
            </w14:solidFill>
          </w14:textFill>
        </w:rPr>
        <w:t>（2）基岩裂隙水：由于基岩的构造裂隙作用，长期以来形成网络状的构造和裂隙，为地下水的补给、储集、径流创造了良好的通道和空间。其接受大气排水和层间径流的补给，以径流方式排泄，其途径受岩层产状、岩土体构成和地形地貌特征的控制，该类型水水量较贫乏，无统一水位。</w:t>
      </w:r>
    </w:p>
    <w:p w14:paraId="4D72D510">
      <w:pPr>
        <w:ind w:firstLine="480"/>
        <w:rPr>
          <w:color w:val="000000" w:themeColor="text1"/>
          <w14:textFill>
            <w14:solidFill>
              <w14:schemeClr w14:val="tx1"/>
            </w14:solidFill>
          </w14:textFill>
        </w:rPr>
      </w:pPr>
      <w:r>
        <w:rPr>
          <w:color w:val="000000" w:themeColor="text1"/>
          <w14:textFill>
            <w14:solidFill>
              <w14:schemeClr w14:val="tx1"/>
            </w14:solidFill>
          </w14:textFill>
        </w:rPr>
        <w:t>总之：拟建场地丰水期一般出现在7、8、9月份，枯水期12、1、2月份，以8月份地下水位埋深最浅，其余月份为平水期。根据拟建场地水文地质特征结合区域水文地质资料和地方施工经验，建议含粘性土卵石层的综合渗透系数建议15m/d。根据区域水文地质资料，该地区地下水年水位变化幅度在</w:t>
      </w:r>
      <w:r>
        <w:rPr>
          <w:rFonts w:hint="eastAsia"/>
          <w:color w:val="000000" w:themeColor="text1"/>
          <w14:textFill>
            <w14:solidFill>
              <w14:schemeClr w14:val="tx1"/>
            </w14:solidFill>
          </w14:textFill>
        </w:rPr>
        <w:t>1.5</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m左右。</w:t>
      </w:r>
    </w:p>
    <w:p w14:paraId="49649663">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2.7.1.4地震动参数</w:t>
      </w:r>
    </w:p>
    <w:p w14:paraId="32EA2A0F">
      <w:pPr>
        <w:ind w:firstLine="480"/>
        <w:rPr>
          <w:color w:val="000000" w:themeColor="text1"/>
          <w14:textFill>
            <w14:solidFill>
              <w14:schemeClr w14:val="tx1"/>
            </w14:solidFill>
          </w14:textFill>
        </w:rPr>
      </w:pPr>
      <w:r>
        <w:rPr>
          <w:color w:val="000000" w:themeColor="text1"/>
          <w14:textFill>
            <w14:solidFill>
              <w14:schemeClr w14:val="tx1"/>
            </w14:solidFill>
          </w14:textFill>
        </w:rPr>
        <w:t>根据《建筑抗震设计规范》（GB50011-2010）（2016年版）附录A《中国地震动参数区划图》（GB 18306-2015），勘察区行政区划属于四川省绵阳市</w:t>
      </w:r>
      <w:r>
        <w:rPr>
          <w:rFonts w:hint="eastAsia"/>
          <w:color w:val="000000" w:themeColor="text1"/>
          <w14:textFill>
            <w14:solidFill>
              <w14:schemeClr w14:val="tx1"/>
            </w14:solidFill>
          </w14:textFill>
        </w:rPr>
        <w:t>高新</w:t>
      </w:r>
      <w:r>
        <w:rPr>
          <w:color w:val="000000" w:themeColor="text1"/>
          <w14:textFill>
            <w14:solidFill>
              <w14:schemeClr w14:val="tx1"/>
            </w14:solidFill>
          </w14:textFill>
        </w:rPr>
        <w:t>区永兴镇，抗震设防烈度为7度，建筑场地类别为</w:t>
      </w:r>
      <w:r>
        <w:rPr>
          <w:rFonts w:hint="eastAsia"/>
          <w:color w:val="000000" w:themeColor="text1"/>
          <w14:textFill>
            <w14:solidFill>
              <w14:schemeClr w14:val="tx1"/>
            </w14:solidFill>
          </w14:textFill>
        </w:rPr>
        <w:t>Ⅱ</w:t>
      </w:r>
      <w:r>
        <w:rPr>
          <w:color w:val="000000" w:themeColor="text1"/>
          <w14:textFill>
            <w14:solidFill>
              <w14:schemeClr w14:val="tx1"/>
            </w14:solidFill>
          </w14:textFill>
        </w:rPr>
        <w:t>类时，基本地震动峰值加速度值为0.10g，反应谱特征周期为0.40s。设计地震分组为第二组。勘察区未在绵阳市城区地震动参数小区划图范围内</w:t>
      </w:r>
      <w:r>
        <w:rPr>
          <w:rFonts w:hint="eastAsia"/>
          <w:color w:val="000000" w:themeColor="text1"/>
          <w14:textFill>
            <w14:solidFill>
              <w14:schemeClr w14:val="tx1"/>
            </w14:solidFill>
          </w14:textFill>
        </w:rPr>
        <w:t>。</w:t>
      </w:r>
    </w:p>
    <w:p w14:paraId="5C5C4FF9">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2.7.1.5场地稳定性</w:t>
      </w:r>
    </w:p>
    <w:p w14:paraId="5C74EB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根据区域地质构造资料显示，绵阳城区区域地质构造平缓，10km范围无发震断裂分布，因此区域地质构造稳定性良好。</w:t>
      </w:r>
    </w:p>
    <w:p w14:paraId="0C6B667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钻探成果资料表明，项目区地层相对简单，物理力学性质相对稳定，场地稳定性良好。</w:t>
      </w:r>
    </w:p>
    <w:p w14:paraId="0F47856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经现场调绘，场区未见滑坡、崩塌、泥石流等不良地质作用，特殊性岩土主要为人工填土、软弱土，局部厚度较大且分布不均匀，对拟建建筑基础设计、施工有一定影响，建议采取必要的处理措施及科学合理的基础形式。</w:t>
      </w:r>
    </w:p>
    <w:p w14:paraId="45D6936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（4）场地内冰水堆积（</w:t>
      </w:r>
      <w:r>
        <w:rPr>
          <w:color w:val="000000" w:themeColor="text1"/>
          <w:sz w:val="28"/>
          <w:szCs w:val="28"/>
          <w14:textFill>
            <w14:solidFill>
              <w14:schemeClr w14:val="tx1"/>
            </w14:solidFill>
          </w14:textFill>
        </w:rPr>
        <w:t>Q</w:t>
      </w:r>
      <w:r>
        <w:rPr>
          <w:color w:val="000000" w:themeColor="text1"/>
          <w:sz w:val="28"/>
          <w:szCs w:val="28"/>
          <w:vertAlign w:val="subscript"/>
          <w14:textFill>
            <w14:solidFill>
              <w14:schemeClr w14:val="tx1"/>
            </w14:solidFill>
          </w14:textFill>
        </w:rPr>
        <w:t>2</w:t>
      </w:r>
      <w:r>
        <w:rPr>
          <w:color w:val="000000" w:themeColor="text1"/>
          <w:sz w:val="28"/>
          <w:szCs w:val="28"/>
          <w:vertAlign w:val="superscript"/>
          <w14:textFill>
            <w14:solidFill>
              <w14:schemeClr w14:val="tx1"/>
            </w14:solidFill>
          </w14:textFill>
        </w:rPr>
        <w:t>fgl</w:t>
      </w:r>
      <w:r>
        <w:rPr>
          <w:rFonts w:hint="eastAsia"/>
          <w:color w:val="000000" w:themeColor="text1"/>
          <w14:textFill>
            <w14:solidFill>
              <w14:schemeClr w14:val="tx1"/>
            </w14:solidFill>
          </w14:textFill>
        </w:rPr>
        <w:t>）粉质黏土、粘土地层不具膨胀性。</w:t>
      </w:r>
    </w:p>
    <w:p w14:paraId="53E159A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项目区位于低山丘陵区，微地貌为山前坡地地貌。场区中部存在多处已干涸鱼塘、干沟，以上区域易滞留地表水，对5#楼、6#楼及食堂的基础设计、施工有一定影响，建议采相应防、排水措施。</w:t>
      </w:r>
    </w:p>
    <w:p w14:paraId="0738BB27">
      <w:pPr>
        <w:ind w:firstLine="480"/>
        <w:rPr>
          <w:color w:val="000000" w:themeColor="text1"/>
          <w14:textFill>
            <w14:solidFill>
              <w14:schemeClr w14:val="tx1"/>
            </w14:solidFill>
          </w14:textFill>
        </w:rPr>
      </w:pPr>
      <w:r>
        <w:rPr>
          <w:color w:val="000000" w:themeColor="text1"/>
          <w14:textFill>
            <w14:solidFill>
              <w14:schemeClr w14:val="tx1"/>
            </w14:solidFill>
          </w14:textFill>
        </w:rPr>
        <w:t>根据以上分析，场地稳定性良好，较适宜工程建设。</w:t>
      </w:r>
    </w:p>
    <w:p w14:paraId="2670811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2.7.2地貌</w:t>
      </w:r>
    </w:p>
    <w:p w14:paraId="4515127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拟建场地地貌单元属安昌河高阶地-丘陵斜地，孔口标高517.35~527.45m，现状整体地形较为平坦，地势开阔。</w:t>
      </w:r>
    </w:p>
    <w:p w14:paraId="54733C05">
      <w:pPr>
        <w:ind w:firstLine="480"/>
        <w:rPr>
          <w:color w:val="000000" w:themeColor="text1"/>
          <w14:textFill>
            <w14:solidFill>
              <w14:schemeClr w14:val="tx1"/>
            </w14:solidFill>
          </w14:textFill>
        </w:rPr>
      </w:pPr>
      <w:r>
        <w:rPr>
          <w:color w:val="000000" w:themeColor="text1"/>
          <w14:textFill>
            <w14:solidFill>
              <w14:schemeClr w14:val="tx1"/>
            </w14:solidFill>
          </w14:textFill>
        </w:rPr>
        <w:t>项目用地</w:t>
      </w:r>
      <w:r>
        <w:rPr>
          <w:rFonts w:hint="eastAsia"/>
          <w:color w:val="000000" w:themeColor="text1"/>
          <w:lang w:eastAsia="zh-CN"/>
          <w14:textFill>
            <w14:solidFill>
              <w14:schemeClr w14:val="tx1"/>
            </w14:solidFill>
          </w14:textFill>
        </w:rPr>
        <w:t>开工前</w:t>
      </w:r>
      <w:r>
        <w:rPr>
          <w:color w:val="000000" w:themeColor="text1"/>
          <w14:textFill>
            <w14:solidFill>
              <w14:schemeClr w14:val="tx1"/>
            </w14:solidFill>
          </w14:textFill>
        </w:rPr>
        <w:t>为一空地，项目用地东西两侧及北侧均为市政道路。交通便捷，地块性质为工业用地。</w:t>
      </w:r>
      <w:r>
        <w:rPr>
          <w:rFonts w:hint="eastAsia"/>
          <w:color w:val="000000" w:themeColor="text1"/>
          <w14:textFill>
            <w14:solidFill>
              <w14:schemeClr w14:val="tx1"/>
            </w14:solidFill>
          </w14:textFill>
        </w:rPr>
        <w:t>地块表面已长满</w:t>
      </w:r>
      <w:r>
        <w:rPr>
          <w:color w:val="000000" w:themeColor="text1"/>
          <w14:textFill>
            <w14:solidFill>
              <w14:schemeClr w14:val="tx1"/>
            </w14:solidFill>
          </w14:textFill>
        </w:rPr>
        <w:t>荒草，地下无管线穿过。地块西北角有现状水沟与市政道路下的涵洞相接。周围无污染企业、无密集人群，场地周边环境相对简单。</w:t>
      </w:r>
    </w:p>
    <w:p w14:paraId="63D27A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根据设计提供资料：场地整平后与北西侧科技城大道南段存在3~4m高差；与北东侧城市道路存在1~3m高差；与北西侧创新道路存在1~2.5m高差，南西侧为本项目二期场地，整平后可不考虑边坡问题。</w:t>
      </w:r>
    </w:p>
    <w:p w14:paraId="1CA92C24">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2.7.3气象</w:t>
      </w:r>
    </w:p>
    <w:p w14:paraId="210F25B7">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项目区位于北亚热带湿润季风气候区，具有气候温和，四季分明，雨量充沛，夏热冬暖等特点。根据绵阳市气象局多年观测资料统计，多年平均气温16.2℃，多年平均降雨量为 963.2mm，在时空上分布不均匀。时间上表现为年际间变化大，年内降雨时间和降雨量集中，年降雨量最大为1032mm（1981 年），最小位642.8mm（1994年）。降水量集中在每年6月至9月，占全年总降水量的 60-80%。</w:t>
      </w:r>
    </w:p>
    <w:p w14:paraId="5D269FA4">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其中月均降雨量最高为7月，最低为12月。旬均降雨量以7月上旬最高，最低为12月下旬。丰水年与枯水年呈周期性变化。年无霜期275天，年日照时数1306小时，年平均空气相对湿度度79%。多年平均蒸发量 789.4mm，≥10°积温 5320℃，大风日数7d，平均风速 3.2m/s。</w:t>
      </w:r>
      <w:r>
        <w:rPr>
          <w:color w:val="000000" w:themeColor="text1"/>
          <w14:textFill>
            <w14:solidFill>
              <w14:schemeClr w14:val="tx1"/>
            </w14:solidFill>
          </w14:textFill>
        </w:rPr>
        <w:t>项目区气象特征值详见下表2.7-1。</w:t>
      </w:r>
    </w:p>
    <w:p w14:paraId="2DC73F54">
      <w:pPr>
        <w:pStyle w:val="33"/>
        <w:ind w:firstLine="1687" w:firstLineChars="800"/>
        <w:rPr>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14:textFill>
            <w14:solidFill>
              <w14:schemeClr w14:val="tx1"/>
            </w14:solidFill>
          </w14:textFill>
        </w:rPr>
        <w:t xml:space="preserve">.7-1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绵阳市</w:t>
      </w:r>
      <w:r>
        <w:rPr>
          <w:color w:val="000000" w:themeColor="text1"/>
          <w14:textFill>
            <w14:solidFill>
              <w14:schemeClr w14:val="tx1"/>
            </w14:solidFill>
          </w14:textFill>
        </w:rPr>
        <w:t>气象特征表</w:t>
      </w:r>
    </w:p>
    <w:tbl>
      <w:tblPr>
        <w:tblStyle w:val="26"/>
        <w:tblW w:w="329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3680"/>
        <w:gridCol w:w="1933"/>
      </w:tblGrid>
      <w:tr w14:paraId="55681E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3278" w:type="pct"/>
            <w:tcBorders>
              <w:tl2br w:val="nil"/>
              <w:tr2bl w:val="nil"/>
            </w:tcBorders>
            <w:shd w:val="clear" w:color="auto" w:fill="auto"/>
            <w:vAlign w:val="center"/>
          </w:tcPr>
          <w:p w14:paraId="4FD550C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气象要素</w:t>
            </w:r>
          </w:p>
        </w:tc>
        <w:tc>
          <w:tcPr>
            <w:tcW w:w="1722" w:type="pct"/>
            <w:tcBorders>
              <w:tl2br w:val="nil"/>
              <w:tr2bl w:val="nil"/>
            </w:tcBorders>
            <w:shd w:val="clear" w:color="auto" w:fill="auto"/>
            <w:vAlign w:val="center"/>
          </w:tcPr>
          <w:p w14:paraId="4589E02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项目区</w:t>
            </w:r>
          </w:p>
        </w:tc>
      </w:tr>
      <w:tr w14:paraId="145611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16554D7C">
            <w:pPr>
              <w:pStyle w:val="34"/>
              <w:rPr>
                <w:color w:val="000000" w:themeColor="text1"/>
                <w14:textFill>
                  <w14:solidFill>
                    <w14:schemeClr w14:val="tx1"/>
                  </w14:solidFill>
                </w14:textFill>
              </w:rPr>
            </w:pPr>
            <w:r>
              <w:rPr>
                <w:color w:val="000000" w:themeColor="text1"/>
                <w14:textFill>
                  <w14:solidFill>
                    <w14:schemeClr w14:val="tx1"/>
                  </w14:solidFill>
                </w14:textFill>
              </w:rPr>
              <w:t>年平均气温（</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p>
        </w:tc>
        <w:tc>
          <w:tcPr>
            <w:tcW w:w="1722" w:type="pct"/>
            <w:tcBorders>
              <w:tl2br w:val="nil"/>
              <w:tr2bl w:val="nil"/>
            </w:tcBorders>
            <w:shd w:val="clear" w:color="auto" w:fill="auto"/>
            <w:vAlign w:val="center"/>
          </w:tcPr>
          <w:p w14:paraId="618A5E71">
            <w:pPr>
              <w:pStyle w:val="34"/>
              <w:rPr>
                <w:color w:val="000000" w:themeColor="text1"/>
                <w14:textFill>
                  <w14:solidFill>
                    <w14:schemeClr w14:val="tx1"/>
                  </w14:solidFill>
                </w14:textFill>
              </w:rPr>
            </w:pPr>
            <w:r>
              <w:rPr>
                <w:color w:val="000000" w:themeColor="text1"/>
                <w14:textFill>
                  <w14:solidFill>
                    <w14:schemeClr w14:val="tx1"/>
                  </w14:solidFill>
                </w14:textFill>
              </w:rPr>
              <w:t>16.2</w:t>
            </w:r>
          </w:p>
        </w:tc>
      </w:tr>
      <w:tr w14:paraId="64D573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44E796E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≥10℃积温（℃）</w:t>
            </w:r>
          </w:p>
        </w:tc>
        <w:tc>
          <w:tcPr>
            <w:tcW w:w="1722" w:type="pct"/>
            <w:tcBorders>
              <w:tl2br w:val="nil"/>
              <w:tr2bl w:val="nil"/>
            </w:tcBorders>
            <w:shd w:val="clear" w:color="auto" w:fill="auto"/>
            <w:vAlign w:val="center"/>
          </w:tcPr>
          <w:p w14:paraId="0394217D">
            <w:pPr>
              <w:pStyle w:val="34"/>
              <w:rPr>
                <w:color w:val="000000" w:themeColor="text1"/>
                <w14:textFill>
                  <w14:solidFill>
                    <w14:schemeClr w14:val="tx1"/>
                  </w14:solidFill>
                </w14:textFill>
              </w:rPr>
            </w:pPr>
            <w:r>
              <w:rPr>
                <w:color w:val="000000" w:themeColor="text1"/>
                <w14:textFill>
                  <w14:solidFill>
                    <w14:schemeClr w14:val="tx1"/>
                  </w14:solidFill>
                </w14:textFill>
              </w:rPr>
              <w:t>5320</w:t>
            </w:r>
          </w:p>
        </w:tc>
      </w:tr>
      <w:tr w14:paraId="6B22A3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6BBDE7F1">
            <w:pPr>
              <w:pStyle w:val="34"/>
              <w:rPr>
                <w:color w:val="000000" w:themeColor="text1"/>
                <w14:textFill>
                  <w14:solidFill>
                    <w14:schemeClr w14:val="tx1"/>
                  </w14:solidFill>
                </w14:textFill>
              </w:rPr>
            </w:pPr>
            <w:r>
              <w:rPr>
                <w:color w:val="000000" w:themeColor="text1"/>
                <w14:textFill>
                  <w14:solidFill>
                    <w14:schemeClr w14:val="tx1"/>
                  </w14:solidFill>
                </w14:textFill>
              </w:rPr>
              <w:t>年平均相对湿度（%）</w:t>
            </w:r>
          </w:p>
        </w:tc>
        <w:tc>
          <w:tcPr>
            <w:tcW w:w="1722" w:type="pct"/>
            <w:tcBorders>
              <w:tl2br w:val="nil"/>
              <w:tr2bl w:val="nil"/>
            </w:tcBorders>
            <w:shd w:val="clear" w:color="auto" w:fill="auto"/>
            <w:vAlign w:val="center"/>
          </w:tcPr>
          <w:p w14:paraId="6F7809F3">
            <w:pPr>
              <w:pStyle w:val="34"/>
              <w:rPr>
                <w:color w:val="000000" w:themeColor="text1"/>
                <w14:textFill>
                  <w14:solidFill>
                    <w14:schemeClr w14:val="tx1"/>
                  </w14:solidFill>
                </w14:textFill>
              </w:rPr>
            </w:pPr>
            <w:r>
              <w:rPr>
                <w:color w:val="000000" w:themeColor="text1"/>
                <w14:textFill>
                  <w14:solidFill>
                    <w14:schemeClr w14:val="tx1"/>
                  </w14:solidFill>
                </w14:textFill>
              </w:rPr>
              <w:t>79</w:t>
            </w:r>
          </w:p>
        </w:tc>
      </w:tr>
      <w:tr w14:paraId="591C2B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2AF2679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最大年降雨量（m</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p>
        </w:tc>
        <w:tc>
          <w:tcPr>
            <w:tcW w:w="1722" w:type="pct"/>
            <w:tcBorders>
              <w:tl2br w:val="nil"/>
              <w:tr2bl w:val="nil"/>
            </w:tcBorders>
            <w:shd w:val="clear" w:color="auto" w:fill="auto"/>
            <w:vAlign w:val="center"/>
          </w:tcPr>
          <w:p w14:paraId="307D7C74">
            <w:pPr>
              <w:pStyle w:val="34"/>
              <w:rPr>
                <w:color w:val="000000" w:themeColor="text1"/>
                <w14:textFill>
                  <w14:solidFill>
                    <w14:schemeClr w14:val="tx1"/>
                  </w14:solidFill>
                </w14:textFill>
              </w:rPr>
            </w:pPr>
            <w:r>
              <w:rPr>
                <w:color w:val="000000" w:themeColor="text1"/>
                <w14:textFill>
                  <w14:solidFill>
                    <w14:schemeClr w14:val="tx1"/>
                  </w14:solidFill>
                </w14:textFill>
              </w:rPr>
              <w:t>1032mm</w:t>
            </w:r>
          </w:p>
        </w:tc>
      </w:tr>
      <w:tr w14:paraId="4E131D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28AF8BA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最小年降雨量（m</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p>
        </w:tc>
        <w:tc>
          <w:tcPr>
            <w:tcW w:w="1722" w:type="pct"/>
            <w:tcBorders>
              <w:tl2br w:val="nil"/>
              <w:tr2bl w:val="nil"/>
            </w:tcBorders>
            <w:shd w:val="clear" w:color="auto" w:fill="auto"/>
            <w:vAlign w:val="center"/>
          </w:tcPr>
          <w:p w14:paraId="718D200A">
            <w:pPr>
              <w:pStyle w:val="34"/>
              <w:rPr>
                <w:color w:val="000000" w:themeColor="text1"/>
                <w14:textFill>
                  <w14:solidFill>
                    <w14:schemeClr w14:val="tx1"/>
                  </w14:solidFill>
                </w14:textFill>
              </w:rPr>
            </w:pPr>
            <w:r>
              <w:rPr>
                <w:color w:val="000000" w:themeColor="text1"/>
                <w14:textFill>
                  <w14:solidFill>
                    <w14:schemeClr w14:val="tx1"/>
                  </w14:solidFill>
                </w14:textFill>
              </w:rPr>
              <w:t>642.8</w:t>
            </w:r>
          </w:p>
        </w:tc>
      </w:tr>
      <w:tr w14:paraId="178A6E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4E5D2AA0">
            <w:pPr>
              <w:pStyle w:val="34"/>
              <w:rPr>
                <w:color w:val="000000" w:themeColor="text1"/>
                <w14:textFill>
                  <w14:solidFill>
                    <w14:schemeClr w14:val="tx1"/>
                  </w14:solidFill>
                </w14:textFill>
              </w:rPr>
            </w:pPr>
            <w:r>
              <w:rPr>
                <w:color w:val="000000" w:themeColor="text1"/>
                <w14:textFill>
                  <w14:solidFill>
                    <w14:schemeClr w14:val="tx1"/>
                  </w14:solidFill>
                </w14:textFill>
              </w:rPr>
              <w:t>年平均降水量（mm）</w:t>
            </w:r>
          </w:p>
        </w:tc>
        <w:tc>
          <w:tcPr>
            <w:tcW w:w="1722" w:type="pct"/>
            <w:tcBorders>
              <w:tl2br w:val="nil"/>
              <w:tr2bl w:val="nil"/>
            </w:tcBorders>
            <w:shd w:val="clear" w:color="auto" w:fill="auto"/>
            <w:vAlign w:val="center"/>
          </w:tcPr>
          <w:p w14:paraId="67392D44">
            <w:pPr>
              <w:pStyle w:val="34"/>
              <w:rPr>
                <w:color w:val="000000" w:themeColor="text1"/>
                <w14:textFill>
                  <w14:solidFill>
                    <w14:schemeClr w14:val="tx1"/>
                  </w14:solidFill>
                </w14:textFill>
              </w:rPr>
            </w:pPr>
            <w:r>
              <w:rPr>
                <w:bCs/>
                <w:color w:val="000000" w:themeColor="text1"/>
                <w14:textFill>
                  <w14:solidFill>
                    <w14:schemeClr w14:val="tx1"/>
                  </w14:solidFill>
                </w14:textFill>
              </w:rPr>
              <w:t>963.2</w:t>
            </w:r>
          </w:p>
        </w:tc>
      </w:tr>
      <w:tr w14:paraId="4D8B42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34B1CAC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多年平均蒸发量</w:t>
            </w:r>
            <w:r>
              <w:rPr>
                <w:color w:val="000000" w:themeColor="text1"/>
                <w14:textFill>
                  <w14:solidFill>
                    <w14:schemeClr w14:val="tx1"/>
                  </w14:solidFill>
                </w14:textFill>
              </w:rPr>
              <w:t>（mm）</w:t>
            </w:r>
          </w:p>
        </w:tc>
        <w:tc>
          <w:tcPr>
            <w:tcW w:w="1722" w:type="pct"/>
            <w:tcBorders>
              <w:tl2br w:val="nil"/>
              <w:tr2bl w:val="nil"/>
            </w:tcBorders>
            <w:shd w:val="clear" w:color="auto" w:fill="auto"/>
            <w:vAlign w:val="center"/>
          </w:tcPr>
          <w:p w14:paraId="23BE107D">
            <w:pPr>
              <w:pStyle w:val="34"/>
              <w:rPr>
                <w:color w:val="000000" w:themeColor="text1"/>
                <w14:textFill>
                  <w14:solidFill>
                    <w14:schemeClr w14:val="tx1"/>
                  </w14:solidFill>
                </w14:textFill>
              </w:rPr>
            </w:pPr>
            <w:r>
              <w:rPr>
                <w:color w:val="000000" w:themeColor="text1"/>
                <w14:textFill>
                  <w14:solidFill>
                    <w14:schemeClr w14:val="tx1"/>
                  </w14:solidFill>
                </w14:textFill>
              </w:rPr>
              <w:t>789.4</w:t>
            </w:r>
          </w:p>
        </w:tc>
      </w:tr>
      <w:tr w14:paraId="29F146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7273F69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年平均无霜期（天）</w:t>
            </w:r>
          </w:p>
        </w:tc>
        <w:tc>
          <w:tcPr>
            <w:tcW w:w="1722" w:type="pct"/>
            <w:tcBorders>
              <w:tl2br w:val="nil"/>
              <w:tr2bl w:val="nil"/>
            </w:tcBorders>
            <w:shd w:val="clear" w:color="auto" w:fill="auto"/>
            <w:vAlign w:val="center"/>
          </w:tcPr>
          <w:p w14:paraId="65C74D67">
            <w:pPr>
              <w:pStyle w:val="34"/>
              <w:rPr>
                <w:color w:val="000000" w:themeColor="text1"/>
                <w14:textFill>
                  <w14:solidFill>
                    <w14:schemeClr w14:val="tx1"/>
                  </w14:solidFill>
                </w14:textFill>
              </w:rPr>
            </w:pPr>
            <w:r>
              <w:rPr>
                <w:color w:val="000000" w:themeColor="text1"/>
                <w14:textFill>
                  <w14:solidFill>
                    <w14:schemeClr w14:val="tx1"/>
                  </w14:solidFill>
                </w14:textFill>
              </w:rPr>
              <w:t>275</w:t>
            </w:r>
          </w:p>
        </w:tc>
      </w:tr>
      <w:tr w14:paraId="1DEFE3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283427E4">
            <w:pPr>
              <w:pStyle w:val="34"/>
              <w:rPr>
                <w:color w:val="000000" w:themeColor="text1"/>
                <w14:textFill>
                  <w14:solidFill>
                    <w14:schemeClr w14:val="tx1"/>
                  </w14:solidFill>
                </w14:textFill>
              </w:rPr>
            </w:pPr>
            <w:r>
              <w:rPr>
                <w:color w:val="000000" w:themeColor="text1"/>
                <w14:textFill>
                  <w14:solidFill>
                    <w14:schemeClr w14:val="tx1"/>
                  </w14:solidFill>
                </w14:textFill>
              </w:rPr>
              <w:t>年平均风速（m/s）</w:t>
            </w:r>
          </w:p>
        </w:tc>
        <w:tc>
          <w:tcPr>
            <w:tcW w:w="1722" w:type="pct"/>
            <w:tcBorders>
              <w:tl2br w:val="nil"/>
              <w:tr2bl w:val="nil"/>
            </w:tcBorders>
            <w:shd w:val="clear" w:color="auto" w:fill="auto"/>
            <w:vAlign w:val="center"/>
          </w:tcPr>
          <w:p w14:paraId="73EB1E22">
            <w:pPr>
              <w:pStyle w:val="34"/>
              <w:rPr>
                <w:color w:val="000000" w:themeColor="text1"/>
                <w14:textFill>
                  <w14:solidFill>
                    <w14:schemeClr w14:val="tx1"/>
                  </w14:solidFill>
                </w14:textFill>
              </w:rPr>
            </w:pPr>
            <w:r>
              <w:rPr>
                <w:color w:val="000000" w:themeColor="text1"/>
                <w14:textFill>
                  <w14:solidFill>
                    <w14:schemeClr w14:val="tx1"/>
                  </w14:solidFill>
                </w14:textFill>
              </w:rPr>
              <w:t>3.2</w:t>
            </w:r>
          </w:p>
        </w:tc>
      </w:tr>
      <w:tr w14:paraId="275F29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278" w:type="pct"/>
            <w:tcBorders>
              <w:tl2br w:val="nil"/>
              <w:tr2bl w:val="nil"/>
            </w:tcBorders>
            <w:shd w:val="clear" w:color="auto" w:fill="auto"/>
            <w:vAlign w:val="center"/>
          </w:tcPr>
          <w:p w14:paraId="16E66EB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年均日照时数（h）</w:t>
            </w:r>
          </w:p>
        </w:tc>
        <w:tc>
          <w:tcPr>
            <w:tcW w:w="1722" w:type="pct"/>
            <w:tcBorders>
              <w:tl2br w:val="nil"/>
              <w:tr2bl w:val="nil"/>
            </w:tcBorders>
            <w:shd w:val="clear" w:color="auto" w:fill="auto"/>
            <w:vAlign w:val="center"/>
          </w:tcPr>
          <w:p w14:paraId="2132727F">
            <w:pPr>
              <w:pStyle w:val="34"/>
              <w:rPr>
                <w:color w:val="000000" w:themeColor="text1"/>
                <w14:textFill>
                  <w14:solidFill>
                    <w14:schemeClr w14:val="tx1"/>
                  </w14:solidFill>
                </w14:textFill>
              </w:rPr>
            </w:pPr>
            <w:r>
              <w:rPr>
                <w:color w:val="000000" w:themeColor="text1"/>
                <w14:textFill>
                  <w14:solidFill>
                    <w14:schemeClr w14:val="tx1"/>
                  </w14:solidFill>
                </w14:textFill>
              </w:rPr>
              <w:t>1306h</w:t>
            </w:r>
          </w:p>
        </w:tc>
      </w:tr>
    </w:tbl>
    <w:p w14:paraId="08D9823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2.7.4水文</w:t>
      </w:r>
    </w:p>
    <w:p w14:paraId="1B64FBCE">
      <w:pPr>
        <w:ind w:firstLine="480"/>
        <w:rPr>
          <w:color w:val="000000" w:themeColor="text1"/>
          <w14:textFill>
            <w14:solidFill>
              <w14:schemeClr w14:val="tx1"/>
            </w14:solidFill>
          </w14:textFill>
        </w:rPr>
      </w:pPr>
      <w:r>
        <w:rPr>
          <w:color w:val="000000" w:themeColor="text1"/>
          <w14:textFill>
            <w14:solidFill>
              <w14:schemeClr w14:val="tx1"/>
            </w14:solidFill>
          </w14:textFill>
        </w:rPr>
        <w:t>拟建项目地周边河流主要为安昌河、草溪河。</w:t>
      </w:r>
    </w:p>
    <w:p w14:paraId="0C1CCB6E">
      <w:pPr>
        <w:ind w:firstLine="480"/>
        <w:rPr>
          <w:color w:val="000000" w:themeColor="text1"/>
          <w14:textFill>
            <w14:solidFill>
              <w14:schemeClr w14:val="tx1"/>
            </w14:solidFill>
          </w14:textFill>
        </w:rPr>
      </w:pPr>
      <w:r>
        <w:rPr>
          <w:color w:val="000000" w:themeColor="text1"/>
          <w14:textFill>
            <w14:solidFill>
              <w14:schemeClr w14:val="tx1"/>
            </w14:solidFill>
          </w14:textFill>
        </w:rPr>
        <w:t>安昌河，又名安昌江，是中国四川省境内的河流，属于长江流域、嘉陵江水系，流经绵阳市下的北川羌族自治县、安县、涪城区等，是涪江的一条支流，发源于龙门山地，于绵阳市区注入涪江，长度约 90 公里，流域面积 1,180km²，多年平均流速 37m³/s，位于项目地东北侧约2.5km处。</w:t>
      </w:r>
    </w:p>
    <w:p w14:paraId="47B4FA46">
      <w:pPr>
        <w:ind w:firstLine="480"/>
        <w:rPr>
          <w:color w:val="000000" w:themeColor="text1"/>
          <w14:textFill>
            <w14:solidFill>
              <w14:schemeClr w14:val="tx1"/>
            </w14:solidFill>
          </w14:textFill>
        </w:rPr>
      </w:pPr>
      <w:r>
        <w:rPr>
          <w:color w:val="000000" w:themeColor="text1"/>
          <w14:textFill>
            <w14:solidFill>
              <w14:schemeClr w14:val="tx1"/>
            </w14:solidFill>
          </w14:textFill>
        </w:rPr>
        <w:t>草溪河位于科技城集中发展区，在高新区辖区内西起河边镇晏家堰，东至安昌河与草溪河汇合处，目前处于综合整治阶段，位于项目地西侧约0.7km处。</w:t>
      </w:r>
    </w:p>
    <w:p w14:paraId="04F23BEE">
      <w:pPr>
        <w:ind w:firstLine="480"/>
        <w:rPr>
          <w:color w:val="000000" w:themeColor="text1"/>
          <w14:textFill>
            <w14:solidFill>
              <w14:schemeClr w14:val="tx1"/>
            </w14:solidFill>
          </w14:textFill>
        </w:rPr>
      </w:pPr>
      <w:r>
        <w:rPr>
          <w:color w:val="000000" w:themeColor="text1"/>
          <w14:textFill>
            <w14:solidFill>
              <w14:schemeClr w14:val="tx1"/>
            </w14:solidFill>
          </w14:textFill>
        </w:rPr>
        <w:t>拟建项目地位于山体斜坡处，西南侧为沟谷，本次勘察期间，场地已基本回填整平，场地内原有水系基本干涸，未见流水。</w:t>
      </w:r>
    </w:p>
    <w:p w14:paraId="5BF1CD89">
      <w:pPr>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项目区水系见附图2。</w:t>
      </w:r>
    </w:p>
    <w:p w14:paraId="6666E3D3">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2.7.5土壤</w:t>
      </w:r>
    </w:p>
    <w:p w14:paraId="143EF47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区内土壤类型主要为紫色土，其次还有水稻土和黄壤土分布，系侏罗纪、白垩纪紫色砂岩、泥岩风化而成。该土壤内富含钾、磷、钙、镁、铁、锰等元素，土质风化度低，土壤发育浅，肥力高，是分布面积最广的土壤之一。根据现场调查，项目区内平均土层厚度0.</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-0.3m。工程区主要以黄壤土为主，覆土厚度较薄。</w:t>
      </w:r>
    </w:p>
    <w:p w14:paraId="4E343DE9">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2.7.6植被</w:t>
      </w:r>
    </w:p>
    <w:p w14:paraId="4537E996">
      <w:pPr>
        <w:ind w:firstLine="480"/>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项目区植被属于四川省亚热带常绿阔叶林区、四川盆地及川西南山地常绿阔叶林亚带、盆地底部丘陵低山植被地区、盆北高丘植被小区。自然植被的主要林相为柏树林，柏科柏属中的川柏占有林地的绝对优势，其次是恺柏混交林，另有小片马尾松纯林分布;林中灌木多以黄荆、马桑、灌丛等;草本主要有茅草、铁线草、狗尾巴草等植被良好。项目区林草植被覆盖率为</w:t>
      </w:r>
      <w:r>
        <w:rPr>
          <w:bCs/>
          <w:color w:val="000000" w:themeColor="text1"/>
          <w14:textFill>
            <w14:solidFill>
              <w14:schemeClr w14:val="tx1"/>
            </w14:solidFill>
          </w14:textFill>
        </w:rPr>
        <w:t>23</w:t>
      </w:r>
      <w:r>
        <w:rPr>
          <w:rFonts w:hint="eastAsia"/>
          <w:bCs/>
          <w:color w:val="000000" w:themeColor="text1"/>
          <w14:textFill>
            <w14:solidFill>
              <w14:schemeClr w14:val="tx1"/>
            </w14:solidFill>
          </w14:textFill>
        </w:rPr>
        <w:t>%，项目植被主要为野生杂灌、杂草。</w:t>
      </w:r>
    </w:p>
    <w:p w14:paraId="0D090672">
      <w:pPr>
        <w:ind w:firstLine="422"/>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表2</w:t>
      </w:r>
      <w:r>
        <w:rPr>
          <w:b/>
          <w:color w:val="000000" w:themeColor="text1"/>
          <w:sz w:val="21"/>
          <w:szCs w:val="21"/>
          <w14:textFill>
            <w14:solidFill>
              <w14:schemeClr w14:val="tx1"/>
            </w14:solidFill>
          </w14:textFill>
        </w:rPr>
        <w:t>.7</w:t>
      </w:r>
      <w:r>
        <w:rPr>
          <w:rFonts w:hint="eastAsia"/>
          <w:b/>
          <w:color w:val="000000" w:themeColor="text1"/>
          <w:sz w:val="21"/>
          <w:szCs w:val="21"/>
          <w14:textFill>
            <w14:solidFill>
              <w14:schemeClr w14:val="tx1"/>
            </w14:solidFill>
          </w14:textFill>
        </w:rPr>
        <w:t>-</w:t>
      </w:r>
      <w:r>
        <w:rPr>
          <w:b/>
          <w:color w:val="000000" w:themeColor="text1"/>
          <w:sz w:val="21"/>
          <w:szCs w:val="21"/>
          <w14:textFill>
            <w14:solidFill>
              <w14:schemeClr w14:val="tx1"/>
            </w14:solidFill>
          </w14:textFill>
        </w:rPr>
        <w:t xml:space="preserve">2               </w:t>
      </w:r>
      <w:r>
        <w:rPr>
          <w:rFonts w:hint="eastAsia"/>
          <w:b/>
          <w:color w:val="000000" w:themeColor="text1"/>
          <w:sz w:val="21"/>
          <w:szCs w:val="21"/>
          <w14:textFill>
            <w14:solidFill>
              <w14:schemeClr w14:val="tx1"/>
            </w14:solidFill>
          </w14:textFill>
        </w:rPr>
        <w:t>项目区水保措施适生树（适宜乔灌木）</w:t>
      </w:r>
    </w:p>
    <w:tbl>
      <w:tblPr>
        <w:tblStyle w:val="27"/>
        <w:tblW w:w="103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760"/>
        <w:gridCol w:w="1434"/>
        <w:gridCol w:w="4677"/>
        <w:gridCol w:w="1276"/>
        <w:gridCol w:w="1418"/>
      </w:tblGrid>
      <w:tr w14:paraId="47D51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2E490CEC">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序号</w:t>
            </w:r>
          </w:p>
        </w:tc>
        <w:tc>
          <w:tcPr>
            <w:tcW w:w="760" w:type="dxa"/>
            <w:vAlign w:val="center"/>
          </w:tcPr>
          <w:p w14:paraId="4381747A">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中文名</w:t>
            </w:r>
          </w:p>
        </w:tc>
        <w:tc>
          <w:tcPr>
            <w:tcW w:w="1434" w:type="dxa"/>
            <w:vAlign w:val="center"/>
          </w:tcPr>
          <w:p w14:paraId="585E55BE">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拉丁学名</w:t>
            </w:r>
          </w:p>
        </w:tc>
        <w:tc>
          <w:tcPr>
            <w:tcW w:w="4677" w:type="dxa"/>
            <w:vAlign w:val="center"/>
          </w:tcPr>
          <w:p w14:paraId="360C49AB">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生物学特性</w:t>
            </w:r>
          </w:p>
        </w:tc>
        <w:tc>
          <w:tcPr>
            <w:tcW w:w="1276" w:type="dxa"/>
            <w:vAlign w:val="center"/>
          </w:tcPr>
          <w:p w14:paraId="1072F154">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种植区域</w:t>
            </w:r>
          </w:p>
        </w:tc>
        <w:tc>
          <w:tcPr>
            <w:tcW w:w="1418" w:type="dxa"/>
            <w:vAlign w:val="center"/>
          </w:tcPr>
          <w:p w14:paraId="24A0CC94">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生态学特性</w:t>
            </w:r>
          </w:p>
        </w:tc>
      </w:tr>
      <w:tr w14:paraId="718FD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541D6180">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1</w:t>
            </w:r>
          </w:p>
        </w:tc>
        <w:tc>
          <w:tcPr>
            <w:tcW w:w="760" w:type="dxa"/>
            <w:vAlign w:val="center"/>
          </w:tcPr>
          <w:p w14:paraId="06325261">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香樟</w:t>
            </w:r>
          </w:p>
        </w:tc>
        <w:tc>
          <w:tcPr>
            <w:tcW w:w="1434" w:type="dxa"/>
            <w:vAlign w:val="center"/>
          </w:tcPr>
          <w:p w14:paraId="538F15C6">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Cinnamomum</w:t>
            </w:r>
          </w:p>
          <w:p w14:paraId="33433229">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camphora</w:t>
            </w:r>
          </w:p>
        </w:tc>
        <w:tc>
          <w:tcPr>
            <w:tcW w:w="4677" w:type="dxa"/>
            <w:vAlign w:val="center"/>
          </w:tcPr>
          <w:p w14:paraId="33E81195">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樟树喜光，稍耐荫；喜温暖湿润气候，耐寒性不强，对土壤要求不严，较耐水湿，但当移植时要注意保持土壤湿度，水涝容易导致烂根缺氧而死，但不耐干旱、瘠薄和盐碱土。主根发达，深根性，能抗风。萌芽力强，耐修剪。生长速度中等，树形巨大如伞，能遮阴避凉。</w:t>
            </w:r>
          </w:p>
        </w:tc>
        <w:tc>
          <w:tcPr>
            <w:tcW w:w="1276" w:type="dxa"/>
            <w:vAlign w:val="center"/>
          </w:tcPr>
          <w:p w14:paraId="68F74DEE">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行道</w:t>
            </w:r>
          </w:p>
          <w:p w14:paraId="72758444">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树</w:t>
            </w:r>
          </w:p>
        </w:tc>
        <w:tc>
          <w:tcPr>
            <w:tcW w:w="1418" w:type="dxa"/>
            <w:vAlign w:val="center"/>
          </w:tcPr>
          <w:p w14:paraId="2160189F">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常绿大乔木，高</w:t>
            </w:r>
          </w:p>
          <w:p w14:paraId="7E9D3F3C">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可达 30 m，直径可达 3 m，树冠广卵形。</w:t>
            </w:r>
          </w:p>
        </w:tc>
      </w:tr>
      <w:tr w14:paraId="312A9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367E3CEB">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2</w:t>
            </w:r>
          </w:p>
        </w:tc>
        <w:tc>
          <w:tcPr>
            <w:tcW w:w="760" w:type="dxa"/>
            <w:vAlign w:val="center"/>
          </w:tcPr>
          <w:p w14:paraId="23F3DF9C">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朴树</w:t>
            </w:r>
          </w:p>
        </w:tc>
        <w:tc>
          <w:tcPr>
            <w:tcW w:w="1434" w:type="dxa"/>
            <w:vAlign w:val="center"/>
          </w:tcPr>
          <w:p w14:paraId="5DD62E26">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Celtis inensis</w:t>
            </w:r>
          </w:p>
        </w:tc>
        <w:tc>
          <w:tcPr>
            <w:tcW w:w="4677" w:type="dxa"/>
            <w:vAlign w:val="center"/>
          </w:tcPr>
          <w:p w14:paraId="7CB556C5">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多生长于海拔 100-1500 m的路旁、山坡、林缘处 [2] 。喜光，稍耐阴，耐寒。适温暖湿润气候，适生于肥沃平坦之地。对土壤要求不严，有一定耐干旱能力，亦耐水湿及瘠薄土壤，适应力较强。</w:t>
            </w:r>
          </w:p>
        </w:tc>
        <w:tc>
          <w:tcPr>
            <w:tcW w:w="1276" w:type="dxa"/>
            <w:vAlign w:val="center"/>
          </w:tcPr>
          <w:p w14:paraId="53CEC424">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行道</w:t>
            </w:r>
          </w:p>
          <w:p w14:paraId="3E478D98">
            <w:pPr>
              <w:ind w:firstLine="0" w:firstLineChars="0"/>
              <w:jc w:val="center"/>
              <w:rPr>
                <w:b/>
                <w:color w:val="000000" w:themeColor="text1"/>
                <w14:textFill>
                  <w14:solidFill>
                    <w14:schemeClr w14:val="tx1"/>
                  </w14:solidFill>
                </w14:textFill>
              </w:rPr>
            </w:pPr>
            <w:r>
              <w:rPr>
                <w:rFonts w:hint="eastAsia"/>
                <w:bCs/>
                <w:color w:val="000000" w:themeColor="text1"/>
                <w:sz w:val="18"/>
                <w:szCs w:val="18"/>
                <w14:textFill>
                  <w14:solidFill>
                    <w14:schemeClr w14:val="tx1"/>
                  </w14:solidFill>
                </w14:textFill>
              </w:rPr>
              <w:t>树</w:t>
            </w:r>
          </w:p>
        </w:tc>
        <w:tc>
          <w:tcPr>
            <w:tcW w:w="1418" w:type="dxa"/>
            <w:vAlign w:val="center"/>
          </w:tcPr>
          <w:p w14:paraId="5A0FC500">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落叶乔木，高达</w:t>
            </w:r>
          </w:p>
          <w:p w14:paraId="2A058777">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20 m。树皮平滑，灰色</w:t>
            </w:r>
          </w:p>
        </w:tc>
      </w:tr>
      <w:tr w14:paraId="7BDED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4A712CEA">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3</w:t>
            </w:r>
          </w:p>
        </w:tc>
        <w:tc>
          <w:tcPr>
            <w:tcW w:w="760" w:type="dxa"/>
            <w:vAlign w:val="center"/>
          </w:tcPr>
          <w:p w14:paraId="72D4F741">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秋枫</w:t>
            </w:r>
          </w:p>
        </w:tc>
        <w:tc>
          <w:tcPr>
            <w:tcW w:w="1434" w:type="dxa"/>
            <w:vAlign w:val="center"/>
          </w:tcPr>
          <w:p w14:paraId="6F1E682E">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Bischofia javanica</w:t>
            </w:r>
          </w:p>
        </w:tc>
        <w:tc>
          <w:tcPr>
            <w:tcW w:w="4677" w:type="dxa"/>
            <w:vAlign w:val="center"/>
          </w:tcPr>
          <w:p w14:paraId="7C8F9861">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常生于海拔 800 m以下山地潮湿沟谷林中或平原栽培，尤以河边堤岸或行道树为多。幼树稍耐荫，喜水湿，为热带和亚热带常绿季雨林中的主要树种。在土层深厚、湿润肥沃的砂质壤土生长特别良好。</w:t>
            </w:r>
          </w:p>
        </w:tc>
        <w:tc>
          <w:tcPr>
            <w:tcW w:w="1276" w:type="dxa"/>
            <w:vAlign w:val="center"/>
          </w:tcPr>
          <w:p w14:paraId="2BD5C231">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行道</w:t>
            </w:r>
          </w:p>
          <w:p w14:paraId="42879C81">
            <w:pPr>
              <w:ind w:firstLine="0" w:firstLineChars="0"/>
              <w:jc w:val="center"/>
              <w:rPr>
                <w:b/>
                <w:color w:val="000000" w:themeColor="text1"/>
                <w14:textFill>
                  <w14:solidFill>
                    <w14:schemeClr w14:val="tx1"/>
                  </w14:solidFill>
                </w14:textFill>
              </w:rPr>
            </w:pPr>
            <w:r>
              <w:rPr>
                <w:rFonts w:hint="eastAsia"/>
                <w:bCs/>
                <w:color w:val="000000" w:themeColor="text1"/>
                <w:sz w:val="18"/>
                <w:szCs w:val="18"/>
                <w14:textFill>
                  <w14:solidFill>
                    <w14:schemeClr w14:val="tx1"/>
                  </w14:solidFill>
                </w14:textFill>
              </w:rPr>
              <w:t>树</w:t>
            </w:r>
          </w:p>
        </w:tc>
        <w:tc>
          <w:tcPr>
            <w:tcW w:w="1418" w:type="dxa"/>
            <w:vAlign w:val="center"/>
          </w:tcPr>
          <w:p w14:paraId="678BDE5F">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常绿或半常绿大乔木，高达 40m，胸径可达2.3m；树干圆满通直，但分枝低，主干较短</w:t>
            </w:r>
          </w:p>
        </w:tc>
      </w:tr>
      <w:tr w14:paraId="6372B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2EE06CD9">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4</w:t>
            </w:r>
          </w:p>
        </w:tc>
        <w:tc>
          <w:tcPr>
            <w:tcW w:w="760" w:type="dxa"/>
            <w:vAlign w:val="center"/>
          </w:tcPr>
          <w:p w14:paraId="72BC7B33">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红花羊蹄甲</w:t>
            </w:r>
          </w:p>
        </w:tc>
        <w:tc>
          <w:tcPr>
            <w:tcW w:w="1434" w:type="dxa"/>
            <w:vAlign w:val="center"/>
          </w:tcPr>
          <w:p w14:paraId="43CF4079">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Bauhinia blakeana</w:t>
            </w:r>
          </w:p>
        </w:tc>
        <w:tc>
          <w:tcPr>
            <w:tcW w:w="4677" w:type="dxa"/>
            <w:vAlign w:val="center"/>
          </w:tcPr>
          <w:p w14:paraId="00E93FFF">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性喜温暖湿润、多雨的气候、阳光充足的环境，喜土层深厚、肥沃、排水良好的偏酸性砂质壤土</w:t>
            </w:r>
          </w:p>
        </w:tc>
        <w:tc>
          <w:tcPr>
            <w:tcW w:w="1276" w:type="dxa"/>
            <w:vAlign w:val="center"/>
          </w:tcPr>
          <w:p w14:paraId="0F48CB8B">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行道树、观赏</w:t>
            </w:r>
          </w:p>
          <w:p w14:paraId="76B545EC">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风景树</w:t>
            </w:r>
          </w:p>
        </w:tc>
        <w:tc>
          <w:tcPr>
            <w:tcW w:w="1418" w:type="dxa"/>
            <w:vAlign w:val="center"/>
          </w:tcPr>
          <w:p w14:paraId="23485D71">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乔木；分枝多，</w:t>
            </w:r>
          </w:p>
          <w:p w14:paraId="2A358D19">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小枝细长，被毛</w:t>
            </w:r>
          </w:p>
        </w:tc>
      </w:tr>
      <w:tr w14:paraId="0DC92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421AF3E3">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5</w:t>
            </w:r>
          </w:p>
        </w:tc>
        <w:tc>
          <w:tcPr>
            <w:tcW w:w="760" w:type="dxa"/>
            <w:vAlign w:val="center"/>
          </w:tcPr>
          <w:p w14:paraId="1F0B2814">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细</w:t>
            </w:r>
          </w:p>
          <w:p w14:paraId="0A0D4E3A">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叶</w:t>
            </w:r>
          </w:p>
          <w:p w14:paraId="3B7EBB12">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紫</w:t>
            </w:r>
          </w:p>
          <w:p w14:paraId="07DB7DA1">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薇</w:t>
            </w:r>
          </w:p>
        </w:tc>
        <w:tc>
          <w:tcPr>
            <w:tcW w:w="1434" w:type="dxa"/>
            <w:vAlign w:val="center"/>
          </w:tcPr>
          <w:p w14:paraId="0A6F4609">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Lagerstroemia</w:t>
            </w:r>
          </w:p>
          <w:p w14:paraId="69DE71C0">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indica L.</w:t>
            </w:r>
          </w:p>
        </w:tc>
        <w:tc>
          <w:tcPr>
            <w:tcW w:w="4677" w:type="dxa"/>
            <w:vAlign w:val="center"/>
          </w:tcPr>
          <w:p w14:paraId="15BED295">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喜暖湿气候，喜光，略耐阴，喜肥，尤喜深厚肥沃的砂质壤土，好生于略有湿气之地，亦耐干旱，忌涝，忌种在地下水位高的低湿地方，性喜温暖，而能抗寒，萌蘖性强。</w:t>
            </w:r>
          </w:p>
        </w:tc>
        <w:tc>
          <w:tcPr>
            <w:tcW w:w="1276" w:type="dxa"/>
            <w:vAlign w:val="center"/>
          </w:tcPr>
          <w:p w14:paraId="54A14CF5">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观赏</w:t>
            </w:r>
          </w:p>
          <w:p w14:paraId="4B124100">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风景</w:t>
            </w:r>
          </w:p>
          <w:p w14:paraId="1654695B">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树</w:t>
            </w:r>
          </w:p>
        </w:tc>
        <w:tc>
          <w:tcPr>
            <w:tcW w:w="1418" w:type="dxa"/>
            <w:vAlign w:val="center"/>
          </w:tcPr>
          <w:p w14:paraId="3F5A7F0E">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落叶灌木或小乔木，高可达 7 m，叶互生或有时对生，花淡红色或紫色、白色，蒴果椭圆状球形或阔椭圆形</w:t>
            </w:r>
          </w:p>
        </w:tc>
      </w:tr>
      <w:tr w14:paraId="2E7C4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7838214C">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6</w:t>
            </w:r>
          </w:p>
        </w:tc>
        <w:tc>
          <w:tcPr>
            <w:tcW w:w="760" w:type="dxa"/>
            <w:vAlign w:val="center"/>
          </w:tcPr>
          <w:p w14:paraId="1C6266CF">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红枫</w:t>
            </w:r>
          </w:p>
        </w:tc>
        <w:tc>
          <w:tcPr>
            <w:tcW w:w="1434" w:type="dxa"/>
            <w:vAlign w:val="center"/>
          </w:tcPr>
          <w:p w14:paraId="060ED2F8">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Acer palma tum</w:t>
            </w:r>
          </w:p>
        </w:tc>
        <w:tc>
          <w:tcPr>
            <w:tcW w:w="4677" w:type="dxa"/>
            <w:vAlign w:val="center"/>
          </w:tcPr>
          <w:p w14:paraId="01C01750">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亚热带树种，性喜湿润、温暖的气候和凉爽的环境，喜光但忌烈日暴晒，属中性偏阴树种，较耐阴，夏季遇干热风吹袭会造成叶缘枯卷，高温日灼还会损伤树皮，较耐寒，黄河以北，则宜盆栽，冬季入室为宜。</w:t>
            </w:r>
          </w:p>
        </w:tc>
        <w:tc>
          <w:tcPr>
            <w:tcW w:w="1276" w:type="dxa"/>
            <w:vAlign w:val="center"/>
          </w:tcPr>
          <w:p w14:paraId="414B19C6">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观赏风景树</w:t>
            </w:r>
          </w:p>
        </w:tc>
        <w:tc>
          <w:tcPr>
            <w:tcW w:w="1418" w:type="dxa"/>
            <w:vAlign w:val="center"/>
          </w:tcPr>
          <w:p w14:paraId="7928A63B">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落叶小乔木。树</w:t>
            </w:r>
          </w:p>
          <w:p w14:paraId="277E2C75">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高 2-4 m，枝条多细长光滑，偏紫红色</w:t>
            </w:r>
          </w:p>
        </w:tc>
      </w:tr>
      <w:tr w14:paraId="38923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7053D4A5">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7</w:t>
            </w:r>
          </w:p>
        </w:tc>
        <w:tc>
          <w:tcPr>
            <w:tcW w:w="760" w:type="dxa"/>
            <w:vAlign w:val="center"/>
          </w:tcPr>
          <w:p w14:paraId="5B11A604">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海桐球</w:t>
            </w:r>
          </w:p>
        </w:tc>
        <w:tc>
          <w:tcPr>
            <w:tcW w:w="1434" w:type="dxa"/>
            <w:vAlign w:val="center"/>
          </w:tcPr>
          <w:p w14:paraId="4F1ACCD5">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Pittosporum</w:t>
            </w:r>
          </w:p>
          <w:p w14:paraId="5230D800">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tobira</w:t>
            </w:r>
          </w:p>
        </w:tc>
        <w:tc>
          <w:tcPr>
            <w:tcW w:w="4677" w:type="dxa"/>
            <w:vAlign w:val="center"/>
          </w:tcPr>
          <w:p w14:paraId="36DB62EC">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喜温暖湿润的海洋性气候，喜光，亦较耐荫。对土壤要求不严，粘土、沙土、偏碱性土及中性土均能适应，萌芽力强，为中性树种，在阳光下及半阴处均能良好生长。</w:t>
            </w:r>
          </w:p>
        </w:tc>
        <w:tc>
          <w:tcPr>
            <w:tcW w:w="1276" w:type="dxa"/>
            <w:vAlign w:val="center"/>
          </w:tcPr>
          <w:p w14:paraId="196ED94B">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绿篱</w:t>
            </w:r>
          </w:p>
        </w:tc>
        <w:tc>
          <w:tcPr>
            <w:tcW w:w="1418" w:type="dxa"/>
            <w:vAlign w:val="center"/>
          </w:tcPr>
          <w:p w14:paraId="4C92D8C1">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常绿灌木或小乔木，高 2～6m；树冠球形。</w:t>
            </w:r>
          </w:p>
        </w:tc>
      </w:tr>
      <w:tr w14:paraId="45F69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5CEF705B">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8</w:t>
            </w:r>
          </w:p>
        </w:tc>
        <w:tc>
          <w:tcPr>
            <w:tcW w:w="760" w:type="dxa"/>
            <w:vAlign w:val="center"/>
          </w:tcPr>
          <w:p w14:paraId="68B633B7">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红叶石楠</w:t>
            </w:r>
          </w:p>
        </w:tc>
        <w:tc>
          <w:tcPr>
            <w:tcW w:w="1434" w:type="dxa"/>
            <w:vAlign w:val="center"/>
          </w:tcPr>
          <w:p w14:paraId="30EAD976">
            <w:pPr>
              <w:ind w:firstLine="0" w:firstLineChars="0"/>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Photinia× fraseri</w:t>
            </w:r>
          </w:p>
          <w:p w14:paraId="3CA53F83">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Dress</w:t>
            </w:r>
          </w:p>
        </w:tc>
        <w:tc>
          <w:tcPr>
            <w:tcW w:w="4677" w:type="dxa"/>
            <w:vAlign w:val="center"/>
          </w:tcPr>
          <w:p w14:paraId="2A824E8C">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温暖潮湿的环境生长良好。但是在直射光照下，色彩更为鲜艳。同时，它也有极强的抗阴能力和抗干旱能力。</w:t>
            </w:r>
          </w:p>
        </w:tc>
        <w:tc>
          <w:tcPr>
            <w:tcW w:w="1276" w:type="dxa"/>
            <w:vAlign w:val="center"/>
          </w:tcPr>
          <w:p w14:paraId="640C0F0C">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绿篱</w:t>
            </w:r>
          </w:p>
        </w:tc>
        <w:tc>
          <w:tcPr>
            <w:tcW w:w="1418" w:type="dxa"/>
            <w:vAlign w:val="center"/>
          </w:tcPr>
          <w:p w14:paraId="3DAA366C">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常绿小乔木或灌木，乔木高 6-15m，灌木高1.5—2m</w:t>
            </w:r>
          </w:p>
        </w:tc>
      </w:tr>
      <w:tr w14:paraId="385D7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Align w:val="center"/>
          </w:tcPr>
          <w:p w14:paraId="204F4E47">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9</w:t>
            </w:r>
          </w:p>
        </w:tc>
        <w:tc>
          <w:tcPr>
            <w:tcW w:w="760" w:type="dxa"/>
            <w:vAlign w:val="center"/>
          </w:tcPr>
          <w:p w14:paraId="1D7AC0AD">
            <w:pPr>
              <w:ind w:firstLine="0" w:firstLineChars="0"/>
              <w:rPr>
                <w:bCs/>
                <w:color w:val="000000" w:themeColor="text1"/>
                <w:sz w:val="18"/>
                <w:szCs w:val="18"/>
                <w14:textFill>
                  <w14:solidFill>
                    <w14:schemeClr w14:val="tx1"/>
                  </w14:solidFill>
                </w14:textFill>
              </w:rPr>
            </w:pPr>
            <w:bookmarkStart w:id="79" w:name="_Hlk101882424"/>
            <w:r>
              <w:rPr>
                <w:rFonts w:hint="eastAsia"/>
                <w:bCs/>
                <w:color w:val="000000" w:themeColor="text1"/>
                <w:sz w:val="18"/>
                <w:szCs w:val="18"/>
                <w14:textFill>
                  <w14:solidFill>
                    <w14:schemeClr w14:val="tx1"/>
                  </w14:solidFill>
                </w14:textFill>
              </w:rPr>
              <w:t>凤尾竹</w:t>
            </w:r>
            <w:bookmarkEnd w:id="79"/>
          </w:p>
        </w:tc>
        <w:tc>
          <w:tcPr>
            <w:tcW w:w="1434" w:type="dxa"/>
            <w:vAlign w:val="center"/>
          </w:tcPr>
          <w:p w14:paraId="093E803F">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Bambusa</w:t>
            </w:r>
          </w:p>
          <w:p w14:paraId="3DCAAABB">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multiplex cv.</w:t>
            </w:r>
          </w:p>
          <w:p w14:paraId="2304AA77">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Fernleaf</w:t>
            </w:r>
          </w:p>
        </w:tc>
        <w:tc>
          <w:tcPr>
            <w:tcW w:w="4677" w:type="dxa"/>
            <w:vAlign w:val="center"/>
          </w:tcPr>
          <w:p w14:paraId="050C6B9B">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凤尾竹喜酸性、微酸性或中性土壤</w:t>
            </w:r>
          </w:p>
        </w:tc>
        <w:tc>
          <w:tcPr>
            <w:tcW w:w="1276" w:type="dxa"/>
            <w:vAlign w:val="center"/>
          </w:tcPr>
          <w:p w14:paraId="4888BAA7">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绿篱</w:t>
            </w:r>
          </w:p>
        </w:tc>
        <w:tc>
          <w:tcPr>
            <w:tcW w:w="1418" w:type="dxa"/>
            <w:vAlign w:val="center"/>
          </w:tcPr>
          <w:p w14:paraId="406D6BFD">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植株较高大，杆</w:t>
            </w:r>
          </w:p>
          <w:p w14:paraId="40D4A226">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高可达 6 m，竿中空，小枝稍下弯，下部挺直，绿色</w:t>
            </w:r>
          </w:p>
        </w:tc>
      </w:tr>
    </w:tbl>
    <w:p w14:paraId="73FCC67F">
      <w:pPr>
        <w:ind w:firstLine="422"/>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表2</w:t>
      </w:r>
      <w:r>
        <w:rPr>
          <w:b/>
          <w:color w:val="000000" w:themeColor="text1"/>
          <w:sz w:val="21"/>
          <w:szCs w:val="21"/>
          <w14:textFill>
            <w14:solidFill>
              <w14:schemeClr w14:val="tx1"/>
            </w14:solidFill>
          </w14:textFill>
        </w:rPr>
        <w:t>.7</w:t>
      </w:r>
      <w:r>
        <w:rPr>
          <w:rFonts w:hint="eastAsia"/>
          <w:b/>
          <w:color w:val="000000" w:themeColor="text1"/>
          <w:sz w:val="21"/>
          <w:szCs w:val="21"/>
          <w14:textFill>
            <w14:solidFill>
              <w14:schemeClr w14:val="tx1"/>
            </w14:solidFill>
          </w14:textFill>
        </w:rPr>
        <w:t>-</w:t>
      </w:r>
      <w:r>
        <w:rPr>
          <w:b/>
          <w:color w:val="000000" w:themeColor="text1"/>
          <w:sz w:val="21"/>
          <w:szCs w:val="21"/>
          <w14:textFill>
            <w14:solidFill>
              <w14:schemeClr w14:val="tx1"/>
            </w14:solidFill>
          </w14:textFill>
        </w:rPr>
        <w:t xml:space="preserve">3              </w:t>
      </w:r>
      <w:r>
        <w:rPr>
          <w:rFonts w:hint="eastAsia"/>
          <w:b/>
          <w:color w:val="000000" w:themeColor="text1"/>
          <w:sz w:val="21"/>
          <w:szCs w:val="21"/>
          <w14:textFill>
            <w14:solidFill>
              <w14:schemeClr w14:val="tx1"/>
            </w14:solidFill>
          </w14:textFill>
        </w:rPr>
        <w:t>项目区水保措施适生草种</w:t>
      </w:r>
    </w:p>
    <w:tbl>
      <w:tblPr>
        <w:tblStyle w:val="27"/>
        <w:tblW w:w="103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916"/>
        <w:gridCol w:w="1806"/>
        <w:gridCol w:w="2949"/>
        <w:gridCol w:w="992"/>
        <w:gridCol w:w="3099"/>
      </w:tblGrid>
      <w:tr w14:paraId="45F56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4" w:type="dxa"/>
            <w:vAlign w:val="center"/>
          </w:tcPr>
          <w:p w14:paraId="4357E7BA">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序号</w:t>
            </w:r>
          </w:p>
        </w:tc>
        <w:tc>
          <w:tcPr>
            <w:tcW w:w="916" w:type="dxa"/>
            <w:vAlign w:val="center"/>
          </w:tcPr>
          <w:p w14:paraId="1E61B280">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中文名</w:t>
            </w:r>
          </w:p>
        </w:tc>
        <w:tc>
          <w:tcPr>
            <w:tcW w:w="1806" w:type="dxa"/>
            <w:vAlign w:val="center"/>
          </w:tcPr>
          <w:p w14:paraId="25098981">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拉丁学名</w:t>
            </w:r>
          </w:p>
        </w:tc>
        <w:tc>
          <w:tcPr>
            <w:tcW w:w="2949" w:type="dxa"/>
            <w:vAlign w:val="center"/>
          </w:tcPr>
          <w:p w14:paraId="79ECEBC2">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生物学特性</w:t>
            </w:r>
          </w:p>
        </w:tc>
        <w:tc>
          <w:tcPr>
            <w:tcW w:w="992" w:type="dxa"/>
            <w:vAlign w:val="center"/>
          </w:tcPr>
          <w:p w14:paraId="111D5FC6">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种植区域</w:t>
            </w:r>
          </w:p>
        </w:tc>
        <w:tc>
          <w:tcPr>
            <w:tcW w:w="3099" w:type="dxa"/>
            <w:vAlign w:val="center"/>
          </w:tcPr>
          <w:p w14:paraId="2EEFF0CB">
            <w:pPr>
              <w:ind w:firstLine="0" w:firstLineChars="0"/>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生态学特性</w:t>
            </w:r>
          </w:p>
        </w:tc>
      </w:tr>
      <w:tr w14:paraId="1CFEF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4" w:type="dxa"/>
            <w:vAlign w:val="center"/>
          </w:tcPr>
          <w:p w14:paraId="72BB8389">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1</w:t>
            </w:r>
          </w:p>
        </w:tc>
        <w:tc>
          <w:tcPr>
            <w:tcW w:w="916" w:type="dxa"/>
            <w:vAlign w:val="center"/>
          </w:tcPr>
          <w:p w14:paraId="1EB20E91">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肾蕨</w:t>
            </w:r>
          </w:p>
        </w:tc>
        <w:tc>
          <w:tcPr>
            <w:tcW w:w="1806" w:type="dxa"/>
            <w:vAlign w:val="center"/>
          </w:tcPr>
          <w:p w14:paraId="2FE58474">
            <w:pPr>
              <w:ind w:firstLine="0" w:firstLineChars="0"/>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Nephrolepisauriculata</w:t>
            </w:r>
          </w:p>
          <w:p w14:paraId="13171D53">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（L.）Trimen</w:t>
            </w:r>
          </w:p>
        </w:tc>
        <w:tc>
          <w:tcPr>
            <w:tcW w:w="2949" w:type="dxa"/>
            <w:vAlign w:val="center"/>
          </w:tcPr>
          <w:p w14:paraId="78CCC20E">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喜温暖潮湿的环境，生长适温为 16℃-25℃，冬季不得低于10℃。</w:t>
            </w:r>
          </w:p>
        </w:tc>
        <w:tc>
          <w:tcPr>
            <w:tcW w:w="992" w:type="dxa"/>
            <w:vAlign w:val="center"/>
          </w:tcPr>
          <w:p w14:paraId="623D892C">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绿篱</w:t>
            </w:r>
          </w:p>
        </w:tc>
        <w:tc>
          <w:tcPr>
            <w:tcW w:w="3099" w:type="dxa"/>
            <w:vAlign w:val="center"/>
          </w:tcPr>
          <w:p w14:paraId="6DC44103">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附生或土生植物。根状茎直立，被蓬松的淡棕色长钻形鳞片，下部有粗铁丝状的匍匐茎向四方横展，匍匐茎棕褐色，粗约 1 毫m，长达30 厘m，不分枝，疏被鳞片，有纤细的褐棕色须根；匍匐茎上生有近圆形的块茎，直径 1-1.5厘m，密被与根状茎上同样的鳞片。</w:t>
            </w:r>
          </w:p>
        </w:tc>
      </w:tr>
      <w:tr w14:paraId="6F7BE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4" w:type="dxa"/>
            <w:vAlign w:val="center"/>
          </w:tcPr>
          <w:p w14:paraId="7D32A0D2">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2</w:t>
            </w:r>
          </w:p>
        </w:tc>
        <w:tc>
          <w:tcPr>
            <w:tcW w:w="916" w:type="dxa"/>
            <w:vAlign w:val="center"/>
          </w:tcPr>
          <w:p w14:paraId="1A50810B">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鸭脚木</w:t>
            </w:r>
          </w:p>
        </w:tc>
        <w:tc>
          <w:tcPr>
            <w:tcW w:w="1806" w:type="dxa"/>
            <w:vAlign w:val="center"/>
          </w:tcPr>
          <w:p w14:paraId="1D733414">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Schefflera octophylla</w:t>
            </w:r>
          </w:p>
          <w:p w14:paraId="67A195C4">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(Lour.) Harms</w:t>
            </w:r>
          </w:p>
        </w:tc>
        <w:tc>
          <w:tcPr>
            <w:tcW w:w="2949" w:type="dxa"/>
            <w:vAlign w:val="center"/>
          </w:tcPr>
          <w:p w14:paraId="3CFB6A61">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每年 11 月至翌年 2 月进行扦插，可挖掘树桩上苗盆栽，放置在遮荫通风处，正常幼苗迅速生长</w:t>
            </w:r>
          </w:p>
        </w:tc>
        <w:tc>
          <w:tcPr>
            <w:tcW w:w="992" w:type="dxa"/>
            <w:vAlign w:val="center"/>
          </w:tcPr>
          <w:p w14:paraId="142CCD7A">
            <w:pPr>
              <w:ind w:firstLine="0" w:firstLineChars="0"/>
              <w:jc w:val="center"/>
              <w:rPr>
                <w:b/>
                <w:color w:val="000000" w:themeColor="text1"/>
                <w14:textFill>
                  <w14:solidFill>
                    <w14:schemeClr w14:val="tx1"/>
                  </w14:solidFill>
                </w14:textFill>
              </w:rPr>
            </w:pPr>
            <w:r>
              <w:rPr>
                <w:rFonts w:hint="eastAsia"/>
                <w:bCs/>
                <w:color w:val="000000" w:themeColor="text1"/>
                <w:sz w:val="18"/>
                <w:szCs w:val="18"/>
                <w14:textFill>
                  <w14:solidFill>
                    <w14:schemeClr w14:val="tx1"/>
                  </w14:solidFill>
                </w14:textFill>
              </w:rPr>
              <w:t>绿篱</w:t>
            </w:r>
          </w:p>
        </w:tc>
        <w:tc>
          <w:tcPr>
            <w:tcW w:w="3099" w:type="dxa"/>
            <w:vAlign w:val="center"/>
          </w:tcPr>
          <w:p w14:paraId="15D38AAE">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常绿小乔木或灌木。分枝多，枝条紧密。掌状复叶，小叶 5-8 枚，叶片浓绿，有光泽。</w:t>
            </w:r>
          </w:p>
        </w:tc>
      </w:tr>
      <w:tr w14:paraId="7A7C8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4" w:type="dxa"/>
            <w:vAlign w:val="center"/>
          </w:tcPr>
          <w:p w14:paraId="7E9AA51E">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3</w:t>
            </w:r>
          </w:p>
        </w:tc>
        <w:tc>
          <w:tcPr>
            <w:tcW w:w="916" w:type="dxa"/>
            <w:vAlign w:val="center"/>
          </w:tcPr>
          <w:p w14:paraId="0DBD5EDF">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红花满天星</w:t>
            </w:r>
          </w:p>
        </w:tc>
        <w:tc>
          <w:tcPr>
            <w:tcW w:w="1806" w:type="dxa"/>
            <w:vAlign w:val="center"/>
          </w:tcPr>
          <w:p w14:paraId="34ED44F0">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Gypsophila paniculata L.</w:t>
            </w:r>
          </w:p>
        </w:tc>
        <w:tc>
          <w:tcPr>
            <w:tcW w:w="2949" w:type="dxa"/>
            <w:vAlign w:val="center"/>
          </w:tcPr>
          <w:p w14:paraId="0D7A804F">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生于海拔 1 100-1 500 m河滩、草地、固定沙丘、石质山坡及农田中</w:t>
            </w:r>
          </w:p>
        </w:tc>
        <w:tc>
          <w:tcPr>
            <w:tcW w:w="992" w:type="dxa"/>
            <w:vAlign w:val="center"/>
          </w:tcPr>
          <w:p w14:paraId="2F99175D">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绿篱</w:t>
            </w:r>
          </w:p>
        </w:tc>
        <w:tc>
          <w:tcPr>
            <w:tcW w:w="3099" w:type="dxa"/>
            <w:vAlign w:val="center"/>
          </w:tcPr>
          <w:p w14:paraId="1F221B43">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多年生草本，高 30-80厘m。根粗壮。茎单生，稀数个丛生，直立，多分枝，无毛或下部被腺毛。</w:t>
            </w:r>
          </w:p>
        </w:tc>
      </w:tr>
      <w:tr w14:paraId="41A91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4" w:hRule="atLeast"/>
          <w:jc w:val="center"/>
        </w:trPr>
        <w:tc>
          <w:tcPr>
            <w:tcW w:w="604" w:type="dxa"/>
            <w:vAlign w:val="center"/>
          </w:tcPr>
          <w:p w14:paraId="17ABBA2B">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4</w:t>
            </w:r>
          </w:p>
        </w:tc>
        <w:tc>
          <w:tcPr>
            <w:tcW w:w="916" w:type="dxa"/>
            <w:vAlign w:val="center"/>
          </w:tcPr>
          <w:p w14:paraId="3211C961">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金边六月雪</w:t>
            </w:r>
          </w:p>
        </w:tc>
        <w:tc>
          <w:tcPr>
            <w:tcW w:w="1806" w:type="dxa"/>
            <w:vAlign w:val="center"/>
          </w:tcPr>
          <w:p w14:paraId="6F676C32">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Serissa foetida</w:t>
            </w:r>
          </w:p>
          <w:p w14:paraId="6DAEB1D2">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var．aureo—marginata</w:t>
            </w:r>
          </w:p>
        </w:tc>
        <w:tc>
          <w:tcPr>
            <w:tcW w:w="2949" w:type="dxa"/>
            <w:vAlign w:val="center"/>
          </w:tcPr>
          <w:p w14:paraId="61E8C8A3">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性喜温暖，湿润环境，不耐寒，对土壤要求不严，微酸性、中性、微碱性土均能适应，但以肥沃的沙质壤土为好</w:t>
            </w:r>
          </w:p>
        </w:tc>
        <w:tc>
          <w:tcPr>
            <w:tcW w:w="992" w:type="dxa"/>
            <w:vAlign w:val="center"/>
          </w:tcPr>
          <w:p w14:paraId="3A65FF17">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绿篱</w:t>
            </w:r>
          </w:p>
        </w:tc>
        <w:tc>
          <w:tcPr>
            <w:tcW w:w="3099" w:type="dxa"/>
            <w:vAlign w:val="center"/>
          </w:tcPr>
          <w:p w14:paraId="75F7E214">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常绿矮小灌木，高不足1 m，分枝细密，叶对生，常聚生于小枝上部，卵形至卵状椭圆形</w:t>
            </w:r>
          </w:p>
        </w:tc>
      </w:tr>
      <w:tr w14:paraId="02EF1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4" w:type="dxa"/>
            <w:vAlign w:val="center"/>
          </w:tcPr>
          <w:p w14:paraId="0F42E258">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5</w:t>
            </w:r>
          </w:p>
        </w:tc>
        <w:tc>
          <w:tcPr>
            <w:tcW w:w="916" w:type="dxa"/>
            <w:vAlign w:val="center"/>
          </w:tcPr>
          <w:p w14:paraId="13F203F7">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红继木</w:t>
            </w:r>
          </w:p>
        </w:tc>
        <w:tc>
          <w:tcPr>
            <w:tcW w:w="1806" w:type="dxa"/>
            <w:vAlign w:val="center"/>
          </w:tcPr>
          <w:p w14:paraId="468EE4D6">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Loropetalum chinense</w:t>
            </w:r>
          </w:p>
          <w:p w14:paraId="72EDB1DE">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var.rubrum</w:t>
            </w:r>
          </w:p>
        </w:tc>
        <w:tc>
          <w:tcPr>
            <w:tcW w:w="2949" w:type="dxa"/>
            <w:vAlign w:val="center"/>
          </w:tcPr>
          <w:p w14:paraId="23CD8078">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喜光，稍耐阴，但阴时叶色容易变绿。适应性强，耐旱。喜温暖，耐寒冷。萌芽力和发枝力强，耐修剪。耐瘠薄，但适宜在肥沃、湿润的微酸性土壤中生长</w:t>
            </w:r>
          </w:p>
        </w:tc>
        <w:tc>
          <w:tcPr>
            <w:tcW w:w="992" w:type="dxa"/>
            <w:vAlign w:val="center"/>
          </w:tcPr>
          <w:p w14:paraId="1DC647F3">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绿篱</w:t>
            </w:r>
          </w:p>
        </w:tc>
        <w:tc>
          <w:tcPr>
            <w:tcW w:w="3099" w:type="dxa"/>
            <w:vAlign w:val="center"/>
          </w:tcPr>
          <w:p w14:paraId="5AC2EC46">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小乔木，多分枝，小枝有星毛</w:t>
            </w:r>
          </w:p>
        </w:tc>
      </w:tr>
      <w:tr w14:paraId="2D0B7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4" w:type="dxa"/>
            <w:vAlign w:val="center"/>
          </w:tcPr>
          <w:p w14:paraId="2AA03A46">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6</w:t>
            </w:r>
          </w:p>
        </w:tc>
        <w:tc>
          <w:tcPr>
            <w:tcW w:w="916" w:type="dxa"/>
            <w:vAlign w:val="center"/>
          </w:tcPr>
          <w:p w14:paraId="5FE848E7">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玉龙草</w:t>
            </w:r>
          </w:p>
        </w:tc>
        <w:tc>
          <w:tcPr>
            <w:tcW w:w="1806" w:type="dxa"/>
            <w:vAlign w:val="center"/>
          </w:tcPr>
          <w:p w14:paraId="6D419C9C">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Ophiopogonjaponicus (L.f.) Ker-Gawl. cv. Nanus</w:t>
            </w:r>
          </w:p>
        </w:tc>
        <w:tc>
          <w:tcPr>
            <w:tcW w:w="2949" w:type="dxa"/>
            <w:vAlign w:val="center"/>
          </w:tcPr>
          <w:p w14:paraId="0921EC95">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强耐荫植物，既能在强光照射下生长又能忍受隐蔽环境。最适生长温度为 25-30℃，冬季-3℃~0℃能安全过冬。对土壤要求不严，在排水良好的沙质壤土中生长较好。喜湿润的生长环境，在生长期间保持微湿可使其快速生长及分生。</w:t>
            </w:r>
          </w:p>
        </w:tc>
        <w:tc>
          <w:tcPr>
            <w:tcW w:w="992" w:type="dxa"/>
            <w:vAlign w:val="center"/>
          </w:tcPr>
          <w:p w14:paraId="757DD6C9">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草坪</w:t>
            </w:r>
          </w:p>
        </w:tc>
        <w:tc>
          <w:tcPr>
            <w:tcW w:w="3099" w:type="dxa"/>
            <w:vAlign w:val="center"/>
          </w:tcPr>
          <w:p w14:paraId="77A5C1DF">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多年生草本，具有块根，根系发达，根长可及20公分以上，乳白色略粗，几无茎，植株矮小，簇生成半球团状，高约10公分。</w:t>
            </w:r>
          </w:p>
        </w:tc>
      </w:tr>
      <w:tr w14:paraId="47E0C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4" w:type="dxa"/>
            <w:vAlign w:val="center"/>
          </w:tcPr>
          <w:p w14:paraId="2B8A195B">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7</w:t>
            </w:r>
          </w:p>
        </w:tc>
        <w:tc>
          <w:tcPr>
            <w:tcW w:w="916" w:type="dxa"/>
            <w:vAlign w:val="center"/>
          </w:tcPr>
          <w:p w14:paraId="6BFB6F5A">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狗牙根</w:t>
            </w:r>
          </w:p>
        </w:tc>
        <w:tc>
          <w:tcPr>
            <w:tcW w:w="1806" w:type="dxa"/>
            <w:vAlign w:val="center"/>
          </w:tcPr>
          <w:p w14:paraId="27EBD1D9">
            <w:pPr>
              <w:ind w:firstLine="0" w:firstLineChars="0"/>
              <w:jc w:val="center"/>
              <w:rPr>
                <w:bCs/>
                <w:color w:val="000000" w:themeColor="text1"/>
                <w:sz w:val="18"/>
                <w:szCs w:val="18"/>
                <w14:textFill>
                  <w14:solidFill>
                    <w14:schemeClr w14:val="tx1"/>
                  </w14:solidFill>
                </w14:textFill>
              </w:rPr>
            </w:pPr>
            <w:r>
              <w:rPr>
                <w:bCs/>
                <w:color w:val="000000" w:themeColor="text1"/>
                <w:sz w:val="18"/>
                <w:szCs w:val="18"/>
                <w14:textFill>
                  <w14:solidFill>
                    <w14:schemeClr w14:val="tx1"/>
                  </w14:solidFill>
                </w14:textFill>
              </w:rPr>
              <w:t>Cynodon dactylon (L.)Pers.</w:t>
            </w:r>
          </w:p>
        </w:tc>
        <w:tc>
          <w:tcPr>
            <w:tcW w:w="2949" w:type="dxa"/>
            <w:vAlign w:val="center"/>
          </w:tcPr>
          <w:p w14:paraId="1CDE38F1">
            <w:pPr>
              <w:ind w:firstLine="0" w:firstLineChars="0"/>
              <w:jc w:val="left"/>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种子和根茎两性繁殖能力,其根茎繁殖能力强,生长快、产量高。叶量丰富,草质柔软,味淡,其茎微酸,适口性好,黄牛、水牛、马、山羊、兔等家畜均喜采食,幼嫩时猪及家禽也喜食。</w:t>
            </w:r>
          </w:p>
        </w:tc>
        <w:tc>
          <w:tcPr>
            <w:tcW w:w="992" w:type="dxa"/>
            <w:vAlign w:val="center"/>
          </w:tcPr>
          <w:p w14:paraId="143B377E">
            <w:pPr>
              <w:ind w:firstLine="0" w:firstLineChars="0"/>
              <w:jc w:val="center"/>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草坪</w:t>
            </w:r>
          </w:p>
        </w:tc>
        <w:tc>
          <w:tcPr>
            <w:tcW w:w="3099" w:type="dxa"/>
            <w:vAlign w:val="center"/>
          </w:tcPr>
          <w:p w14:paraId="3ECC8A41">
            <w:pPr>
              <w:ind w:firstLine="0" w:firstLineChars="0"/>
              <w:rPr>
                <w:bCs/>
                <w:color w:val="000000" w:themeColor="text1"/>
                <w:sz w:val="18"/>
                <w:szCs w:val="18"/>
                <w14:textFill>
                  <w14:solidFill>
                    <w14:schemeClr w14:val="tx1"/>
                  </w14:solidFill>
                </w14:textFill>
              </w:rPr>
            </w:pPr>
            <w:r>
              <w:rPr>
                <w:rFonts w:hint="eastAsia"/>
                <w:bCs/>
                <w:color w:val="000000" w:themeColor="text1"/>
                <w:sz w:val="18"/>
                <w:szCs w:val="18"/>
                <w14:textFill>
                  <w14:solidFill>
                    <w14:schemeClr w14:val="tx1"/>
                  </w14:solidFill>
                </w14:textFill>
              </w:rPr>
              <w:t>低矮草本，具根茎。秆细而坚韧，下部匍匐地面蔓延甚长，节上常生不定根，直立部分高10-30 厘m，直径 1-1.5毫m，秆壁厚，光滑无毛，有时略两侧压扁。</w:t>
            </w:r>
          </w:p>
        </w:tc>
      </w:tr>
    </w:tbl>
    <w:p w14:paraId="14AFF7E0">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2.7.7其他</w:t>
      </w:r>
    </w:p>
    <w:p w14:paraId="3DC4FCA1">
      <w:pPr>
        <w:ind w:firstLine="480"/>
        <w:rPr>
          <w:rFonts w:cs="Times New Roman"/>
          <w:color w:val="000000" w:themeColor="text1"/>
          <w14:textFill>
            <w14:solidFill>
              <w14:schemeClr w14:val="tx1"/>
            </w14:solidFill>
          </w14:textFill>
        </w:rPr>
      </w:pPr>
      <w:r>
        <w:rPr>
          <w:rFonts w:hint="eastAsia"/>
          <w:bCs/>
          <w:color w:val="000000" w:themeColor="text1"/>
          <w14:textFill>
            <w14:solidFill>
              <w14:schemeClr w14:val="tx1"/>
            </w14:solidFill>
          </w14:textFill>
        </w:rPr>
        <w:t>根据《水利部办公厅印发&lt;全国水土保持规划国家级水士流失重点预防区和重点治理区复核划分成果&gt;的通知》（办水保〔2013〕188号）、《四川省水利厅关于印发&lt;四川省省级水土流失重点预防区和重点治理区划分成果&gt;的通知》（川水函〔201</w:t>
      </w:r>
      <w:r>
        <w:rPr>
          <w:bCs/>
          <w:color w:val="000000" w:themeColor="text1"/>
          <w14:textFill>
            <w14:solidFill>
              <w14:schemeClr w14:val="tx1"/>
            </w14:solidFill>
          </w14:textFill>
        </w:rPr>
        <w:t>7</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482</w:t>
      </w:r>
      <w:r>
        <w:rPr>
          <w:rFonts w:hint="eastAsia"/>
          <w:bCs/>
          <w:color w:val="000000" w:themeColor="text1"/>
          <w14:textFill>
            <w14:solidFill>
              <w14:schemeClr w14:val="tx1"/>
            </w14:solidFill>
          </w14:textFill>
        </w:rPr>
        <w:t>号），</w:t>
      </w:r>
      <w:r>
        <w:rPr>
          <w:rFonts w:hint="eastAsia" w:cs="Times New Roman"/>
          <w:color w:val="000000" w:themeColor="text1"/>
          <w14:textFill>
            <w14:solidFill>
              <w14:schemeClr w14:val="tx1"/>
            </w14:solidFill>
          </w14:textFill>
        </w:rPr>
        <w:t>项目所在地绵阳市高新区不属于国家级和省级水土流失重点治理区和水土流失重点预防区。根据绵阳市水土保持规划，项目所在地绵阳市高新区属于市级水土流失重点治理区。</w:t>
      </w:r>
    </w:p>
    <w:p w14:paraId="491C856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建设地址不涉及饮用水水源保护区、水功能一级区的保护区和保留区、自然保护区、世界文化和自然遗产地、风景名胜区、重要湿地等水土保持敏感区；不涉及全国水土保持监测网路中的水土保持监测站点、重点试验区及国家确定的水土保持长期定位观测站；不涉及河流两岸、湖泊和水库周边的植物保护带。</w:t>
      </w:r>
    </w:p>
    <w:p w14:paraId="19A23F3F">
      <w:pPr>
        <w:ind w:firstLine="480"/>
        <w:rPr>
          <w:rFonts w:cs="Times New Roman"/>
          <w:color w:val="000000" w:themeColor="text1"/>
          <w:kern w:val="0"/>
          <w14:textFill>
            <w14:solidFill>
              <w14:schemeClr w14:val="tx1"/>
            </w14:solidFill>
          </w14:textFill>
        </w:rPr>
        <w:sectPr>
          <w:headerReference r:id="rId19" w:type="default"/>
          <w:headerReference r:id="rId20" w:type="even"/>
          <w:pgSz w:w="11906" w:h="16838"/>
          <w:pgMar w:top="1440" w:right="1800" w:bottom="1440" w:left="1800" w:header="851" w:footer="992" w:gutter="0"/>
          <w:cols w:space="425" w:num="1"/>
          <w:docGrid w:type="lines" w:linePitch="312" w:charSpace="0"/>
        </w:sectPr>
      </w:pPr>
    </w:p>
    <w:p w14:paraId="7DC51223">
      <w:pPr>
        <w:pStyle w:val="2"/>
        <w:ind w:firstLine="420"/>
        <w:rPr>
          <w:color w:val="000000" w:themeColor="text1"/>
          <w14:textFill>
            <w14:solidFill>
              <w14:schemeClr w14:val="tx1"/>
            </w14:solidFill>
          </w14:textFill>
        </w:rPr>
      </w:pPr>
      <w:bookmarkStart w:id="80" w:name="_Toc1135"/>
      <w:r>
        <w:rPr>
          <w:rFonts w:hint="eastAsia"/>
          <w:color w:val="000000" w:themeColor="text1"/>
          <w14:textFill>
            <w14:solidFill>
              <w14:schemeClr w14:val="tx1"/>
            </w14:solidFill>
          </w14:textFill>
        </w:rPr>
        <w:t>3项目水土保持评价</w:t>
      </w:r>
      <w:bookmarkEnd w:id="80"/>
    </w:p>
    <w:p w14:paraId="0C55B8D0">
      <w:pPr>
        <w:pStyle w:val="3"/>
        <w:rPr>
          <w:color w:val="000000" w:themeColor="text1"/>
          <w14:textFill>
            <w14:solidFill>
              <w14:schemeClr w14:val="tx1"/>
            </w14:solidFill>
          </w14:textFill>
        </w:rPr>
      </w:pPr>
      <w:bookmarkStart w:id="81" w:name="_Toc4943"/>
      <w:r>
        <w:rPr>
          <w:rFonts w:hint="eastAsia"/>
          <w:color w:val="000000" w:themeColor="text1"/>
          <w14:textFill>
            <w14:solidFill>
              <w14:schemeClr w14:val="tx1"/>
            </w14:solidFill>
          </w14:textFill>
        </w:rPr>
        <w:t>3.1主体工程选址（线）水土保持评价</w:t>
      </w:r>
      <w:bookmarkEnd w:id="81"/>
    </w:p>
    <w:p w14:paraId="4F9FACD9">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3.1.1与产业政策及规划符合性分析</w:t>
      </w:r>
    </w:p>
    <w:p w14:paraId="3BB6DDE5">
      <w:pPr>
        <w:pStyle w:val="66"/>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建设符合绵阳高新技术开发区片区规划需求、项目位于绵阳市西部主发展轴，高新区现代城市服务轴及多元服务产业轴的交汇处，属高新区电子信息及新材料产业区范围，是城市重点发展带和科技产业集聚区，是绵阳市大力支持建设的项目。</w:t>
      </w:r>
    </w:p>
    <w:p w14:paraId="716B6498">
      <w:pPr>
        <w:pStyle w:val="66"/>
        <w:ind w:firstLine="480"/>
        <w:rPr>
          <w:color w:val="000000" w:themeColor="text1"/>
          <w14:textFill>
            <w14:solidFill>
              <w14:schemeClr w14:val="tx1"/>
            </w14:solidFill>
          </w14:textFill>
        </w:rPr>
      </w:pPr>
      <w:r>
        <w:rPr>
          <w:color w:val="000000" w:themeColor="text1"/>
          <w14:textFill>
            <w14:solidFill>
              <w14:schemeClr w14:val="tx1"/>
            </w14:solidFill>
          </w14:textFill>
        </w:rPr>
        <w:t>对照《</w:t>
      </w:r>
      <w:r>
        <w:rPr>
          <w:rFonts w:hint="eastAsia"/>
          <w:color w:val="000000" w:themeColor="text1"/>
          <w14:textFill>
            <w14:solidFill>
              <w14:schemeClr w14:val="tx1"/>
            </w14:solidFill>
          </w14:textFill>
        </w:rPr>
        <w:t>产业结构调整指导目录（2024年本）</w:t>
      </w:r>
      <w:r>
        <w:rPr>
          <w:color w:val="000000" w:themeColor="text1"/>
          <w14:textFill>
            <w14:solidFill>
              <w14:schemeClr w14:val="tx1"/>
            </w14:solidFill>
          </w14:textFill>
        </w:rPr>
        <w:t>》（国家发改委第</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号）</w:t>
      </w:r>
      <w:r>
        <w:rPr>
          <w:rFonts w:hint="eastAsia"/>
          <w:color w:val="000000" w:themeColor="text1"/>
          <w14:textFill>
            <w14:solidFill>
              <w14:schemeClr w14:val="tx1"/>
            </w14:solidFill>
          </w14:textFill>
        </w:rPr>
        <w:t>，本项目不属于国家发展与改革委员会《产业结构调整指导目录（2024年本）》产业政策限制、禁止投资建设项目。</w:t>
      </w:r>
    </w:p>
    <w:p w14:paraId="3FFF0338">
      <w:pPr>
        <w:pStyle w:val="66"/>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本项目不属于《限制用地项目目录（2012年本）》和《禁止用地项目目录（2012年本）》规定的项目类型，供地符合国家产业政策。</w:t>
      </w:r>
    </w:p>
    <w:p w14:paraId="352B59A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202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年2月</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日，本项目取得绵阳市高新区经济和发展局《关于高新区兆辉新能源工业园及基础设施配套项目可行性研究报告的批复》（绵高经发改【2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】163号），项目的投资决策获得主管部门的批复，项目符合国家上位规划的要求。</w:t>
      </w:r>
    </w:p>
    <w:p w14:paraId="5B1C35FC">
      <w:pPr>
        <w:pStyle w:val="4"/>
        <w:tabs>
          <w:tab w:val="left" w:pos="720"/>
        </w:tabs>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与《水土保持法》制约因素分析与评价</w:t>
      </w:r>
    </w:p>
    <w:p w14:paraId="644FF337">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建设与《中华人民共和国水土保持法》的符合性分析见表3.1-1。对照《中华人民共和国水土保持法》（中华人民共和国主席令第39号，1991年颁布，2010年12月25日修订，2011年3月1日起施行），本项目的建设符合水土保持相关法律、法规的要求。</w:t>
      </w:r>
    </w:p>
    <w:p w14:paraId="6A3269AF">
      <w:pPr>
        <w:pStyle w:val="33"/>
        <w:jc w:val="center"/>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.1-1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本项目与新《中华人民共和国水土保持法》符合性分析表</w:t>
      </w:r>
    </w:p>
    <w:tbl>
      <w:tblPr>
        <w:tblStyle w:val="26"/>
        <w:tblW w:w="522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3658"/>
        <w:gridCol w:w="2616"/>
        <w:gridCol w:w="1909"/>
      </w:tblGrid>
      <w:tr w14:paraId="7247DA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01" w:type="pct"/>
            <w:tcBorders>
              <w:tl2br w:val="nil"/>
              <w:tr2bl w:val="nil"/>
            </w:tcBorders>
            <w:vAlign w:val="center"/>
          </w:tcPr>
          <w:p w14:paraId="2B0D3D36">
            <w:pPr>
              <w:pStyle w:val="34"/>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2056" w:type="pct"/>
            <w:tcBorders>
              <w:tl2br w:val="nil"/>
              <w:tr2bl w:val="nil"/>
            </w:tcBorders>
            <w:vAlign w:val="center"/>
          </w:tcPr>
          <w:p w14:paraId="35F203E7">
            <w:pPr>
              <w:pStyle w:val="34"/>
              <w:rPr>
                <w:color w:val="000000" w:themeColor="text1"/>
                <w14:textFill>
                  <w14:solidFill>
                    <w14:schemeClr w14:val="tx1"/>
                  </w14:solidFill>
                </w14:textFill>
              </w:rPr>
            </w:pPr>
            <w:r>
              <w:rPr>
                <w:color w:val="000000" w:themeColor="text1"/>
                <w14:textFill>
                  <w14:solidFill>
                    <w14:schemeClr w14:val="tx1"/>
                  </w14:solidFill>
                </w14:textFill>
              </w:rPr>
              <w:t>约束性条件</w:t>
            </w:r>
          </w:p>
        </w:tc>
        <w:tc>
          <w:tcPr>
            <w:tcW w:w="1470" w:type="pct"/>
            <w:tcBorders>
              <w:tl2br w:val="nil"/>
              <w:tr2bl w:val="nil"/>
            </w:tcBorders>
            <w:vAlign w:val="center"/>
          </w:tcPr>
          <w:p w14:paraId="208C931B">
            <w:pPr>
              <w:pStyle w:val="34"/>
              <w:rPr>
                <w:color w:val="000000" w:themeColor="text1"/>
                <w14:textFill>
                  <w14:solidFill>
                    <w14:schemeClr w14:val="tx1"/>
                  </w14:solidFill>
                </w14:textFill>
              </w:rPr>
            </w:pPr>
            <w:r>
              <w:rPr>
                <w:color w:val="000000" w:themeColor="text1"/>
                <w14:textFill>
                  <w14:solidFill>
                    <w14:schemeClr w14:val="tx1"/>
                  </w14:solidFill>
                </w14:textFill>
              </w:rPr>
              <w:t>本项目情况</w:t>
            </w:r>
          </w:p>
        </w:tc>
        <w:tc>
          <w:tcPr>
            <w:tcW w:w="1073" w:type="pct"/>
            <w:tcBorders>
              <w:tl2br w:val="nil"/>
              <w:tr2bl w:val="nil"/>
            </w:tcBorders>
            <w:vAlign w:val="center"/>
          </w:tcPr>
          <w:p w14:paraId="4BF432A6">
            <w:pPr>
              <w:pStyle w:val="34"/>
              <w:rPr>
                <w:color w:val="000000" w:themeColor="text1"/>
                <w14:textFill>
                  <w14:solidFill>
                    <w14:schemeClr w14:val="tx1"/>
                  </w14:solidFill>
                </w14:textFill>
              </w:rPr>
            </w:pPr>
            <w:r>
              <w:rPr>
                <w:color w:val="000000" w:themeColor="text1"/>
                <w14:textFill>
                  <w14:solidFill>
                    <w14:schemeClr w14:val="tx1"/>
                  </w14:solidFill>
                </w14:textFill>
              </w:rPr>
              <w:t>分析评价</w:t>
            </w:r>
          </w:p>
        </w:tc>
      </w:tr>
      <w:tr w14:paraId="60AB8F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tcBorders>
              <w:tl2br w:val="nil"/>
              <w:tr2bl w:val="nil"/>
            </w:tcBorders>
            <w:vAlign w:val="center"/>
          </w:tcPr>
          <w:p w14:paraId="49A3C126">
            <w:pPr>
              <w:pStyle w:val="34"/>
              <w:rPr>
                <w:color w:val="000000" w:themeColor="text1"/>
                <w14:textFill>
                  <w14:solidFill>
                    <w14:schemeClr w14:val="tx1"/>
                  </w14:solidFill>
                </w14:textFill>
              </w:rPr>
            </w:pPr>
            <w:r>
              <w:rPr>
                <w:color w:val="000000" w:themeColor="text1"/>
                <w14:textFill>
                  <w14:solidFill>
                    <w14:schemeClr w14:val="tx1"/>
                  </w14:solidFill>
                </w14:textFill>
              </w:rPr>
              <w:t>1</w:t>
            </w:r>
          </w:p>
        </w:tc>
        <w:tc>
          <w:tcPr>
            <w:tcW w:w="2056" w:type="pct"/>
            <w:tcBorders>
              <w:tl2br w:val="nil"/>
              <w:tr2bl w:val="nil"/>
            </w:tcBorders>
            <w:vAlign w:val="center"/>
          </w:tcPr>
          <w:p w14:paraId="2A35B4A2">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第十八条：水土流失严重、生态脆弱的地区，应限制或者禁止可能造成水土流失的生产建设活动，严格保护植物、沙壳、结皮、地衣等。</w:t>
            </w:r>
          </w:p>
        </w:tc>
        <w:tc>
          <w:tcPr>
            <w:tcW w:w="1470" w:type="pct"/>
            <w:tcBorders>
              <w:tl2br w:val="nil"/>
              <w:tr2bl w:val="nil"/>
            </w:tcBorders>
            <w:vAlign w:val="center"/>
          </w:tcPr>
          <w:p w14:paraId="695F7EEB">
            <w:pPr>
              <w:pStyle w:val="34"/>
              <w:rPr>
                <w:color w:val="000000" w:themeColor="text1"/>
                <w14:textFill>
                  <w14:solidFill>
                    <w14:schemeClr w14:val="tx1"/>
                  </w14:solidFill>
                </w14:textFill>
              </w:rPr>
            </w:pPr>
            <w:r>
              <w:rPr>
                <w:color w:val="000000" w:themeColor="text1"/>
                <w14:textFill>
                  <w14:solidFill>
                    <w14:schemeClr w14:val="tx1"/>
                  </w14:solidFill>
                </w14:textFill>
              </w:rPr>
              <w:t>不处于水土流失严重、生态脆弱的地区</w:t>
            </w:r>
            <w:r>
              <w:rPr>
                <w:rFonts w:hint="eastAsia"/>
                <w:color w:val="000000" w:themeColor="text1"/>
                <w14:textFill>
                  <w14:solidFill>
                    <w14:schemeClr w14:val="tx1"/>
                  </w14:solidFill>
                </w14:textFill>
              </w:rPr>
              <w:t>。</w:t>
            </w:r>
          </w:p>
        </w:tc>
        <w:tc>
          <w:tcPr>
            <w:tcW w:w="1073" w:type="pct"/>
            <w:tcBorders>
              <w:tl2br w:val="nil"/>
              <w:tr2bl w:val="nil"/>
            </w:tcBorders>
            <w:vAlign w:val="center"/>
          </w:tcPr>
          <w:p w14:paraId="0F94F5EF">
            <w:pPr>
              <w:pStyle w:val="34"/>
              <w:rPr>
                <w:color w:val="000000" w:themeColor="text1"/>
                <w14:textFill>
                  <w14:solidFill>
                    <w14:schemeClr w14:val="tx1"/>
                  </w14:solidFill>
                </w14:textFill>
              </w:rPr>
            </w:pPr>
            <w:r>
              <w:rPr>
                <w:color w:val="000000" w:themeColor="text1"/>
                <w14:textFill>
                  <w14:solidFill>
                    <w14:schemeClr w14:val="tx1"/>
                  </w14:solidFill>
                </w14:textFill>
              </w:rPr>
              <w:t>符合要求</w:t>
            </w:r>
          </w:p>
        </w:tc>
      </w:tr>
      <w:tr w14:paraId="1681AB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tcBorders>
              <w:tl2br w:val="nil"/>
              <w:tr2bl w:val="nil"/>
            </w:tcBorders>
            <w:vAlign w:val="center"/>
          </w:tcPr>
          <w:p w14:paraId="30A3FB72">
            <w:pPr>
              <w:pStyle w:val="34"/>
              <w:rPr>
                <w:color w:val="000000" w:themeColor="text1"/>
                <w14:textFill>
                  <w14:solidFill>
                    <w14:schemeClr w14:val="tx1"/>
                  </w14:solidFill>
                </w14:textFill>
              </w:rPr>
            </w:pPr>
            <w:r>
              <w:rPr>
                <w:color w:val="000000" w:themeColor="text1"/>
                <w14:textFill>
                  <w14:solidFill>
                    <w14:schemeClr w14:val="tx1"/>
                  </w14:solidFill>
                </w14:textFill>
              </w:rPr>
              <w:t>2</w:t>
            </w:r>
          </w:p>
        </w:tc>
        <w:tc>
          <w:tcPr>
            <w:tcW w:w="2056" w:type="pct"/>
            <w:tcBorders>
              <w:tl2br w:val="nil"/>
              <w:tr2bl w:val="nil"/>
            </w:tcBorders>
            <w:vAlign w:val="center"/>
          </w:tcPr>
          <w:p w14:paraId="1DF212CB">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第二十条：在25度以上陡坡地实施的农林开发项目方案不予批准。</w:t>
            </w:r>
          </w:p>
        </w:tc>
        <w:tc>
          <w:tcPr>
            <w:tcW w:w="1470" w:type="pct"/>
            <w:tcBorders>
              <w:tl2br w:val="nil"/>
              <w:tr2bl w:val="nil"/>
            </w:tcBorders>
            <w:vAlign w:val="center"/>
          </w:tcPr>
          <w:p w14:paraId="6AC7A912">
            <w:pPr>
              <w:pStyle w:val="34"/>
              <w:rPr>
                <w:color w:val="000000" w:themeColor="text1"/>
                <w14:textFill>
                  <w14:solidFill>
                    <w14:schemeClr w14:val="tx1"/>
                  </w14:solidFill>
                </w14:textFill>
              </w:rPr>
            </w:pPr>
            <w:r>
              <w:rPr>
                <w:color w:val="000000" w:themeColor="text1"/>
                <w14:textFill>
                  <w14:solidFill>
                    <w14:schemeClr w14:val="tx1"/>
                  </w14:solidFill>
                </w14:textFill>
              </w:rPr>
              <w:t>本项目不属农林开发项目</w:t>
            </w:r>
            <w:r>
              <w:rPr>
                <w:rFonts w:hint="eastAsia"/>
                <w:color w:val="000000" w:themeColor="text1"/>
                <w14:textFill>
                  <w14:solidFill>
                    <w14:schemeClr w14:val="tx1"/>
                  </w14:solidFill>
                </w14:textFill>
              </w:rPr>
              <w:t>。</w:t>
            </w:r>
          </w:p>
        </w:tc>
        <w:tc>
          <w:tcPr>
            <w:tcW w:w="1073" w:type="pct"/>
            <w:tcBorders>
              <w:tl2br w:val="nil"/>
              <w:tr2bl w:val="nil"/>
            </w:tcBorders>
            <w:vAlign w:val="center"/>
          </w:tcPr>
          <w:p w14:paraId="08AE01A4">
            <w:pPr>
              <w:pStyle w:val="34"/>
              <w:rPr>
                <w:color w:val="000000" w:themeColor="text1"/>
                <w14:textFill>
                  <w14:solidFill>
                    <w14:schemeClr w14:val="tx1"/>
                  </w14:solidFill>
                </w14:textFill>
              </w:rPr>
            </w:pPr>
            <w:r>
              <w:rPr>
                <w:color w:val="000000" w:themeColor="text1"/>
                <w14:textFill>
                  <w14:solidFill>
                    <w14:schemeClr w14:val="tx1"/>
                  </w14:solidFill>
                </w14:textFill>
              </w:rPr>
              <w:t>符合要求</w:t>
            </w:r>
          </w:p>
        </w:tc>
      </w:tr>
      <w:tr w14:paraId="60EA4C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tcBorders>
              <w:tl2br w:val="nil"/>
              <w:tr2bl w:val="nil"/>
            </w:tcBorders>
            <w:vAlign w:val="center"/>
          </w:tcPr>
          <w:p w14:paraId="07AA7150">
            <w:pPr>
              <w:pStyle w:val="34"/>
              <w:rPr>
                <w:color w:val="000000" w:themeColor="text1"/>
                <w14:textFill>
                  <w14:solidFill>
                    <w14:schemeClr w14:val="tx1"/>
                  </w14:solidFill>
                </w14:textFill>
              </w:rPr>
            </w:pPr>
            <w:r>
              <w:rPr>
                <w:color w:val="000000" w:themeColor="text1"/>
                <w14:textFill>
                  <w14:solidFill>
                    <w14:schemeClr w14:val="tx1"/>
                  </w14:solidFill>
                </w14:textFill>
              </w:rPr>
              <w:t>3</w:t>
            </w:r>
          </w:p>
        </w:tc>
        <w:tc>
          <w:tcPr>
            <w:tcW w:w="2056" w:type="pct"/>
            <w:tcBorders>
              <w:tl2br w:val="nil"/>
              <w:tr2bl w:val="nil"/>
            </w:tcBorders>
            <w:vAlign w:val="center"/>
          </w:tcPr>
          <w:p w14:paraId="30C9B67F">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第二十四条：生产建设项目选址应当避让水土流失重点预防和重点治理区。</w:t>
            </w:r>
          </w:p>
        </w:tc>
        <w:tc>
          <w:tcPr>
            <w:tcW w:w="1470" w:type="pct"/>
            <w:tcBorders>
              <w:tl2br w:val="nil"/>
              <w:tr2bl w:val="nil"/>
            </w:tcBorders>
            <w:vAlign w:val="center"/>
          </w:tcPr>
          <w:p w14:paraId="456AF4F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项目选址无法避让市级水土流失重点治理区</w:t>
            </w:r>
          </w:p>
        </w:tc>
        <w:tc>
          <w:tcPr>
            <w:tcW w:w="1073" w:type="pct"/>
            <w:tcBorders>
              <w:tl2br w:val="nil"/>
              <w:tr2bl w:val="nil"/>
            </w:tcBorders>
            <w:vAlign w:val="center"/>
          </w:tcPr>
          <w:p w14:paraId="33445E81">
            <w:pPr>
              <w:pStyle w:val="34"/>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通过提高截排水工程防洪标准，布设沉沙设施，优化施工工艺等措施可以控制因工程建设造成的水土流失</w:t>
            </w:r>
          </w:p>
        </w:tc>
      </w:tr>
      <w:tr w14:paraId="7DB7E7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tcBorders>
              <w:tl2br w:val="nil"/>
              <w:tr2bl w:val="nil"/>
            </w:tcBorders>
            <w:vAlign w:val="center"/>
          </w:tcPr>
          <w:p w14:paraId="177B7DAE">
            <w:pPr>
              <w:pStyle w:val="34"/>
              <w:rPr>
                <w:color w:val="000000" w:themeColor="text1"/>
                <w14:textFill>
                  <w14:solidFill>
                    <w14:schemeClr w14:val="tx1"/>
                  </w14:solidFill>
                </w14:textFill>
              </w:rPr>
            </w:pPr>
            <w:r>
              <w:rPr>
                <w:color w:val="000000" w:themeColor="text1"/>
                <w14:textFill>
                  <w14:solidFill>
                    <w14:schemeClr w14:val="tx1"/>
                  </w14:solidFill>
                </w14:textFill>
              </w:rPr>
              <w:t>4</w:t>
            </w:r>
          </w:p>
        </w:tc>
        <w:tc>
          <w:tcPr>
            <w:tcW w:w="2056" w:type="pct"/>
            <w:tcBorders>
              <w:tl2br w:val="nil"/>
              <w:tr2bl w:val="nil"/>
            </w:tcBorders>
            <w:vAlign w:val="center"/>
          </w:tcPr>
          <w:p w14:paraId="7791348E">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第二十五条：在山区、丘陵区、风沙区以及水土保持规划确定的容易发生水土流失的其他区域开办可能造成水土流失的生产建设项目，生产建设单位应该编制水土保持方案，报县级以上人民政府水行政主管部门审批，并按照经批准的水土方案，采取水土流失预防和治理措施。</w:t>
            </w:r>
          </w:p>
        </w:tc>
        <w:tc>
          <w:tcPr>
            <w:tcW w:w="1470" w:type="pct"/>
            <w:tcBorders>
              <w:tl2br w:val="nil"/>
              <w:tr2bl w:val="nil"/>
            </w:tcBorders>
            <w:vAlign w:val="center"/>
          </w:tcPr>
          <w:p w14:paraId="189A1C35">
            <w:pPr>
              <w:pStyle w:val="34"/>
              <w:rPr>
                <w:color w:val="000000" w:themeColor="text1"/>
                <w14:textFill>
                  <w14:solidFill>
                    <w14:schemeClr w14:val="tx1"/>
                  </w14:solidFill>
                </w14:textFill>
              </w:rPr>
            </w:pPr>
            <w:r>
              <w:rPr>
                <w:color w:val="000000" w:themeColor="text1"/>
                <w14:textFill>
                  <w14:solidFill>
                    <w14:schemeClr w14:val="tx1"/>
                  </w14:solidFill>
                </w14:textFill>
              </w:rPr>
              <w:t>建设单位已委托我公司开展本项目的水土保持方案编制工作，并报水行政主管单位审批</w:t>
            </w:r>
            <w:r>
              <w:rPr>
                <w:rFonts w:hint="eastAsia"/>
                <w:color w:val="000000" w:themeColor="text1"/>
                <w14:textFill>
                  <w14:solidFill>
                    <w14:schemeClr w14:val="tx1"/>
                  </w14:solidFill>
                </w14:textFill>
              </w:rPr>
              <w:t>。</w:t>
            </w:r>
          </w:p>
        </w:tc>
        <w:tc>
          <w:tcPr>
            <w:tcW w:w="1073" w:type="pct"/>
            <w:tcBorders>
              <w:tl2br w:val="nil"/>
              <w:tr2bl w:val="nil"/>
            </w:tcBorders>
            <w:vAlign w:val="center"/>
          </w:tcPr>
          <w:p w14:paraId="6B38D107">
            <w:pPr>
              <w:pStyle w:val="34"/>
              <w:rPr>
                <w:color w:val="000000" w:themeColor="text1"/>
                <w14:textFill>
                  <w14:solidFill>
                    <w14:schemeClr w14:val="tx1"/>
                  </w14:solidFill>
                </w14:textFill>
              </w:rPr>
            </w:pPr>
            <w:r>
              <w:rPr>
                <w:color w:val="000000" w:themeColor="text1"/>
                <w14:textFill>
                  <w14:solidFill>
                    <w14:schemeClr w14:val="tx1"/>
                  </w14:solidFill>
                </w14:textFill>
              </w:rPr>
              <w:t>符合要求</w:t>
            </w:r>
          </w:p>
        </w:tc>
      </w:tr>
      <w:tr w14:paraId="3FFF5A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tcBorders>
              <w:tl2br w:val="nil"/>
              <w:tr2bl w:val="nil"/>
            </w:tcBorders>
            <w:vAlign w:val="center"/>
          </w:tcPr>
          <w:p w14:paraId="1329266A">
            <w:pPr>
              <w:pStyle w:val="34"/>
              <w:rPr>
                <w:color w:val="000000" w:themeColor="text1"/>
                <w14:textFill>
                  <w14:solidFill>
                    <w14:schemeClr w14:val="tx1"/>
                  </w14:solidFill>
                </w14:textFill>
              </w:rPr>
            </w:pPr>
            <w:r>
              <w:rPr>
                <w:color w:val="000000" w:themeColor="text1"/>
                <w14:textFill>
                  <w14:solidFill>
                    <w14:schemeClr w14:val="tx1"/>
                  </w14:solidFill>
                </w14:textFill>
              </w:rPr>
              <w:t>5</w:t>
            </w:r>
          </w:p>
        </w:tc>
        <w:tc>
          <w:tcPr>
            <w:tcW w:w="2056" w:type="pct"/>
            <w:tcBorders>
              <w:tl2br w:val="nil"/>
              <w:tr2bl w:val="nil"/>
            </w:tcBorders>
            <w:vAlign w:val="center"/>
          </w:tcPr>
          <w:p w14:paraId="2CB367E2">
            <w:pPr>
              <w:pStyle w:val="34"/>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八条：依法应当编制水土保持方案的生产建设项目，其生产建设活动中排弃的沙、石、土、矸石、尾矿、废渣等应当回填利用；不能回填利用，确需废弃的，应当堆放在水土保持方案确定的专门存放地，并采取措施保证不产生新的危害。</w:t>
            </w:r>
          </w:p>
        </w:tc>
        <w:tc>
          <w:tcPr>
            <w:tcW w:w="1470" w:type="pct"/>
            <w:tcBorders>
              <w:tl2br w:val="nil"/>
              <w:tr2bl w:val="nil"/>
            </w:tcBorders>
            <w:vAlign w:val="center"/>
          </w:tcPr>
          <w:p w14:paraId="79A5057E">
            <w:pPr>
              <w:pStyle w:val="3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余方运送至距离项目4.5公里的绵阳会展中心综合体项目周边道路建设项目（三期）回填后综合利用。</w:t>
            </w:r>
          </w:p>
        </w:tc>
        <w:tc>
          <w:tcPr>
            <w:tcW w:w="1073" w:type="pct"/>
            <w:tcBorders>
              <w:tl2br w:val="nil"/>
              <w:tr2bl w:val="nil"/>
            </w:tcBorders>
            <w:vAlign w:val="center"/>
          </w:tcPr>
          <w:p w14:paraId="4AD09C0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91A36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tcBorders>
              <w:tl2br w:val="nil"/>
              <w:tr2bl w:val="nil"/>
            </w:tcBorders>
            <w:vAlign w:val="center"/>
          </w:tcPr>
          <w:p w14:paraId="4231F27E">
            <w:pPr>
              <w:pStyle w:val="34"/>
              <w:rPr>
                <w:color w:val="000000" w:themeColor="text1"/>
                <w14:textFill>
                  <w14:solidFill>
                    <w14:schemeClr w14:val="tx1"/>
                  </w14:solidFill>
                </w14:textFill>
              </w:rPr>
            </w:pPr>
            <w:r>
              <w:rPr>
                <w:color w:val="000000" w:themeColor="text1"/>
                <w14:textFill>
                  <w14:solidFill>
                    <w14:schemeClr w14:val="tx1"/>
                  </w14:solidFill>
                </w14:textFill>
              </w:rPr>
              <w:t>6</w:t>
            </w:r>
          </w:p>
        </w:tc>
        <w:tc>
          <w:tcPr>
            <w:tcW w:w="2056" w:type="pct"/>
            <w:tcBorders>
              <w:tl2br w:val="nil"/>
              <w:tr2bl w:val="nil"/>
            </w:tcBorders>
            <w:vAlign w:val="center"/>
          </w:tcPr>
          <w:p w14:paraId="11309655">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第三十二条：在山区、丘陵区、风沙区以及水土保持规划确定的容易发生水土流失的其他区域开办生产建设项目或者从事其他生产建设活动，损坏水土保持设施、地貌植被，不能恢复原有水土保持功能的，应当缴纳水土保持补偿费，专项用于水土流失预防和治理。</w:t>
            </w:r>
          </w:p>
        </w:tc>
        <w:tc>
          <w:tcPr>
            <w:tcW w:w="1470" w:type="pct"/>
            <w:tcBorders>
              <w:tl2br w:val="nil"/>
              <w:tr2bl w:val="nil"/>
            </w:tcBorders>
            <w:vAlign w:val="center"/>
          </w:tcPr>
          <w:p w14:paraId="1003E418">
            <w:pPr>
              <w:pStyle w:val="34"/>
              <w:rPr>
                <w:color w:val="000000" w:themeColor="text1"/>
                <w14:textFill>
                  <w14:solidFill>
                    <w14:schemeClr w14:val="tx1"/>
                  </w14:solidFill>
                </w14:textFill>
              </w:rPr>
            </w:pPr>
            <w:r>
              <w:rPr>
                <w:color w:val="000000" w:themeColor="text1"/>
                <w14:textFill>
                  <w14:solidFill>
                    <w14:schemeClr w14:val="tx1"/>
                  </w14:solidFill>
                </w14:textFill>
              </w:rPr>
              <w:t>工程建设</w:t>
            </w:r>
            <w:r>
              <w:rPr>
                <w:rFonts w:hint="eastAsia"/>
                <w:color w:val="000000" w:themeColor="text1"/>
                <w14:textFill>
                  <w14:solidFill>
                    <w14:schemeClr w14:val="tx1"/>
                  </w14:solidFill>
                </w14:textFill>
              </w:rPr>
              <w:t>将</w:t>
            </w:r>
            <w:r>
              <w:rPr>
                <w:color w:val="000000" w:themeColor="text1"/>
                <w14:textFill>
                  <w14:solidFill>
                    <w14:schemeClr w14:val="tx1"/>
                  </w14:solidFill>
                </w14:textFill>
              </w:rPr>
              <w:t>损坏</w:t>
            </w:r>
            <w:r>
              <w:rPr>
                <w:rFonts w:hint="eastAsia"/>
                <w:color w:val="000000" w:themeColor="text1"/>
                <w14:textFill>
                  <w14:solidFill>
                    <w14:schemeClr w14:val="tx1"/>
                  </w14:solidFill>
                </w14:textFill>
              </w:rPr>
              <w:t>该区域水土保持功能</w:t>
            </w:r>
            <w:r>
              <w:rPr>
                <w:color w:val="000000" w:themeColor="text1"/>
                <w14:textFill>
                  <w14:solidFill>
                    <w14:schemeClr w14:val="tx1"/>
                  </w14:solidFill>
                </w14:textFill>
              </w:rPr>
              <w:t>，本方案将计列水土保持补偿费，由建设单位缴纳，专项用于水土流失预防和治理</w:t>
            </w:r>
            <w:r>
              <w:rPr>
                <w:rFonts w:hint="eastAsia"/>
                <w:color w:val="000000" w:themeColor="text1"/>
                <w14:textFill>
                  <w14:solidFill>
                    <w14:schemeClr w14:val="tx1"/>
                  </w14:solidFill>
                </w14:textFill>
              </w:rPr>
              <w:t>。</w:t>
            </w:r>
          </w:p>
        </w:tc>
        <w:tc>
          <w:tcPr>
            <w:tcW w:w="1073" w:type="pct"/>
            <w:tcBorders>
              <w:tl2br w:val="nil"/>
              <w:tr2bl w:val="nil"/>
            </w:tcBorders>
            <w:vAlign w:val="center"/>
          </w:tcPr>
          <w:p w14:paraId="00521C74">
            <w:pPr>
              <w:pStyle w:val="34"/>
              <w:rPr>
                <w:color w:val="000000" w:themeColor="text1"/>
                <w14:textFill>
                  <w14:solidFill>
                    <w14:schemeClr w14:val="tx1"/>
                  </w14:solidFill>
                </w14:textFill>
              </w:rPr>
            </w:pPr>
            <w:r>
              <w:rPr>
                <w:color w:val="000000" w:themeColor="text1"/>
                <w14:textFill>
                  <w14:solidFill>
                    <w14:schemeClr w14:val="tx1"/>
                  </w14:solidFill>
                </w14:textFill>
              </w:rPr>
              <w:t>符合要求</w:t>
            </w:r>
          </w:p>
        </w:tc>
      </w:tr>
      <w:tr w14:paraId="6F296C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tcBorders>
              <w:tl2br w:val="nil"/>
              <w:tr2bl w:val="nil"/>
            </w:tcBorders>
            <w:vAlign w:val="center"/>
          </w:tcPr>
          <w:p w14:paraId="2DA20F9A">
            <w:pPr>
              <w:pStyle w:val="34"/>
              <w:rPr>
                <w:color w:val="000000" w:themeColor="text1"/>
                <w14:textFill>
                  <w14:solidFill>
                    <w14:schemeClr w14:val="tx1"/>
                  </w14:solidFill>
                </w14:textFill>
              </w:rPr>
            </w:pPr>
            <w:r>
              <w:rPr>
                <w:color w:val="000000" w:themeColor="text1"/>
                <w14:textFill>
                  <w14:solidFill>
                    <w14:schemeClr w14:val="tx1"/>
                  </w14:solidFill>
                </w14:textFill>
              </w:rPr>
              <w:t>7</w:t>
            </w:r>
          </w:p>
        </w:tc>
        <w:tc>
          <w:tcPr>
            <w:tcW w:w="2056" w:type="pct"/>
            <w:tcBorders>
              <w:tl2br w:val="nil"/>
              <w:tr2bl w:val="nil"/>
            </w:tcBorders>
            <w:vAlign w:val="center"/>
          </w:tcPr>
          <w:p w14:paraId="3D3D50D3">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第三十八条：对生产建设活动所占用土地的地表土应当进行分层剥离、保存和利用，做到土石方挖填平衡，减少地表扰动范围；生产建设活动结束后应当及时在取土场、开挖面和存放地的裸露土地上种树植草、恢复植被。</w:t>
            </w:r>
          </w:p>
        </w:tc>
        <w:tc>
          <w:tcPr>
            <w:tcW w:w="1470" w:type="pct"/>
            <w:tcBorders>
              <w:tl2br w:val="nil"/>
              <w:tr2bl w:val="nil"/>
            </w:tcBorders>
            <w:vAlign w:val="center"/>
          </w:tcPr>
          <w:p w14:paraId="74528C3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项目在场平前对可剥离区域全部进行表土剥离。</w:t>
            </w:r>
          </w:p>
        </w:tc>
        <w:tc>
          <w:tcPr>
            <w:tcW w:w="1073" w:type="pct"/>
            <w:tcBorders>
              <w:tl2br w:val="nil"/>
              <w:tr2bl w:val="nil"/>
            </w:tcBorders>
            <w:vAlign w:val="center"/>
          </w:tcPr>
          <w:p w14:paraId="1DDAD4F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基本符合</w:t>
            </w:r>
          </w:p>
        </w:tc>
      </w:tr>
      <w:tr w14:paraId="36CA80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Borders>
              <w:tl2br w:val="nil"/>
              <w:tr2bl w:val="nil"/>
            </w:tcBorders>
            <w:vAlign w:val="center"/>
          </w:tcPr>
          <w:p w14:paraId="232E0034">
            <w:pPr>
              <w:pStyle w:val="34"/>
              <w:rPr>
                <w:color w:val="000000" w:themeColor="text1"/>
                <w14:textFill>
                  <w14:solidFill>
                    <w14:schemeClr w14:val="tx1"/>
                  </w14:solidFill>
                </w14:textFill>
              </w:rPr>
            </w:pPr>
            <w:r>
              <w:rPr>
                <w:color w:val="000000" w:themeColor="text1"/>
                <w14:textFill>
                  <w14:solidFill>
                    <w14:schemeClr w14:val="tx1"/>
                  </w14:solidFill>
                </w14:textFill>
              </w:rPr>
              <w:t>综上分析，本项目符合水保法的相关规定</w:t>
            </w:r>
          </w:p>
        </w:tc>
      </w:tr>
    </w:tbl>
    <w:p w14:paraId="11A3AAB8">
      <w:pPr>
        <w:pStyle w:val="4"/>
        <w:tabs>
          <w:tab w:val="left" w:pos="720"/>
        </w:tabs>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与《</w:t>
      </w:r>
      <w:r>
        <w:rPr>
          <w:rFonts w:hint="eastAsia"/>
          <w:color w:val="000000" w:themeColor="text1"/>
          <w14:textFill>
            <w14:solidFill>
              <w14:schemeClr w14:val="tx1"/>
            </w14:solidFill>
          </w14:textFill>
        </w:rPr>
        <w:t>生产</w:t>
      </w:r>
      <w:r>
        <w:rPr>
          <w:color w:val="000000" w:themeColor="text1"/>
          <w14:textFill>
            <w14:solidFill>
              <w14:schemeClr w14:val="tx1"/>
            </w14:solidFill>
          </w14:textFill>
        </w:rPr>
        <w:t>建设项目水土保持技术</w:t>
      </w:r>
      <w:r>
        <w:rPr>
          <w:rFonts w:hint="eastAsia"/>
          <w:color w:val="000000" w:themeColor="text1"/>
          <w14:textFill>
            <w14:solidFill>
              <w14:schemeClr w14:val="tx1"/>
            </w14:solidFill>
          </w14:textFill>
        </w:rPr>
        <w:t>标准</w:t>
      </w:r>
      <w:r>
        <w:rPr>
          <w:color w:val="000000" w:themeColor="text1"/>
          <w14:textFill>
            <w14:solidFill>
              <w14:schemeClr w14:val="tx1"/>
            </w14:solidFill>
          </w14:textFill>
        </w:rPr>
        <w:t>》制约因素分析与评价</w:t>
      </w:r>
    </w:p>
    <w:p w14:paraId="4ED9180E">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本项目与《</w:t>
      </w:r>
      <w:r>
        <w:rPr>
          <w:rFonts w:hint="eastAsia"/>
          <w:color w:val="000000" w:themeColor="text1"/>
          <w14:textFill>
            <w14:solidFill>
              <w14:schemeClr w14:val="tx1"/>
            </w14:solidFill>
          </w14:textFill>
        </w:rPr>
        <w:t>生产</w:t>
      </w:r>
      <w:r>
        <w:rPr>
          <w:color w:val="000000" w:themeColor="text1"/>
          <w14:textFill>
            <w14:solidFill>
              <w14:schemeClr w14:val="tx1"/>
            </w14:solidFill>
          </w14:textFill>
        </w:rPr>
        <w:t>建设项目水土保持技术</w:t>
      </w:r>
      <w:r>
        <w:rPr>
          <w:rFonts w:hint="eastAsia"/>
          <w:color w:val="000000" w:themeColor="text1"/>
          <w14:textFill>
            <w14:solidFill>
              <w14:schemeClr w14:val="tx1"/>
            </w14:solidFill>
          </w14:textFill>
        </w:rPr>
        <w:t>标准</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（GB50433-2018）</w:t>
      </w:r>
      <w:r>
        <w:rPr>
          <w:color w:val="000000" w:themeColor="text1"/>
          <w14:textFill>
            <w14:solidFill>
              <w14:schemeClr w14:val="tx1"/>
            </w14:solidFill>
          </w14:textFill>
        </w:rPr>
        <w:t>制约因素分析与评价详见</w:t>
      </w:r>
      <w:r>
        <w:rPr>
          <w:rFonts w:hint="eastAsia"/>
          <w:color w:val="000000" w:themeColor="text1"/>
          <w14:textFill>
            <w14:solidFill>
              <w14:schemeClr w14:val="tx1"/>
            </w14:solidFill>
          </w14:textFill>
        </w:rPr>
        <w:t>下表</w:t>
      </w:r>
      <w:r>
        <w:rPr>
          <w:color w:val="000000" w:themeColor="text1"/>
          <w14:textFill>
            <w14:solidFill>
              <w14:schemeClr w14:val="tx1"/>
            </w14:solidFill>
          </w14:textFill>
        </w:rPr>
        <w:t>。</w:t>
      </w:r>
    </w:p>
    <w:p w14:paraId="797CA84D">
      <w:pPr>
        <w:ind w:firstLine="482"/>
        <w:jc w:val="center"/>
        <w:rPr>
          <w:b/>
          <w:bCs/>
          <w:color w:val="000000" w:themeColor="text1"/>
          <w14:textFill>
            <w14:solidFill>
              <w14:schemeClr w14:val="tx1"/>
            </w14:solidFill>
          </w14:textFill>
        </w:rPr>
      </w:pPr>
      <w:r>
        <w:rPr>
          <w:b/>
          <w:bCs/>
          <w:color w:val="000000" w:themeColor="text1"/>
          <w14:textFill>
            <w14:solidFill>
              <w14:schemeClr w14:val="tx1"/>
            </w14:solidFill>
          </w14:textFill>
        </w:rPr>
        <w:t>表</w:t>
      </w:r>
      <w:r>
        <w:rPr>
          <w:rFonts w:hint="eastAsia"/>
          <w:b/>
          <w:bCs/>
          <w:color w:val="000000" w:themeColor="text1"/>
          <w14:textFill>
            <w14:solidFill>
              <w14:schemeClr w14:val="tx1"/>
            </w14:solidFill>
          </w14:textFill>
        </w:rPr>
        <w:t>3</w:t>
      </w: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2</w:t>
      </w:r>
      <w:r>
        <w:rPr>
          <w:b/>
          <w:bCs/>
          <w:color w:val="000000" w:themeColor="text1"/>
          <w14:textFill>
            <w14:solidFill>
              <w14:schemeClr w14:val="tx1"/>
            </w14:solidFill>
          </w14:textFill>
        </w:rPr>
        <w:t xml:space="preserve">  </w:t>
      </w:r>
      <w:r>
        <w:rPr>
          <w:rFonts w:hint="eastAsia"/>
          <w:b/>
          <w:bCs/>
          <w:color w:val="000000" w:themeColor="text1"/>
          <w14:textFill>
            <w14:solidFill>
              <w14:schemeClr w14:val="tx1"/>
            </w14:solidFill>
          </w14:textFill>
        </w:rPr>
        <w:t xml:space="preserve">               水土保持制约因素</w:t>
      </w:r>
      <w:r>
        <w:rPr>
          <w:b/>
          <w:bCs/>
          <w:color w:val="000000" w:themeColor="text1"/>
          <w14:textFill>
            <w14:solidFill>
              <w14:schemeClr w14:val="tx1"/>
            </w14:solidFill>
          </w14:textFill>
        </w:rPr>
        <w:t>分析与评价</w:t>
      </w:r>
    </w:p>
    <w:tbl>
      <w:tblPr>
        <w:tblStyle w:val="26"/>
        <w:tblW w:w="530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828"/>
        <w:gridCol w:w="4394"/>
        <w:gridCol w:w="1985"/>
        <w:gridCol w:w="1300"/>
      </w:tblGrid>
      <w:tr w14:paraId="2FCBDB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94" w:type="pct"/>
            <w:tcBorders>
              <w:tl2br w:val="nil"/>
              <w:tr2bl w:val="nil"/>
            </w:tcBorders>
            <w:vAlign w:val="center"/>
          </w:tcPr>
          <w:p w14:paraId="3E517C4C">
            <w:pPr>
              <w:pStyle w:val="34"/>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458" w:type="pct"/>
            <w:tcBorders>
              <w:tl2br w:val="nil"/>
              <w:tr2bl w:val="nil"/>
            </w:tcBorders>
            <w:vAlign w:val="center"/>
          </w:tcPr>
          <w:p w14:paraId="571A3FDB">
            <w:pPr>
              <w:pStyle w:val="34"/>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2431" w:type="pct"/>
            <w:tcBorders>
              <w:tl2br w:val="nil"/>
              <w:tr2bl w:val="nil"/>
            </w:tcBorders>
            <w:vAlign w:val="center"/>
          </w:tcPr>
          <w:p w14:paraId="2510A301">
            <w:pPr>
              <w:pStyle w:val="34"/>
              <w:rPr>
                <w:color w:val="000000" w:themeColor="text1"/>
                <w14:textFill>
                  <w14:solidFill>
                    <w14:schemeClr w14:val="tx1"/>
                  </w14:solidFill>
                </w14:textFill>
              </w:rPr>
            </w:pPr>
            <w:r>
              <w:rPr>
                <w:color w:val="000000" w:themeColor="text1"/>
                <w14:textFill>
                  <w14:solidFill>
                    <w14:schemeClr w14:val="tx1"/>
                  </w14:solidFill>
                </w14:textFill>
              </w:rPr>
              <w:t>约束性规定</w:t>
            </w:r>
          </w:p>
        </w:tc>
        <w:tc>
          <w:tcPr>
            <w:tcW w:w="1098" w:type="pct"/>
            <w:tcBorders>
              <w:tl2br w:val="nil"/>
              <w:tr2bl w:val="nil"/>
            </w:tcBorders>
            <w:vAlign w:val="center"/>
          </w:tcPr>
          <w:p w14:paraId="0A4A2D2A">
            <w:pPr>
              <w:pStyle w:val="34"/>
              <w:rPr>
                <w:color w:val="000000" w:themeColor="text1"/>
                <w14:textFill>
                  <w14:solidFill>
                    <w14:schemeClr w14:val="tx1"/>
                  </w14:solidFill>
                </w14:textFill>
              </w:rPr>
            </w:pPr>
            <w:r>
              <w:rPr>
                <w:color w:val="000000" w:themeColor="text1"/>
                <w14:textFill>
                  <w14:solidFill>
                    <w14:schemeClr w14:val="tx1"/>
                  </w14:solidFill>
                </w14:textFill>
              </w:rPr>
              <w:t>本项目情况</w:t>
            </w:r>
          </w:p>
        </w:tc>
        <w:tc>
          <w:tcPr>
            <w:tcW w:w="720" w:type="pct"/>
            <w:tcBorders>
              <w:tl2br w:val="nil"/>
              <w:tr2bl w:val="nil"/>
            </w:tcBorders>
            <w:vAlign w:val="center"/>
          </w:tcPr>
          <w:p w14:paraId="5AB368E4">
            <w:pPr>
              <w:pStyle w:val="34"/>
              <w:rPr>
                <w:color w:val="000000" w:themeColor="text1"/>
                <w14:textFill>
                  <w14:solidFill>
                    <w14:schemeClr w14:val="tx1"/>
                  </w14:solidFill>
                </w14:textFill>
              </w:rPr>
            </w:pPr>
            <w:r>
              <w:rPr>
                <w:color w:val="000000" w:themeColor="text1"/>
                <w14:textFill>
                  <w14:solidFill>
                    <w14:schemeClr w14:val="tx1"/>
                  </w14:solidFill>
                </w14:textFill>
              </w:rPr>
              <w:t>符合性分析</w:t>
            </w:r>
          </w:p>
        </w:tc>
      </w:tr>
      <w:tr w14:paraId="3058B3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 w:type="pct"/>
            <w:tcBorders>
              <w:tl2br w:val="nil"/>
              <w:tr2bl w:val="nil"/>
            </w:tcBorders>
            <w:vAlign w:val="center"/>
          </w:tcPr>
          <w:p w14:paraId="3AAAF472">
            <w:pPr>
              <w:pStyle w:val="34"/>
              <w:rPr>
                <w:color w:val="000000" w:themeColor="text1"/>
                <w14:textFill>
                  <w14:solidFill>
                    <w14:schemeClr w14:val="tx1"/>
                  </w14:solidFill>
                </w14:textFill>
              </w:rPr>
            </w:pPr>
            <w:r>
              <w:rPr>
                <w:color w:val="000000" w:themeColor="text1"/>
                <w14:textFill>
                  <w14:solidFill>
                    <w14:schemeClr w14:val="tx1"/>
                  </w14:solidFill>
                </w14:textFill>
              </w:rPr>
              <w:t>1</w:t>
            </w:r>
          </w:p>
        </w:tc>
        <w:tc>
          <w:tcPr>
            <w:tcW w:w="458" w:type="pct"/>
            <w:tcBorders>
              <w:tl2br w:val="nil"/>
              <w:tr2bl w:val="nil"/>
            </w:tcBorders>
            <w:vAlign w:val="center"/>
          </w:tcPr>
          <w:p w14:paraId="4B7090B5">
            <w:pPr>
              <w:pStyle w:val="34"/>
              <w:rPr>
                <w:color w:val="000000" w:themeColor="text1"/>
                <w14:textFill>
                  <w14:solidFill>
                    <w14:schemeClr w14:val="tx1"/>
                  </w14:solidFill>
                </w14:textFill>
              </w:rPr>
            </w:pPr>
            <w:r>
              <w:rPr>
                <w:color w:val="000000" w:themeColor="text1"/>
                <w14:textFill>
                  <w14:solidFill>
                    <w14:schemeClr w14:val="tx1"/>
                  </w14:solidFill>
                </w14:textFill>
              </w:rPr>
              <w:t xml:space="preserve">工程选址(线) </w:t>
            </w:r>
          </w:p>
        </w:tc>
        <w:tc>
          <w:tcPr>
            <w:tcW w:w="2431" w:type="pct"/>
            <w:tcBorders>
              <w:tl2br w:val="nil"/>
              <w:tr2bl w:val="nil"/>
            </w:tcBorders>
            <w:vAlign w:val="center"/>
          </w:tcPr>
          <w:p w14:paraId="386C3AAF">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主体工程</w:t>
            </w:r>
            <w:r>
              <w:rPr>
                <w:color w:val="000000" w:themeColor="text1"/>
                <w14:textFill>
                  <w14:solidFill>
                    <w14:schemeClr w14:val="tx1"/>
                  </w14:solidFill>
                </w14:textFill>
              </w:rPr>
              <w:t>应避让水土流失重点预防区和重点治理区；</w:t>
            </w:r>
          </w:p>
          <w:p w14:paraId="2B1417A1">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主体工程</w:t>
            </w:r>
            <w:r>
              <w:rPr>
                <w:color w:val="000000" w:themeColor="text1"/>
                <w14:textFill>
                  <w14:solidFill>
                    <w14:schemeClr w14:val="tx1"/>
                  </w14:solidFill>
                </w14:textFill>
              </w:rPr>
              <w:t>应避让河流两岸、湖泊、水库周边的植物保护带；</w:t>
            </w:r>
          </w:p>
          <w:p w14:paraId="3CDB3CFA">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3、主体工程应避让全国水土保持监测网络中的水土保持监测站点及国家确定的水土保持长期定位观测站；</w:t>
            </w:r>
          </w:p>
        </w:tc>
        <w:tc>
          <w:tcPr>
            <w:tcW w:w="1098" w:type="pct"/>
            <w:tcBorders>
              <w:tl2br w:val="nil"/>
              <w:tr2bl w:val="nil"/>
            </w:tcBorders>
            <w:vAlign w:val="center"/>
          </w:tcPr>
          <w:p w14:paraId="41BF1338">
            <w:pPr>
              <w:pStyle w:val="34"/>
              <w:jc w:val="left"/>
              <w:rPr>
                <w:color w:val="000000" w:themeColor="text1"/>
                <w14:textFill>
                  <w14:solidFill>
                    <w14:schemeClr w14:val="tx1"/>
                  </w14:solidFill>
                </w14:textFill>
              </w:rPr>
            </w:pPr>
            <w:bookmarkStart w:id="82" w:name="_Hlk65787006"/>
            <w:r>
              <w:rPr>
                <w:color w:val="000000" w:themeColor="text1"/>
                <w14:textFill>
                  <w14:solidFill>
                    <w14:schemeClr w14:val="tx1"/>
                  </w14:solidFill>
                </w14:textFill>
              </w:rPr>
              <w:t>1</w:t>
            </w:r>
            <w:r>
              <w:rPr>
                <w:rFonts w:hint="eastAsia"/>
                <w:color w:val="000000" w:themeColor="text1"/>
                <w14:textFill>
                  <w14:solidFill>
                    <w14:schemeClr w14:val="tx1"/>
                  </w14:solidFill>
                </w14:textFill>
              </w:rPr>
              <w:t>、项目选址无法避让市级水土流失重点治理区。</w:t>
            </w:r>
          </w:p>
          <w:p w14:paraId="5A51215C">
            <w:pPr>
              <w:pStyle w:val="34"/>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2、本项目不涉及</w:t>
            </w:r>
            <w:r>
              <w:rPr>
                <w:color w:val="000000" w:themeColor="text1"/>
                <w14:textFill>
                  <w14:solidFill>
                    <w14:schemeClr w14:val="tx1"/>
                  </w14:solidFill>
                </w14:textFill>
              </w:rPr>
              <w:t>。</w:t>
            </w:r>
          </w:p>
          <w:p w14:paraId="7579B457">
            <w:pPr>
              <w:pStyle w:val="34"/>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3、本项目区</w:t>
            </w:r>
            <w:r>
              <w:rPr>
                <w:color w:val="000000" w:themeColor="text1"/>
                <w14:textFill>
                  <w14:solidFill>
                    <w14:schemeClr w14:val="tx1"/>
                  </w14:solidFill>
                </w14:textFill>
              </w:rPr>
              <w:t>无水土保持长期定位观测站</w:t>
            </w:r>
            <w:r>
              <w:rPr>
                <w:rFonts w:hint="eastAsia"/>
                <w:color w:val="000000" w:themeColor="text1"/>
                <w14:textFill>
                  <w14:solidFill>
                    <w14:schemeClr w14:val="tx1"/>
                  </w14:solidFill>
                </w14:textFill>
              </w:rPr>
              <w:t>。</w:t>
            </w:r>
            <w:bookmarkEnd w:id="82"/>
          </w:p>
        </w:tc>
        <w:tc>
          <w:tcPr>
            <w:tcW w:w="720" w:type="pct"/>
            <w:tcBorders>
              <w:tl2br w:val="nil"/>
              <w:tr2bl w:val="nil"/>
            </w:tcBorders>
            <w:vAlign w:val="center"/>
          </w:tcPr>
          <w:p w14:paraId="5908595A">
            <w:pPr>
              <w:pStyle w:val="34"/>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通过提高截排水工程防洪标准，布设沉沙设施，优化施工工艺等措施可以控制因工程建设造成的水土流失</w:t>
            </w:r>
          </w:p>
        </w:tc>
      </w:tr>
      <w:tr w14:paraId="5D2CBE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 w:type="pct"/>
            <w:tcBorders>
              <w:tl2br w:val="nil"/>
              <w:tr2bl w:val="nil"/>
            </w:tcBorders>
            <w:vAlign w:val="center"/>
          </w:tcPr>
          <w:p w14:paraId="55E46AF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458" w:type="pct"/>
            <w:tcBorders>
              <w:tl2br w:val="nil"/>
              <w:tr2bl w:val="nil"/>
            </w:tcBorders>
            <w:vAlign w:val="center"/>
          </w:tcPr>
          <w:p w14:paraId="36E96512">
            <w:pPr>
              <w:pStyle w:val="34"/>
              <w:rPr>
                <w:color w:val="000000" w:themeColor="text1"/>
                <w14:textFill>
                  <w14:solidFill>
                    <w14:schemeClr w14:val="tx1"/>
                  </w14:solidFill>
                </w14:textFill>
              </w:rPr>
            </w:pPr>
            <w:r>
              <w:rPr>
                <w:color w:val="000000" w:themeColor="text1"/>
                <w14:textFill>
                  <w14:solidFill>
                    <w14:schemeClr w14:val="tx1"/>
                  </w14:solidFill>
                </w14:textFill>
              </w:rPr>
              <w:t>施工组织</w:t>
            </w:r>
          </w:p>
        </w:tc>
        <w:tc>
          <w:tcPr>
            <w:tcW w:w="2431" w:type="pct"/>
            <w:tcBorders>
              <w:tl2br w:val="nil"/>
              <w:tr2bl w:val="nil"/>
            </w:tcBorders>
            <w:vAlign w:val="center"/>
          </w:tcPr>
          <w:p w14:paraId="32D7325D">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1、应控制施工场地占地，避开植被相对良好的区域和基本农田区；</w:t>
            </w:r>
          </w:p>
          <w:p w14:paraId="04B3F6ED">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2、应合理安排施工，防治重复开挖和多次倒运，减少裸露时间和范围；</w:t>
            </w:r>
          </w:p>
          <w:p w14:paraId="07148D1C">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3、在河岸陡坡开挖土石方，以及开挖边坡下方有沟渠、公路、铁路、居民点和其他重要基础设施时，宜设计渣石渡槽、溜渣洞等专门设施，将开挖的土石导出；</w:t>
            </w:r>
          </w:p>
          <w:p w14:paraId="3A7628B0">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4、弃土、弃石、弃渣应分类堆放；</w:t>
            </w:r>
          </w:p>
          <w:p w14:paraId="6203C6A5">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5、外借土石方应优先考虑利用其他工程废弃的土（石、渣），外借土（石、料）应选择合规的料场；</w:t>
            </w:r>
          </w:p>
          <w:p w14:paraId="45E8988F">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6、大型料场宜分台阶开采，控制开挖深度。爆破开挖应控制装药量和爆破范围；</w:t>
            </w:r>
          </w:p>
          <w:p w14:paraId="07318004">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7、工程标段划分应考虑合理调配土石方，减少取土（石）方、弃土（石、渣）方和临时占地数量。</w:t>
            </w:r>
          </w:p>
        </w:tc>
        <w:tc>
          <w:tcPr>
            <w:tcW w:w="1098" w:type="pct"/>
            <w:tcBorders>
              <w:tl2br w:val="nil"/>
              <w:tr2bl w:val="nil"/>
            </w:tcBorders>
            <w:vAlign w:val="center"/>
          </w:tcPr>
          <w:p w14:paraId="1108D9AB">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1、本项目严格控制施工场地范围，不占用基本农田；</w:t>
            </w:r>
          </w:p>
          <w:p w14:paraId="1B934226">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2、本方案将提出要求；</w:t>
            </w:r>
          </w:p>
          <w:p w14:paraId="7B5D7B27">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3、本项目不涉及；</w:t>
            </w:r>
          </w:p>
          <w:p w14:paraId="4C4A6EB8">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4、本项目</w:t>
            </w:r>
            <w:r>
              <w:rPr>
                <w:rFonts w:hint="eastAsia"/>
                <w:color w:val="000000" w:themeColor="text1"/>
                <w14:textFill>
                  <w14:solidFill>
                    <w14:schemeClr w14:val="tx1"/>
                  </w14:solidFill>
                </w14:textFill>
              </w:rPr>
              <w:t>不涉及</w:t>
            </w:r>
            <w:r>
              <w:rPr>
                <w:color w:val="000000" w:themeColor="text1"/>
                <w14:textFill>
                  <w14:solidFill>
                    <w14:schemeClr w14:val="tx1"/>
                  </w14:solidFill>
                </w14:textFill>
              </w:rPr>
              <w:t>；</w:t>
            </w:r>
          </w:p>
          <w:p w14:paraId="5E8663E1">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5、本项目外借施工材料均购买自合规的料场；</w:t>
            </w:r>
          </w:p>
          <w:p w14:paraId="64B2A32D">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6、本项目不涉及；</w:t>
            </w:r>
          </w:p>
          <w:p w14:paraId="342AD987">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7、本项目</w:t>
            </w:r>
            <w:r>
              <w:rPr>
                <w:rFonts w:hint="eastAsia"/>
                <w:color w:val="000000" w:themeColor="text1"/>
                <w14:textFill>
                  <w14:solidFill>
                    <w14:schemeClr w14:val="tx1"/>
                  </w14:solidFill>
                </w14:textFill>
              </w:rPr>
              <w:t>不划分标段。</w:t>
            </w:r>
          </w:p>
        </w:tc>
        <w:tc>
          <w:tcPr>
            <w:tcW w:w="720" w:type="pct"/>
            <w:tcBorders>
              <w:tl2br w:val="nil"/>
              <w:tr2bl w:val="nil"/>
            </w:tcBorders>
            <w:vAlign w:val="center"/>
          </w:tcPr>
          <w:p w14:paraId="6AE7E443">
            <w:pPr>
              <w:pStyle w:val="34"/>
              <w:rPr>
                <w:color w:val="000000" w:themeColor="text1"/>
                <w14:textFill>
                  <w14:solidFill>
                    <w14:schemeClr w14:val="tx1"/>
                  </w14:solidFill>
                </w14:textFill>
              </w:rPr>
            </w:pPr>
            <w:r>
              <w:rPr>
                <w:color w:val="000000" w:themeColor="text1"/>
                <w14:textFill>
                  <w14:solidFill>
                    <w14:schemeClr w14:val="tx1"/>
                  </w14:solidFill>
                </w14:textFill>
              </w:rPr>
              <w:t>符合相关规定</w:t>
            </w:r>
          </w:p>
        </w:tc>
      </w:tr>
      <w:tr w14:paraId="177FC9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 w:type="pct"/>
            <w:tcBorders>
              <w:tl2br w:val="nil"/>
              <w:tr2bl w:val="nil"/>
            </w:tcBorders>
            <w:vAlign w:val="center"/>
          </w:tcPr>
          <w:p w14:paraId="1894039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58" w:type="pct"/>
            <w:tcBorders>
              <w:tl2br w:val="nil"/>
              <w:tr2bl w:val="nil"/>
            </w:tcBorders>
            <w:vAlign w:val="center"/>
          </w:tcPr>
          <w:p w14:paraId="015ABDAE">
            <w:pPr>
              <w:pStyle w:val="34"/>
              <w:rPr>
                <w:color w:val="000000" w:themeColor="text1"/>
                <w14:textFill>
                  <w14:solidFill>
                    <w14:schemeClr w14:val="tx1"/>
                  </w14:solidFill>
                </w14:textFill>
              </w:rPr>
            </w:pPr>
            <w:r>
              <w:rPr>
                <w:color w:val="000000" w:themeColor="text1"/>
                <w14:textFill>
                  <w14:solidFill>
                    <w14:schemeClr w14:val="tx1"/>
                  </w14:solidFill>
                </w14:textFill>
              </w:rPr>
              <w:t>西</w:t>
            </w:r>
            <w:r>
              <w:rPr>
                <w:rFonts w:hint="eastAsia"/>
                <w:color w:val="000000" w:themeColor="text1"/>
                <w14:textFill>
                  <w14:solidFill>
                    <w14:schemeClr w14:val="tx1"/>
                  </w14:solidFill>
                </w14:textFill>
              </w:rPr>
              <w:t>南紫色土区</w:t>
            </w:r>
            <w:r>
              <w:rPr>
                <w:color w:val="000000" w:themeColor="text1"/>
                <w14:textFill>
                  <w14:solidFill>
                    <w14:schemeClr w14:val="tx1"/>
                  </w14:solidFill>
                </w14:textFill>
              </w:rPr>
              <w:t>规定</w:t>
            </w:r>
          </w:p>
        </w:tc>
        <w:tc>
          <w:tcPr>
            <w:tcW w:w="2431" w:type="pct"/>
            <w:tcBorders>
              <w:tl2br w:val="nil"/>
              <w:tr2bl w:val="nil"/>
            </w:tcBorders>
            <w:vAlign w:val="center"/>
          </w:tcPr>
          <w:p w14:paraId="112B7F6D">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弃土(石、渣)场应注重防洪排水、拦挡措施；</w:t>
            </w:r>
          </w:p>
          <w:p w14:paraId="4CC42974">
            <w:pPr>
              <w:pStyle w:val="34"/>
              <w:jc w:val="both"/>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江河上游水源涵养区应采取水源涵养措施</w:t>
            </w:r>
            <w:r>
              <w:rPr>
                <w:color w:val="000000" w:themeColor="text1"/>
                <w14:textFill>
                  <w14:solidFill>
                    <w14:schemeClr w14:val="tx1"/>
                  </w14:solidFill>
                </w14:textFill>
              </w:rPr>
              <w:t>。</w:t>
            </w:r>
          </w:p>
        </w:tc>
        <w:tc>
          <w:tcPr>
            <w:tcW w:w="1098" w:type="pct"/>
            <w:tcBorders>
              <w:tl2br w:val="nil"/>
              <w:tr2bl w:val="nil"/>
            </w:tcBorders>
            <w:vAlign w:val="center"/>
          </w:tcPr>
          <w:p w14:paraId="1C77169B">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本项目不涉及。</w:t>
            </w:r>
          </w:p>
          <w:p w14:paraId="1FAAF0CF">
            <w:pPr>
              <w:pStyle w:val="34"/>
              <w:jc w:val="left"/>
              <w:rPr>
                <w:color w:val="000000" w:themeColor="text1"/>
                <w14:textFill>
                  <w14:solidFill>
                    <w14:schemeClr w14:val="tx1"/>
                  </w14:solidFill>
                </w14:textFill>
              </w:rPr>
            </w:pPr>
            <w:r>
              <w:rPr>
                <w:color w:val="000000" w:themeColor="text1"/>
                <w14:textFill>
                  <w14:solidFill>
                    <w14:schemeClr w14:val="tx1"/>
                  </w14:solidFill>
                </w14:textFill>
              </w:rPr>
              <w:t>2、本项目不涉及</w:t>
            </w:r>
          </w:p>
        </w:tc>
        <w:tc>
          <w:tcPr>
            <w:tcW w:w="720" w:type="pct"/>
            <w:tcBorders>
              <w:tl2br w:val="nil"/>
              <w:tr2bl w:val="nil"/>
            </w:tcBorders>
            <w:vAlign w:val="center"/>
          </w:tcPr>
          <w:p w14:paraId="7BE4E70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基本</w:t>
            </w:r>
            <w:r>
              <w:rPr>
                <w:color w:val="000000" w:themeColor="text1"/>
                <w14:textFill>
                  <w14:solidFill>
                    <w14:schemeClr w14:val="tx1"/>
                  </w14:solidFill>
                </w14:textFill>
              </w:rPr>
              <w:t>符合相关规定</w:t>
            </w:r>
          </w:p>
        </w:tc>
      </w:tr>
      <w:tr w14:paraId="772743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4" w:type="pct"/>
            <w:tcBorders>
              <w:tl2br w:val="nil"/>
              <w:tr2bl w:val="nil"/>
            </w:tcBorders>
            <w:vAlign w:val="center"/>
          </w:tcPr>
          <w:p w14:paraId="1C5CDC1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58" w:type="pct"/>
            <w:tcBorders>
              <w:tl2br w:val="nil"/>
              <w:tr2bl w:val="nil"/>
            </w:tcBorders>
            <w:vAlign w:val="center"/>
          </w:tcPr>
          <w:p w14:paraId="31750A8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城市区特殊规定</w:t>
            </w:r>
          </w:p>
        </w:tc>
        <w:tc>
          <w:tcPr>
            <w:tcW w:w="2431" w:type="pct"/>
            <w:tcBorders>
              <w:tl2br w:val="nil"/>
              <w:tr2bl w:val="nil"/>
            </w:tcBorders>
            <w:vAlign w:val="center"/>
          </w:tcPr>
          <w:p w14:paraId="72215CD1">
            <w:pPr>
              <w:pStyle w:val="34"/>
              <w:numPr>
                <w:ilvl w:val="0"/>
                <w:numId w:val="1"/>
              </w:numPr>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应采用下凹式绿地和透水材料铺装地面等措施，增加降雨入渗；</w:t>
            </w:r>
          </w:p>
          <w:p w14:paraId="04F2A93A">
            <w:pPr>
              <w:pStyle w:val="34"/>
              <w:numPr>
                <w:ilvl w:val="0"/>
                <w:numId w:val="1"/>
              </w:numPr>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应综合利用地表径流设置蓄水池等雨洪利用和调蓄设施；</w:t>
            </w:r>
          </w:p>
          <w:p w14:paraId="6C52CDBD">
            <w:pPr>
              <w:pStyle w:val="34"/>
              <w:numPr>
                <w:ilvl w:val="0"/>
                <w:numId w:val="1"/>
              </w:numPr>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临时堆土（料）应采取拦挡、苫盖、排水、沉沙等措施，运输渣土的车辆车厢应遮盖车轮应冲洗，防治产生扬尘和泥沙进入市政管网；</w:t>
            </w:r>
          </w:p>
          <w:p w14:paraId="3FABCA4A">
            <w:pPr>
              <w:pStyle w:val="34"/>
              <w:numPr>
                <w:ilvl w:val="0"/>
                <w:numId w:val="1"/>
              </w:numPr>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取土、弃土处置，宜与其他建设项目统筹。</w:t>
            </w:r>
          </w:p>
        </w:tc>
        <w:tc>
          <w:tcPr>
            <w:tcW w:w="1098" w:type="pct"/>
            <w:tcBorders>
              <w:tl2br w:val="nil"/>
              <w:tr2bl w:val="nil"/>
            </w:tcBorders>
            <w:vAlign w:val="center"/>
          </w:tcPr>
          <w:p w14:paraId="3C7C51D3">
            <w:pPr>
              <w:pStyle w:val="34"/>
              <w:numPr>
                <w:ilvl w:val="0"/>
                <w:numId w:val="2"/>
              </w:numPr>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主体工程采用停车位渗透铺装、植草沟、雨水蓄水池，增加了降雨入渗。</w:t>
            </w:r>
          </w:p>
          <w:p w14:paraId="085BD66F">
            <w:pPr>
              <w:pStyle w:val="34"/>
              <w:numPr>
                <w:ilvl w:val="0"/>
                <w:numId w:val="2"/>
              </w:numPr>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主体工程在施工场地设置了临时排水沟和沉沙池。</w:t>
            </w:r>
          </w:p>
          <w:p w14:paraId="463E1E71">
            <w:pPr>
              <w:pStyle w:val="34"/>
              <w:numPr>
                <w:ilvl w:val="0"/>
                <w:numId w:val="2"/>
              </w:num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本项目不涉及；</w:t>
            </w:r>
          </w:p>
          <w:p w14:paraId="58229EC7">
            <w:pPr>
              <w:pStyle w:val="34"/>
              <w:numPr>
                <w:ilvl w:val="0"/>
                <w:numId w:val="2"/>
              </w:numPr>
              <w:jc w:val="left"/>
              <w:rPr>
                <w:color w:val="000000" w:themeColor="text1"/>
                <w14:textFill>
                  <w14:solidFill>
                    <w14:schemeClr w14:val="tx1"/>
                  </w14:solidFill>
                </w14:textFill>
              </w:rPr>
            </w:pPr>
            <w:r>
              <w:rPr>
                <w:rFonts w:hint="eastAsia"/>
                <w:color w:val="000000" w:themeColor="text1"/>
                <w:highlight w:val="none"/>
                <w14:textFill>
                  <w14:solidFill>
                    <w14:schemeClr w14:val="tx1"/>
                  </w14:solidFill>
                </w14:textFill>
              </w:rPr>
              <w:t>项目余方运送至距离项目4.5公里的绵阳会展中心综合体项目周边道路建设项目（三期）回填后综合利用。</w:t>
            </w:r>
          </w:p>
        </w:tc>
        <w:tc>
          <w:tcPr>
            <w:tcW w:w="720" w:type="pct"/>
            <w:tcBorders>
              <w:tl2br w:val="nil"/>
              <w:tr2bl w:val="nil"/>
            </w:tcBorders>
            <w:vAlign w:val="center"/>
          </w:tcPr>
          <w:p w14:paraId="43322E4E">
            <w:pPr>
              <w:pStyle w:val="34"/>
              <w:rPr>
                <w:color w:val="000000" w:themeColor="text1"/>
                <w14:textFill>
                  <w14:solidFill>
                    <w14:schemeClr w14:val="tx1"/>
                  </w14:solidFill>
                </w14:textFill>
              </w:rPr>
            </w:pPr>
            <w:r>
              <w:rPr>
                <w:color w:val="000000" w:themeColor="text1"/>
                <w14:textFill>
                  <w14:solidFill>
                    <w14:schemeClr w14:val="tx1"/>
                  </w14:solidFill>
                </w14:textFill>
              </w:rPr>
              <w:t>符合相关规定</w:t>
            </w:r>
          </w:p>
        </w:tc>
      </w:tr>
    </w:tbl>
    <w:p w14:paraId="38516A7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3.1.4综合分析结论</w:t>
      </w:r>
    </w:p>
    <w:p w14:paraId="266DF295">
      <w:pPr>
        <w:adjustRightInd/>
        <w:ind w:firstLine="480"/>
        <w:rPr>
          <w:color w:val="000000" w:themeColor="text1"/>
          <w14:textFill>
            <w14:solidFill>
              <w14:schemeClr w14:val="tx1"/>
            </w14:solidFill>
          </w14:textFill>
        </w:rPr>
      </w:pPr>
      <w:r>
        <w:rPr>
          <w:color w:val="000000" w:themeColor="text1"/>
          <w14:textFill>
            <w14:solidFill>
              <w14:schemeClr w14:val="tx1"/>
            </w14:solidFill>
          </w14:textFill>
        </w:rPr>
        <w:t>通过逐条对照《中华人民共和国水土保持法》（2011年3月1日实施）、《生产建设项目水土保持技术标准》（GB 50433-2018）的分析评价，</w:t>
      </w:r>
      <w:r>
        <w:rPr>
          <w:rFonts w:hint="eastAsia"/>
          <w:color w:val="000000" w:themeColor="text1"/>
          <w14:textFill>
            <w14:solidFill>
              <w14:schemeClr w14:val="tx1"/>
            </w14:solidFill>
          </w14:textFill>
        </w:rPr>
        <w:t>对主体工程选址的水土保持制约因素进行了分析与评价，主要体现在以下方面</w:t>
      </w:r>
      <w:r>
        <w:rPr>
          <w:rFonts w:hint="eastAsia"/>
          <w:color w:val="000000" w:themeColor="text1"/>
          <w:spacing w:val="-4"/>
          <w14:textFill>
            <w14:solidFill>
              <w14:schemeClr w14:val="tx1"/>
            </w14:solidFill>
          </w14:textFill>
        </w:rPr>
        <w:t>：</w:t>
      </w:r>
    </w:p>
    <w:p w14:paraId="62FFFD1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四川省绵阳市高新区永兴镇三海路6号，项目选址不涉及河流两岸、湖泊和水库周边的植物保护带；不涉及全国水土保持监测网络中的水土保持监测站点、重点试验区及国家确定的水土保持长期定位观测站。项目选址无法避让市级水土流失重点治理区，本项目水土流失防治标准应执行西南紫色土区一级标准，通过将截排水工程防洪标准提高至5年一遇，并布设沉沙设施，优化施工工艺等措施控制因工程建设造成的水土流失。本项目主体工程选址是合理的。</w:t>
      </w:r>
    </w:p>
    <w:p w14:paraId="119C6532">
      <w:pPr>
        <w:ind w:firstLine="480"/>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综上所述，本工程选址（线）基本满足《中华人民共和国水土保持法》、《生产建设项目水土保持技术标准》（GB50433-2018）和规范性文件中的规定，无明显的水土保持限制因素。</w:t>
      </w:r>
    </w:p>
    <w:p w14:paraId="37E2F7D8">
      <w:pPr>
        <w:pStyle w:val="3"/>
        <w:rPr>
          <w:color w:val="000000" w:themeColor="text1"/>
          <w14:textFill>
            <w14:solidFill>
              <w14:schemeClr w14:val="tx1"/>
            </w14:solidFill>
          </w14:textFill>
        </w:rPr>
      </w:pPr>
      <w:bookmarkStart w:id="83" w:name="_Toc4663"/>
      <w:r>
        <w:rPr>
          <w:rFonts w:hint="eastAsia"/>
          <w:color w:val="000000" w:themeColor="text1"/>
          <w14:textFill>
            <w14:solidFill>
              <w14:schemeClr w14:val="tx1"/>
            </w14:solidFill>
          </w14:textFill>
        </w:rPr>
        <w:t>3.2建设方案与布局水土保持评价</w:t>
      </w:r>
      <w:bookmarkEnd w:id="83"/>
    </w:p>
    <w:p w14:paraId="194AFAA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3.2.1建设方案评价</w:t>
      </w:r>
    </w:p>
    <w:p w14:paraId="6C7EA2B2">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对照《生产建设项目水土保持技术标准》（GB50433-2018）规定，对建设方案进行分析，结果详见表3.2-1。</w:t>
      </w:r>
    </w:p>
    <w:p w14:paraId="5134722F">
      <w:pPr>
        <w:pStyle w:val="33"/>
        <w:ind w:firstLine="1897" w:firstLineChars="90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3.2-1                   建设方案</w:t>
      </w:r>
      <w:r>
        <w:rPr>
          <w:color w:val="000000" w:themeColor="text1"/>
          <w14:textFill>
            <w14:solidFill>
              <w14:schemeClr w14:val="tx1"/>
            </w14:solidFill>
          </w14:textFill>
        </w:rPr>
        <w:t>符合性对照分析表</w:t>
      </w:r>
    </w:p>
    <w:tbl>
      <w:tblPr>
        <w:tblStyle w:val="5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28"/>
        <w:gridCol w:w="4977"/>
        <w:gridCol w:w="2321"/>
        <w:gridCol w:w="536"/>
      </w:tblGrid>
      <w:tr w14:paraId="1F4F6D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16" w:type="pct"/>
            <w:tcBorders>
              <w:tl2br w:val="nil"/>
              <w:tr2bl w:val="nil"/>
            </w:tcBorders>
            <w:tcMar>
              <w:left w:w="28" w:type="dxa"/>
              <w:right w:w="28" w:type="dxa"/>
            </w:tcMar>
            <w:vAlign w:val="center"/>
          </w:tcPr>
          <w:p w14:paraId="640D6816">
            <w:pPr>
              <w:pStyle w:val="57"/>
              <w:spacing w:before="40" w:after="40"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依据文件</w:t>
            </w:r>
          </w:p>
        </w:tc>
        <w:tc>
          <w:tcPr>
            <w:tcW w:w="2976" w:type="pct"/>
            <w:tcBorders>
              <w:tl2br w:val="nil"/>
              <w:tr2bl w:val="nil"/>
            </w:tcBorders>
            <w:tcMar>
              <w:left w:w="28" w:type="dxa"/>
              <w:right w:w="28" w:type="dxa"/>
            </w:tcMar>
            <w:vAlign w:val="center"/>
          </w:tcPr>
          <w:p w14:paraId="715F0D39">
            <w:pPr>
              <w:pStyle w:val="57"/>
              <w:spacing w:before="40" w:after="40" w:line="240" w:lineRule="auto"/>
              <w:rPr>
                <w:color w:val="000000" w:themeColor="text1"/>
                <w14:textFill>
                  <w14:solidFill>
                    <w14:schemeClr w14:val="tx1"/>
                  </w14:solidFill>
                </w14:textFill>
              </w:rPr>
            </w:pPr>
            <w:r>
              <w:rPr>
                <w:rFonts w:hint="eastAsia"/>
                <w:color w:val="000000" w:themeColor="text1"/>
                <w:szCs w:val="18"/>
                <w14:textFill>
                  <w14:solidFill>
                    <w14:schemeClr w14:val="tx1"/>
                  </w14:solidFill>
                </w14:textFill>
              </w:rPr>
              <w:t>法律条款或约束性规定</w:t>
            </w:r>
          </w:p>
        </w:tc>
        <w:tc>
          <w:tcPr>
            <w:tcW w:w="1388" w:type="pct"/>
            <w:tcBorders>
              <w:tl2br w:val="nil"/>
              <w:tr2bl w:val="nil"/>
            </w:tcBorders>
            <w:tcMar>
              <w:left w:w="28" w:type="dxa"/>
              <w:right w:w="28" w:type="dxa"/>
            </w:tcMar>
            <w:vAlign w:val="center"/>
          </w:tcPr>
          <w:p w14:paraId="668B3FDC">
            <w:pPr>
              <w:pStyle w:val="57"/>
              <w:spacing w:before="40" w:after="40" w:line="240" w:lineRule="auto"/>
              <w:rPr>
                <w:color w:val="000000" w:themeColor="text1"/>
                <w14:textFill>
                  <w14:solidFill>
                    <w14:schemeClr w14:val="tx1"/>
                  </w14:solidFill>
                </w14:textFill>
              </w:rPr>
            </w:pPr>
            <w:r>
              <w:rPr>
                <w:color w:val="000000" w:themeColor="text1"/>
                <w14:textFill>
                  <w14:solidFill>
                    <w14:schemeClr w14:val="tx1"/>
                  </w14:solidFill>
                </w14:textFill>
              </w:rPr>
              <w:t>本项目情况</w:t>
            </w:r>
          </w:p>
        </w:tc>
        <w:tc>
          <w:tcPr>
            <w:tcW w:w="320" w:type="pct"/>
            <w:tcBorders>
              <w:tl2br w:val="nil"/>
              <w:tr2bl w:val="nil"/>
            </w:tcBorders>
            <w:tcMar>
              <w:left w:w="28" w:type="dxa"/>
              <w:right w:w="28" w:type="dxa"/>
            </w:tcMar>
            <w:vAlign w:val="center"/>
          </w:tcPr>
          <w:p w14:paraId="071DDA61">
            <w:pPr>
              <w:pStyle w:val="57"/>
              <w:spacing w:before="40" w:after="40"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符合性</w:t>
            </w:r>
            <w:r>
              <w:rPr>
                <w:color w:val="000000" w:themeColor="text1"/>
                <w14:textFill>
                  <w14:solidFill>
                    <w14:schemeClr w14:val="tx1"/>
                  </w14:solidFill>
                </w14:textFill>
              </w:rPr>
              <w:t>分析</w:t>
            </w:r>
          </w:p>
        </w:tc>
      </w:tr>
      <w:tr w14:paraId="4AF348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16" w:type="pct"/>
            <w:tcBorders>
              <w:tl2br w:val="nil"/>
              <w:tr2bl w:val="nil"/>
            </w:tcBorders>
            <w:tcMar>
              <w:left w:w="28" w:type="dxa"/>
              <w:right w:w="28" w:type="dxa"/>
            </w:tcMar>
            <w:vAlign w:val="center"/>
          </w:tcPr>
          <w:p w14:paraId="452C1618">
            <w:pPr>
              <w:pStyle w:val="57"/>
              <w:spacing w:before="40" w:after="40" w:line="240" w:lineRule="auto"/>
              <w:rPr>
                <w:color w:val="000000" w:themeColor="text1"/>
                <w14:textFill>
                  <w14:solidFill>
                    <w14:schemeClr w14:val="tx1"/>
                  </w14:solidFill>
                </w14:textFill>
              </w:rPr>
            </w:pPr>
            <w:r>
              <w:rPr>
                <w:color w:val="000000" w:themeColor="text1"/>
                <w:szCs w:val="18"/>
                <w14:textFill>
                  <w14:solidFill>
                    <w14:schemeClr w14:val="tx1"/>
                  </w14:solidFill>
                </w14:textFill>
              </w:rPr>
              <w:t>生产建设项目水土保持技术标准</w:t>
            </w:r>
          </w:p>
        </w:tc>
        <w:tc>
          <w:tcPr>
            <w:tcW w:w="2976" w:type="pct"/>
            <w:tcBorders>
              <w:tl2br w:val="nil"/>
              <w:tr2bl w:val="nil"/>
            </w:tcBorders>
            <w:tcMar>
              <w:left w:w="28" w:type="dxa"/>
              <w:right w:w="28" w:type="dxa"/>
            </w:tcMar>
            <w:vAlign w:val="center"/>
          </w:tcPr>
          <w:p w14:paraId="47586133">
            <w:pPr>
              <w:pStyle w:val="57"/>
              <w:spacing w:before="40" w:after="40" w:line="240" w:lineRule="auto"/>
              <w:jc w:val="left"/>
              <w:rPr>
                <w:color w:val="000000" w:themeColor="text1"/>
                <w14:textFill>
                  <w14:solidFill>
                    <w14:schemeClr w14:val="tx1"/>
                  </w14:solidFill>
                </w14:textFill>
              </w:rPr>
            </w:pPr>
            <w:r>
              <w:rPr>
                <w:color w:val="000000" w:themeColor="text1"/>
                <w14:textFill>
                  <w14:solidFill>
                    <w14:schemeClr w14:val="tx1"/>
                  </w14:solidFill>
                </w14:textFill>
              </w:rPr>
              <w:t>1.公路、铁路工程在高填深挖路段，应采用加大桥隧比例的方案，减少大填大挖；填高大于20m，挖深大于30m的，应进行桥隧替代方案论证；路堤、路垫在保证边坡稳定的基础上，应采用植物防护或工程与植物防护相结合的设计方案。</w:t>
            </w:r>
          </w:p>
          <w:p w14:paraId="2495AA23">
            <w:pPr>
              <w:pStyle w:val="57"/>
              <w:spacing w:before="40" w:after="40" w:line="240" w:lineRule="auto"/>
              <w:jc w:val="left"/>
              <w:rPr>
                <w:color w:val="000000" w:themeColor="text1"/>
                <w14:textFill>
                  <w14:solidFill>
                    <w14:schemeClr w14:val="tx1"/>
                  </w14:solidFill>
                </w14:textFill>
              </w:rPr>
            </w:pPr>
            <w:r>
              <w:rPr>
                <w:color w:val="000000" w:themeColor="text1"/>
                <w14:textFill>
                  <w14:solidFill>
                    <w14:schemeClr w14:val="tx1"/>
                  </w14:solidFill>
                </w14:textFill>
              </w:rPr>
              <w:t>2.城镇区的建设项目应提高植被建设标准，注重景观效果，配套建设灌慨、排水和雨水利用设施。</w:t>
            </w:r>
          </w:p>
          <w:p w14:paraId="1CACB491">
            <w:pPr>
              <w:pStyle w:val="57"/>
              <w:spacing w:before="40" w:after="40" w:line="240" w:lineRule="auto"/>
              <w:jc w:val="left"/>
              <w:rPr>
                <w:color w:val="000000" w:themeColor="text1"/>
                <w14:textFill>
                  <w14:solidFill>
                    <w14:schemeClr w14:val="tx1"/>
                  </w14:solidFill>
                </w14:textFill>
              </w:rPr>
            </w:pPr>
            <w:r>
              <w:rPr>
                <w:rFonts w:eastAsia="黑体"/>
                <w:color w:val="000000" w:themeColor="text1"/>
                <w14:textFill>
                  <w14:solidFill>
                    <w14:schemeClr w14:val="tx1"/>
                  </w14:solidFill>
                </w14:textFill>
              </w:rPr>
              <w:t>3.</w:t>
            </w:r>
            <w:r>
              <w:rPr>
                <w:color w:val="000000" w:themeColor="text1"/>
                <w14:textFill>
                  <w14:solidFill>
                    <w14:schemeClr w14:val="tx1"/>
                  </w14:solidFill>
                </w14:textFill>
              </w:rPr>
              <w:t>山丘区输电工程塔基应采用不等高基础，经过林区的应采用加高杆塔跨越方式。</w:t>
            </w:r>
          </w:p>
          <w:p w14:paraId="2897ECD4">
            <w:pPr>
              <w:pStyle w:val="57"/>
              <w:spacing w:before="40" w:after="40" w:line="24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对无法避让水土流失重点预防区和重点治理区的生产建设</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，建设方案应</w:t>
            </w:r>
            <w:r>
              <w:rPr>
                <w:rFonts w:hint="eastAsia"/>
                <w:color w:val="000000" w:themeColor="text1"/>
                <w14:textFill>
                  <w14:solidFill>
                    <w14:schemeClr w14:val="tx1"/>
                  </w14:solidFill>
                </w14:textFill>
              </w:rPr>
              <w:t>符合</w:t>
            </w:r>
            <w:r>
              <w:rPr>
                <w:color w:val="000000" w:themeColor="text1"/>
                <w14:textFill>
                  <w14:solidFill>
                    <w14:schemeClr w14:val="tx1"/>
                  </w14:solidFill>
                </w14:textFill>
              </w:rPr>
              <w:t>下列规定</w:t>
            </w:r>
            <w:r>
              <w:rPr>
                <w:rFonts w:hint="eastAsia"/>
                <w:color w:val="000000" w:themeColor="text1"/>
                <w14:textFill>
                  <w14:solidFill>
                    <w14:schemeClr w14:val="tx1"/>
                  </w14:solidFill>
                </w14:textFill>
              </w:rPr>
              <w:t>：</w:t>
            </w:r>
          </w:p>
          <w:p w14:paraId="676545CC">
            <w:pPr>
              <w:pStyle w:val="57"/>
              <w:spacing w:before="40" w:after="40" w:line="240" w:lineRule="auto"/>
              <w:jc w:val="left"/>
              <w:rPr>
                <w:color w:val="000000" w:themeColor="text1"/>
                <w14:textFill>
                  <w14:solidFill>
                    <w14:schemeClr w14:val="tx1"/>
                  </w14:solidFill>
                </w14:textFill>
              </w:rPr>
            </w:pPr>
            <w:r>
              <w:rPr>
                <w:color w:val="000000" w:themeColor="text1"/>
                <w14:textFill>
                  <w14:solidFill>
                    <w14:schemeClr w14:val="tx1"/>
                  </w14:solidFill>
                </w14:textFill>
              </w:rPr>
              <w:t>①优化方案，减少工程占地和土石方量；公路、铁路等项目填高大于8m宜采用桥梁方案；管道工程穿越宜采用隧道、定向钻、顶管等方式；山丘区工业场地宜优先采用阶梯式布置。</w:t>
            </w:r>
          </w:p>
          <w:p w14:paraId="33339992">
            <w:pPr>
              <w:pStyle w:val="57"/>
              <w:spacing w:before="40" w:after="40" w:line="240" w:lineRule="auto"/>
              <w:jc w:val="left"/>
              <w:rPr>
                <w:color w:val="000000" w:themeColor="text1"/>
                <w14:textFill>
                  <w14:solidFill>
                    <w14:schemeClr w14:val="tx1"/>
                  </w14:solidFill>
                </w14:textFill>
              </w:rPr>
            </w:pPr>
            <w:r>
              <w:rPr>
                <w:color w:val="000000" w:themeColor="text1"/>
                <w14:textFill>
                  <w14:solidFill>
                    <w14:schemeClr w14:val="tx1"/>
                  </w14:solidFill>
                </w14:textFill>
              </w:rPr>
              <w:t>②截排水工程、拦挡工程的工程等级和防洪标准应提高一级</w:t>
            </w:r>
          </w:p>
          <w:p w14:paraId="5D97568C">
            <w:pPr>
              <w:pStyle w:val="57"/>
              <w:spacing w:before="40" w:after="40" w:line="240" w:lineRule="auto"/>
              <w:jc w:val="left"/>
              <w:rPr>
                <w:color w:val="000000" w:themeColor="text1"/>
                <w14:textFill>
                  <w14:solidFill>
                    <w14:schemeClr w14:val="tx1"/>
                  </w14:solidFill>
                </w14:textFill>
              </w:rPr>
            </w:pPr>
            <w:r>
              <w:rPr>
                <w:color w:val="000000" w:themeColor="text1"/>
                <w14:textFill>
                  <w14:solidFill>
                    <w14:schemeClr w14:val="tx1"/>
                  </w14:solidFill>
                </w14:textFill>
              </w:rPr>
              <w:t>③宜布设雨洪集蓄、沉沙设施</w:t>
            </w:r>
          </w:p>
          <w:p w14:paraId="11E010E7">
            <w:pPr>
              <w:pStyle w:val="57"/>
              <w:spacing w:before="40" w:after="40" w:line="240" w:lineRule="auto"/>
              <w:jc w:val="left"/>
              <w:rPr>
                <w:color w:val="000000" w:themeColor="text1"/>
                <w14:textFill>
                  <w14:solidFill>
                    <w14:schemeClr w14:val="tx1"/>
                  </w14:solidFill>
                </w14:textFill>
              </w:rPr>
            </w:pPr>
            <w:r>
              <w:rPr>
                <w:color w:val="000000" w:themeColor="text1"/>
                <w14:textFill>
                  <w14:solidFill>
                    <w14:schemeClr w14:val="tx1"/>
                  </w14:solidFill>
                </w14:textFill>
              </w:rPr>
              <w:t>④提高植物措施标准，林草覆盖率应提高1~2个百分点。</w:t>
            </w:r>
          </w:p>
        </w:tc>
        <w:tc>
          <w:tcPr>
            <w:tcW w:w="1388" w:type="pct"/>
            <w:tcBorders>
              <w:tl2br w:val="nil"/>
              <w:tr2bl w:val="nil"/>
            </w:tcBorders>
            <w:tcMar>
              <w:left w:w="28" w:type="dxa"/>
              <w:right w:w="28" w:type="dxa"/>
            </w:tcMar>
            <w:vAlign w:val="center"/>
          </w:tcPr>
          <w:p w14:paraId="5BF531CD">
            <w:pPr>
              <w:pStyle w:val="57"/>
              <w:spacing w:before="40" w:after="40" w:line="240" w:lineRule="auto"/>
              <w:jc w:val="left"/>
              <w:rPr>
                <w:color w:val="000000" w:themeColor="text1"/>
                <w14:textFill>
                  <w14:solidFill>
                    <w14:schemeClr w14:val="tx1"/>
                  </w14:solidFill>
                </w14:textFill>
              </w:rPr>
            </w:pPr>
            <w:r>
              <w:rPr>
                <w:color w:val="000000" w:themeColor="text1"/>
                <w14:textFill>
                  <w14:solidFill>
                    <w14:schemeClr w14:val="tx1"/>
                  </w14:solidFill>
                </w14:textFill>
              </w:rPr>
              <w:t>1.本项目</w:t>
            </w:r>
            <w:r>
              <w:rPr>
                <w:rFonts w:hint="eastAsia"/>
                <w:color w:val="000000" w:themeColor="text1"/>
                <w14:textFill>
                  <w14:solidFill>
                    <w14:schemeClr w14:val="tx1"/>
                  </w14:solidFill>
                </w14:textFill>
              </w:rPr>
              <w:t>不属于公路、铁路工程，</w:t>
            </w:r>
            <w:r>
              <w:rPr>
                <w:color w:val="000000" w:themeColor="text1"/>
                <w14:textFill>
                  <w14:solidFill>
                    <w14:schemeClr w14:val="tx1"/>
                  </w14:solidFill>
                </w14:textFill>
              </w:rPr>
              <w:t>不涉及高填深挖路段。</w:t>
            </w:r>
          </w:p>
          <w:p w14:paraId="6884750A">
            <w:pPr>
              <w:pStyle w:val="57"/>
              <w:spacing w:before="40" w:after="40" w:line="240" w:lineRule="auto"/>
              <w:jc w:val="left"/>
              <w:rPr>
                <w:color w:val="000000" w:themeColor="text1"/>
                <w14:textFill>
                  <w14:solidFill>
                    <w14:schemeClr w14:val="tx1"/>
                  </w14:solidFill>
                </w14:textFill>
              </w:rPr>
            </w:pPr>
            <w:r>
              <w:rPr>
                <w:color w:val="000000" w:themeColor="text1"/>
                <w14:textFill>
                  <w14:solidFill>
                    <w14:schemeClr w14:val="tx1"/>
                  </w14:solidFill>
                </w14:textFill>
              </w:rPr>
              <w:t>2.本项目</w:t>
            </w:r>
            <w:r>
              <w:rPr>
                <w:rFonts w:hint="eastAsia"/>
                <w:color w:val="000000" w:themeColor="text1"/>
                <w14:textFill>
                  <w14:solidFill>
                    <w14:schemeClr w14:val="tx1"/>
                  </w14:solidFill>
                </w14:textFill>
              </w:rPr>
              <w:t>属于城镇区，主体工程设计提高了植被设计标准，植被建设采取景观绿化的方式，建设雨水蓄水池收集雨水综合利用</w:t>
            </w:r>
            <w:r>
              <w:rPr>
                <w:color w:val="000000" w:themeColor="text1"/>
                <w14:textFill>
                  <w14:solidFill>
                    <w14:schemeClr w14:val="tx1"/>
                  </w14:solidFill>
                </w14:textFill>
              </w:rPr>
              <w:t>。</w:t>
            </w:r>
          </w:p>
          <w:p w14:paraId="3C8AEC3B">
            <w:pPr>
              <w:pStyle w:val="57"/>
              <w:spacing w:before="40" w:after="40" w:line="240" w:lineRule="auto"/>
              <w:jc w:val="left"/>
              <w:rPr>
                <w:color w:val="000000" w:themeColor="text1"/>
                <w14:textFill>
                  <w14:solidFill>
                    <w14:schemeClr w14:val="tx1"/>
                  </w14:solidFill>
                </w14:textFill>
              </w:rPr>
            </w:pPr>
            <w:r>
              <w:rPr>
                <w:color w:val="000000" w:themeColor="text1"/>
                <w14:textFill>
                  <w14:solidFill>
                    <w14:schemeClr w14:val="tx1"/>
                  </w14:solidFill>
                </w14:textFill>
              </w:rPr>
              <w:t>3.本项目不属于输电工程。</w:t>
            </w:r>
          </w:p>
          <w:p w14:paraId="389566FB">
            <w:pPr>
              <w:pStyle w:val="57"/>
              <w:spacing w:before="40" w:after="40" w:line="24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4.本项目选址无法避让市级水土流失重点治理区，采取了提高截排水工程防洪标准，布设沉沙设施，雨洪积蓄，优化施工工艺等措施。</w:t>
            </w:r>
          </w:p>
        </w:tc>
        <w:tc>
          <w:tcPr>
            <w:tcW w:w="320" w:type="pct"/>
            <w:tcBorders>
              <w:tl2br w:val="nil"/>
              <w:tr2bl w:val="nil"/>
            </w:tcBorders>
            <w:tcMar>
              <w:left w:w="28" w:type="dxa"/>
              <w:right w:w="28" w:type="dxa"/>
            </w:tcMar>
            <w:vAlign w:val="center"/>
          </w:tcPr>
          <w:p w14:paraId="569C72F7">
            <w:pPr>
              <w:pStyle w:val="57"/>
              <w:spacing w:before="40" w:after="40" w:line="240" w:lineRule="auto"/>
              <w:rPr>
                <w:color w:val="000000" w:themeColor="text1"/>
                <w14:textFill>
                  <w14:solidFill>
                    <w14:schemeClr w14:val="tx1"/>
                  </w14:solidFill>
                </w14:textFill>
              </w:rPr>
            </w:pPr>
            <w:r>
              <w:rPr>
                <w:color w:val="000000" w:themeColor="text1"/>
                <w14:textFill>
                  <w14:solidFill>
                    <w14:schemeClr w14:val="tx1"/>
                  </w14:solidFill>
                </w14:textFill>
              </w:rPr>
              <w:t>满足约束性规定要求。</w:t>
            </w:r>
          </w:p>
        </w:tc>
      </w:tr>
    </w:tbl>
    <w:p w14:paraId="721EBC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属于公路、铁路工程和输电工程，项目区位于绵阳市高新区永兴镇科技城达到南侧，属于城镇区，主体工程设计提高了植被设计标准，植被建设采取景观绿化的方式，建设雨水蓄水池收集雨水综合利用，建议建设单位在后续工作中继续完善海绵城市专项设计；本项目选址无法避让市级水土流失重点治理区，采取了提高截排水工程防洪标准，布设沉沙设施，雨洪积蓄，优化施工工艺等措施可以有效控制项目建设造成的水土流失。</w:t>
      </w:r>
    </w:p>
    <w:p w14:paraId="204303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项目平面布置格局紧凑合理、竖向布置能与周边高程相衔接，建设方案合理，符合法律法规及水土保持相关要求。</w:t>
      </w:r>
    </w:p>
    <w:p w14:paraId="45F792BE">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3.2.2工程占地分析评价</w:t>
      </w:r>
    </w:p>
    <w:p w14:paraId="45C566FA">
      <w:pPr>
        <w:ind w:firstLine="472"/>
        <w:rPr>
          <w:color w:val="000000" w:themeColor="text1"/>
          <w:highlight w:val="none"/>
          <w14:textFill>
            <w14:solidFill>
              <w14:schemeClr w14:val="tx1"/>
            </w14:solidFill>
          </w14:textFill>
        </w:rPr>
      </w:pPr>
      <w:r>
        <w:rPr>
          <w:rFonts w:hint="eastAsia"/>
          <w:color w:val="000000" w:themeColor="text1"/>
          <w:spacing w:val="-4"/>
          <w:highlight w:val="none"/>
          <w:lang w:eastAsia="zh-CN"/>
          <w14:textFill>
            <w14:solidFill>
              <w14:schemeClr w14:val="tx1"/>
            </w14:solidFill>
          </w14:textFill>
        </w:rPr>
        <w:t>项目</w:t>
      </w:r>
      <w:r>
        <w:rPr>
          <w:rFonts w:hint="eastAsia"/>
          <w:color w:val="000000" w:themeColor="text1"/>
          <w:spacing w:val="-4"/>
          <w:highlight w:val="none"/>
          <w14:textFill>
            <w14:solidFill>
              <w14:schemeClr w14:val="tx1"/>
            </w14:solidFill>
          </w14:textFill>
        </w:rPr>
        <w:t>总占地面积</w:t>
      </w:r>
      <w:r>
        <w:rPr>
          <w:rFonts w:hint="eastAsia"/>
          <w:color w:val="000000" w:themeColor="text1"/>
          <w:highlight w:val="none"/>
          <w:lang w:val="en-US" w:eastAsia="zh-CN"/>
          <w14:textFill>
            <w14:solidFill>
              <w14:schemeClr w14:val="tx1"/>
            </w14:solidFill>
          </w14:textFill>
        </w:rPr>
        <w:t>3.61</w:t>
      </w:r>
      <w:r>
        <w:rPr>
          <w:rFonts w:hint="eastAsia"/>
          <w:color w:val="000000" w:themeColor="text1"/>
          <w:spacing w:val="-4"/>
          <w:highlight w:val="none"/>
          <w14:textFill>
            <w14:solidFill>
              <w14:schemeClr w14:val="tx1"/>
            </w14:solidFill>
          </w14:textFill>
        </w:rPr>
        <w:t>hm</w:t>
      </w:r>
      <w:r>
        <w:rPr>
          <w:rFonts w:hint="eastAsia"/>
          <w:color w:val="000000" w:themeColor="text1"/>
          <w:spacing w:val="-4"/>
          <w:highlight w:val="none"/>
          <w:vertAlign w:val="superscript"/>
          <w14:textFill>
            <w14:solidFill>
              <w14:schemeClr w14:val="tx1"/>
            </w14:solidFill>
          </w14:textFill>
        </w:rPr>
        <w:t>2</w:t>
      </w:r>
      <w:r>
        <w:rPr>
          <w:rFonts w:hint="eastAsia"/>
          <w:color w:val="000000" w:themeColor="text1"/>
          <w:spacing w:val="-4"/>
          <w:highlight w:val="none"/>
          <w14:textFill>
            <w14:solidFill>
              <w14:schemeClr w14:val="tx1"/>
            </w14:solidFill>
          </w14:textFill>
        </w:rPr>
        <w:t>，永久占地</w:t>
      </w:r>
      <w:r>
        <w:rPr>
          <w:rFonts w:hint="eastAsia"/>
          <w:color w:val="000000" w:themeColor="text1"/>
          <w:highlight w:val="none"/>
          <w:lang w:val="en-US" w:eastAsia="zh-CN"/>
          <w14:textFill>
            <w14:solidFill>
              <w14:schemeClr w14:val="tx1"/>
            </w14:solidFill>
          </w14:textFill>
        </w:rPr>
        <w:t>3.61</w:t>
      </w:r>
      <w:r>
        <w:rPr>
          <w:rFonts w:hint="eastAsia"/>
          <w:color w:val="000000" w:themeColor="text1"/>
          <w:spacing w:val="-4"/>
          <w:highlight w:val="none"/>
          <w14:textFill>
            <w14:solidFill>
              <w14:schemeClr w14:val="tx1"/>
            </w14:solidFill>
          </w14:textFill>
        </w:rPr>
        <w:t>hm</w:t>
      </w:r>
      <w:r>
        <w:rPr>
          <w:rFonts w:hint="eastAsia"/>
          <w:color w:val="000000" w:themeColor="text1"/>
          <w:spacing w:val="-4"/>
          <w:highlight w:val="none"/>
          <w:vertAlign w:val="superscript"/>
          <w14:textFill>
            <w14:solidFill>
              <w14:schemeClr w14:val="tx1"/>
            </w14:solidFill>
          </w14:textFill>
        </w:rPr>
        <w:t>2</w:t>
      </w:r>
      <w:r>
        <w:rPr>
          <w:rFonts w:hint="eastAsia"/>
          <w:color w:val="000000" w:themeColor="text1"/>
          <w:spacing w:val="-4"/>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其中项目一期占地</w:t>
      </w:r>
      <w:r>
        <w:rPr>
          <w:rFonts w:hint="eastAsia"/>
          <w:color w:val="000000" w:themeColor="text1"/>
          <w:highlight w:val="none"/>
          <w14:textFill>
            <w14:solidFill>
              <w14:schemeClr w14:val="tx1"/>
            </w14:solidFill>
          </w14:textFill>
        </w:rPr>
        <w:t>面积为</w:t>
      </w:r>
      <w:r>
        <w:rPr>
          <w:rFonts w:hint="eastAsia"/>
          <w:color w:val="000000" w:themeColor="text1"/>
          <w:highlight w:val="none"/>
          <w:lang w:val="en-US" w:eastAsia="zh-CN"/>
          <w14:textFill>
            <w14:solidFill>
              <w14:schemeClr w14:val="tx1"/>
            </w14:solidFill>
          </w14:textFill>
        </w:rPr>
        <w:t>2.66hm</w:t>
      </w:r>
      <w:r>
        <w:rPr>
          <w:rFonts w:hint="eastAsia"/>
          <w:color w:val="000000" w:themeColor="text1"/>
          <w:highlight w:val="none"/>
          <w:vertAlign w:val="superscript"/>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项目二期占地</w:t>
      </w:r>
      <w:r>
        <w:rPr>
          <w:rFonts w:hint="eastAsia"/>
          <w:color w:val="000000" w:themeColor="text1"/>
          <w:highlight w:val="none"/>
          <w14:textFill>
            <w14:solidFill>
              <w14:schemeClr w14:val="tx1"/>
            </w14:solidFill>
          </w14:textFill>
        </w:rPr>
        <w:t>面积为0.95hm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lang w:eastAsia="zh-CN"/>
          <w14:textFill>
            <w14:solidFill>
              <w14:schemeClr w14:val="tx1"/>
            </w14:solidFill>
          </w14:textFill>
        </w:rPr>
        <w:t>。</w:t>
      </w:r>
      <w:r>
        <w:rPr>
          <w:rFonts w:hint="eastAsia"/>
          <w:color w:val="000000" w:themeColor="text1"/>
          <w:spacing w:val="-4"/>
          <w:highlight w:val="none"/>
          <w:lang w:eastAsia="zh-CN"/>
          <w14:textFill>
            <w14:solidFill>
              <w14:schemeClr w14:val="tx1"/>
            </w14:solidFill>
          </w14:textFill>
        </w:rPr>
        <w:t>二期项目</w:t>
      </w:r>
      <w:r>
        <w:rPr>
          <w:rFonts w:hint="eastAsia"/>
          <w:color w:val="000000" w:themeColor="text1"/>
          <w:spacing w:val="-4"/>
          <w:highlight w:val="none"/>
          <w14:textFill>
            <w14:solidFill>
              <w14:schemeClr w14:val="tx1"/>
            </w14:solidFill>
          </w14:textFill>
        </w:rPr>
        <w:t>工业建筑占地0.44 hm</w:t>
      </w:r>
      <w:r>
        <w:rPr>
          <w:rFonts w:hint="eastAsia"/>
          <w:color w:val="000000" w:themeColor="text1"/>
          <w:spacing w:val="-4"/>
          <w:highlight w:val="none"/>
          <w:vertAlign w:val="superscript"/>
          <w14:textFill>
            <w14:solidFill>
              <w14:schemeClr w14:val="tx1"/>
            </w14:solidFill>
          </w14:textFill>
        </w:rPr>
        <w:t>2</w:t>
      </w:r>
      <w:r>
        <w:rPr>
          <w:rFonts w:hint="eastAsia"/>
          <w:color w:val="000000" w:themeColor="text1"/>
          <w:spacing w:val="-4"/>
          <w:highlight w:val="none"/>
          <w14:textFill>
            <w14:solidFill>
              <w14:schemeClr w14:val="tx1"/>
            </w14:solidFill>
          </w14:textFill>
        </w:rPr>
        <w:t>，配套设施</w:t>
      </w:r>
      <w:r>
        <w:rPr>
          <w:rFonts w:hint="eastAsia"/>
          <w:color w:val="000000" w:themeColor="text1"/>
          <w:highlight w:val="none"/>
          <w14:textFill>
            <w14:solidFill>
              <w14:schemeClr w14:val="tx1"/>
            </w14:solidFill>
          </w14:textFill>
        </w:rPr>
        <w:t>（行政办公及生活服务设施）</w:t>
      </w:r>
      <w:r>
        <w:rPr>
          <w:rFonts w:hint="eastAsia"/>
          <w:color w:val="000000" w:themeColor="text1"/>
          <w:spacing w:val="-4"/>
          <w:highlight w:val="none"/>
          <w14:textFill>
            <w14:solidFill>
              <w14:schemeClr w14:val="tx1"/>
            </w14:solidFill>
          </w14:textFill>
        </w:rPr>
        <w:t>占地</w:t>
      </w:r>
      <w:r>
        <w:rPr>
          <w:color w:val="000000" w:themeColor="text1"/>
          <w:spacing w:val="-4"/>
          <w:highlight w:val="none"/>
          <w14:textFill>
            <w14:solidFill>
              <w14:schemeClr w14:val="tx1"/>
            </w14:solidFill>
          </w14:textFill>
        </w:rPr>
        <w:t>0.</w:t>
      </w:r>
      <w:r>
        <w:rPr>
          <w:rFonts w:hint="eastAsia"/>
          <w:color w:val="000000" w:themeColor="text1"/>
          <w:spacing w:val="-4"/>
          <w:highlight w:val="none"/>
          <w14:textFill>
            <w14:solidFill>
              <w14:schemeClr w14:val="tx1"/>
            </w14:solidFill>
          </w14:textFill>
        </w:rPr>
        <w:t>01hm</w:t>
      </w:r>
      <w:r>
        <w:rPr>
          <w:rFonts w:hint="eastAsia"/>
          <w:color w:val="000000" w:themeColor="text1"/>
          <w:spacing w:val="-4"/>
          <w:highlight w:val="none"/>
          <w:vertAlign w:val="superscript"/>
          <w14:textFill>
            <w14:solidFill>
              <w14:schemeClr w14:val="tx1"/>
            </w14:solidFill>
          </w14:textFill>
        </w:rPr>
        <w:t>2</w:t>
      </w:r>
      <w:r>
        <w:rPr>
          <w:rFonts w:hint="eastAsia"/>
          <w:color w:val="000000" w:themeColor="text1"/>
          <w:spacing w:val="-4"/>
          <w:highlight w:val="none"/>
          <w14:textFill>
            <w14:solidFill>
              <w14:schemeClr w14:val="tx1"/>
            </w14:solidFill>
          </w14:textFill>
        </w:rPr>
        <w:t>，占地范围全部为项目红线范围内用地。占地类型为工业用地</w:t>
      </w:r>
      <w:r>
        <w:rPr>
          <w:rFonts w:hint="eastAsia"/>
          <w:color w:val="000000" w:themeColor="text1"/>
          <w:highlight w:val="none"/>
          <w14:textFill>
            <w14:solidFill>
              <w14:schemeClr w14:val="tx1"/>
            </w14:solidFill>
          </w14:textFill>
        </w:rPr>
        <w:t>。</w:t>
      </w:r>
    </w:p>
    <w:p w14:paraId="410C6A80">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1、占地面积分析</w:t>
      </w:r>
    </w:p>
    <w:p w14:paraId="145E76A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根据项目建设用地规划许可证，本项目建设用地符合高新区土地利用规划，</w:t>
      </w:r>
      <w:r>
        <w:rPr>
          <w:rFonts w:hint="eastAsia"/>
          <w:color w:val="000000" w:themeColor="text1"/>
          <w:lang w:eastAsia="zh-CN"/>
          <w14:textFill>
            <w14:solidFill>
              <w14:schemeClr w14:val="tx1"/>
            </w14:solidFill>
          </w14:textFill>
        </w:rPr>
        <w:t>项目总占地面积为</w:t>
      </w:r>
      <w:r>
        <w:rPr>
          <w:rFonts w:hint="eastAsia"/>
          <w:color w:val="000000" w:themeColor="text1"/>
          <w:lang w:val="en-US" w:eastAsia="zh-CN"/>
          <w14:textFill>
            <w14:solidFill>
              <w14:schemeClr w14:val="tx1"/>
            </w14:solidFill>
          </w14:textFill>
        </w:rPr>
        <w:t>3.61hm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其中项目一期占地</w:t>
      </w:r>
      <w:r>
        <w:rPr>
          <w:rFonts w:hint="eastAsia"/>
          <w:color w:val="000000" w:themeColor="text1"/>
          <w14:textFill>
            <w14:solidFill>
              <w14:schemeClr w14:val="tx1"/>
            </w14:solidFill>
          </w14:textFill>
        </w:rPr>
        <w:t>面积为</w:t>
      </w:r>
      <w:r>
        <w:rPr>
          <w:rFonts w:hint="eastAsia"/>
          <w:color w:val="000000" w:themeColor="text1"/>
          <w:lang w:val="en-US" w:eastAsia="zh-CN"/>
          <w14:textFill>
            <w14:solidFill>
              <w14:schemeClr w14:val="tx1"/>
            </w14:solidFill>
          </w14:textFill>
        </w:rPr>
        <w:t>2.66hm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项目二期占地</w:t>
      </w:r>
      <w:r>
        <w:rPr>
          <w:rFonts w:hint="eastAsia"/>
          <w:color w:val="000000" w:themeColor="text1"/>
          <w14:textFill>
            <w14:solidFill>
              <w14:schemeClr w14:val="tx1"/>
            </w14:solidFill>
          </w14:textFill>
        </w:rPr>
        <w:t>面积为0.95hm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，与项目建设用地规划许可证记载的用地范围和面积一致</w:t>
      </w:r>
      <w:r>
        <w:rPr>
          <w:rFonts w:hint="eastAsia"/>
          <w:color w:val="000000" w:themeColor="text1"/>
          <w:lang w:eastAsia="zh-CN"/>
          <w14:textFill>
            <w14:solidFill>
              <w14:schemeClr w14:val="tx1"/>
            </w14:solidFill>
          </w14:textFill>
        </w:rPr>
        <w:t>。二期</w:t>
      </w:r>
      <w:r>
        <w:rPr>
          <w:rFonts w:hint="eastAsia"/>
          <w:color w:val="000000" w:themeColor="text1"/>
          <w14:textFill>
            <w14:solidFill>
              <w14:schemeClr w14:val="tx1"/>
            </w14:solidFill>
          </w14:textFill>
        </w:rPr>
        <w:t>项目工业建筑容积率1.28，项目建设用地控制指标符合《工业项目建设用地控制指标》（自然资源部2</w:t>
      </w:r>
      <w:r>
        <w:rPr>
          <w:color w:val="000000" w:themeColor="text1"/>
          <w14:textFill>
            <w14:solidFill>
              <w14:schemeClr w14:val="tx1"/>
            </w14:solidFill>
          </w14:textFill>
        </w:rPr>
        <w:t>023</w:t>
      </w:r>
      <w:r>
        <w:rPr>
          <w:rFonts w:hint="eastAsia"/>
          <w:color w:val="000000" w:themeColor="text1"/>
          <w14:textFill>
            <w14:solidFill>
              <w14:schemeClr w14:val="tx1"/>
            </w14:solidFill>
          </w14:textFill>
        </w:rPr>
        <w:t>年0</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日）建设用地控制指标的规定。</w:t>
      </w:r>
      <w:r>
        <w:rPr>
          <w:rFonts w:hint="eastAsia"/>
          <w:color w:val="000000" w:themeColor="text1"/>
          <w:lang w:eastAsia="zh-CN"/>
          <w14:textFill>
            <w14:solidFill>
              <w14:schemeClr w14:val="tx1"/>
            </w14:solidFill>
          </w14:textFill>
        </w:rPr>
        <w:t>二期</w:t>
      </w:r>
      <w:r>
        <w:rPr>
          <w:rFonts w:hint="eastAsia"/>
          <w:color w:val="000000" w:themeColor="text1"/>
          <w14:textFill>
            <w14:solidFill>
              <w14:schemeClr w14:val="tx1"/>
            </w14:solidFill>
          </w14:textFill>
        </w:rPr>
        <w:t>项目绿地占地面积0.12</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，绿地率13%，符合《城市绿地规划标准》（GB/T 51346-2019）第5.4.4条对工业用地绿地率指标要求，项目占地符合建设用地控制指标。</w:t>
      </w:r>
    </w:p>
    <w:p w14:paraId="06F9FF4B">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2、占地类型分析</w:t>
      </w:r>
    </w:p>
    <w:p w14:paraId="3FC39CF0">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本项目占地类型现已规划为工业用地，占地类型符合高新区土地利用规划，不占用基本农田，</w:t>
      </w:r>
      <w:r>
        <w:rPr>
          <w:rFonts w:hint="eastAsia"/>
          <w:color w:val="000000" w:themeColor="text1"/>
          <w:spacing w:val="-4"/>
          <w14:textFill>
            <w14:solidFill>
              <w14:schemeClr w14:val="tx1"/>
            </w14:solidFill>
          </w14:textFill>
        </w:rPr>
        <w:t>项目区建设结束</w:t>
      </w:r>
      <w:r>
        <w:rPr>
          <w:color w:val="000000" w:themeColor="text1"/>
          <w:spacing w:val="-4"/>
          <w14:textFill>
            <w14:solidFill>
              <w14:schemeClr w14:val="tx1"/>
            </w14:solidFill>
          </w14:textFill>
        </w:rPr>
        <w:t>后</w:t>
      </w:r>
      <w:r>
        <w:rPr>
          <w:rFonts w:hint="eastAsia"/>
          <w:color w:val="000000" w:themeColor="text1"/>
          <w:spacing w:val="-4"/>
          <w14:textFill>
            <w14:solidFill>
              <w14:schemeClr w14:val="tx1"/>
            </w14:solidFill>
          </w14:textFill>
        </w:rPr>
        <w:t>临时</w:t>
      </w:r>
      <w:r>
        <w:rPr>
          <w:color w:val="000000" w:themeColor="text1"/>
          <w:spacing w:val="-4"/>
          <w14:textFill>
            <w14:solidFill>
              <w14:schemeClr w14:val="tx1"/>
            </w14:solidFill>
          </w14:textFill>
        </w:rPr>
        <w:t>设施进行拆除，场地进行</w:t>
      </w:r>
      <w:r>
        <w:rPr>
          <w:rFonts w:hint="eastAsia"/>
          <w:color w:val="000000" w:themeColor="text1"/>
          <w:spacing w:val="-4"/>
          <w14:textFill>
            <w14:solidFill>
              <w14:schemeClr w14:val="tx1"/>
            </w14:solidFill>
          </w14:textFill>
        </w:rPr>
        <w:t>绿化</w:t>
      </w:r>
      <w:r>
        <w:rPr>
          <w:color w:val="000000" w:themeColor="text1"/>
          <w:spacing w:val="-4"/>
          <w14:textFill>
            <w14:solidFill>
              <w14:schemeClr w14:val="tx1"/>
            </w14:solidFill>
          </w14:textFill>
        </w:rPr>
        <w:t>，符合水土保持相关规定。</w:t>
      </w:r>
    </w:p>
    <w:p w14:paraId="4E6881F9">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从水土保持角度分析，工程占地面积合理，不存在漏项，占地性质符合区域土地利用规划总体要求，</w:t>
      </w:r>
      <w:r>
        <w:rPr>
          <w:rFonts w:hint="eastAsia" w:cs="Times New Roman"/>
          <w:color w:val="000000" w:themeColor="text1"/>
          <w14:textFill>
            <w14:solidFill>
              <w14:schemeClr w14:val="tx1"/>
            </w14:solidFill>
          </w14:textFill>
        </w:rPr>
        <w:t>占地面积充分考虑了施工所需的场地条件，尽可能地减少了新增临时占地，减少了扰动土地面积，</w:t>
      </w:r>
      <w:r>
        <w:rPr>
          <w:rFonts w:cs="Times New Roman"/>
          <w:color w:val="000000" w:themeColor="text1"/>
          <w14:textFill>
            <w14:solidFill>
              <w14:schemeClr w14:val="tx1"/>
            </w14:solidFill>
          </w14:textFill>
        </w:rPr>
        <w:t>符合水土保持要求。</w:t>
      </w:r>
    </w:p>
    <w:p w14:paraId="1A4EFEAF">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3.2.3土石方平衡分析评价</w:t>
      </w:r>
    </w:p>
    <w:p w14:paraId="638D2F27">
      <w:pPr>
        <w:ind w:firstLine="480"/>
        <w:rPr>
          <w:rFonts w:hint="eastAsia" w:eastAsia="仿宋_GB2312"/>
          <w:color w:val="000000" w:themeColor="text1"/>
          <w:spacing w:val="-4"/>
          <w:highlight w:val="green"/>
          <w:lang w:eastAsia="zh-CN"/>
          <w14:textFill>
            <w14:solidFill>
              <w14:schemeClr w14:val="tx1"/>
            </w14:solidFill>
          </w14:textFill>
        </w:rPr>
      </w:pPr>
      <w:r>
        <w:rPr>
          <w:rFonts w:hint="eastAsia"/>
          <w:color w:val="000000" w:themeColor="text1"/>
          <w14:textFill>
            <w14:solidFill>
              <w14:schemeClr w14:val="tx1"/>
            </w14:solidFill>
          </w14:textFill>
        </w:rPr>
        <w:t>项目土石方开挖总量为3.41万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含表土剥离0.10万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），土石方回填量为0.37万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含表土剥离0.10万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），余方3.04万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余方运送至距离项目4.5公里的绵阳会展中心综合体项目周边道路建设项目（三期）回填后综合利用。</w:t>
      </w:r>
    </w:p>
    <w:p w14:paraId="3A56D21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设计确定了合理的场地设计标高，充分利用场地开挖土石方回填场地，减少了余方的产生，本项目建、构筑物（机械设备）回填、道路广场回填采用余方回填，符合土石方尽可能综合利用的原则，符合水土保持要求。</w:t>
      </w:r>
    </w:p>
    <w:p w14:paraId="2FC7B8C5">
      <w:pPr>
        <w:ind w:firstLine="480"/>
        <w:rPr>
          <w:rFonts w:cs="Times New Roman"/>
          <w:color w:val="000000" w:themeColor="text1"/>
          <w:lang w:bidi="ar"/>
          <w14:textFill>
            <w14:solidFill>
              <w14:schemeClr w14:val="tx1"/>
            </w14:solidFill>
          </w14:textFill>
        </w:rPr>
      </w:pPr>
      <w:r>
        <w:rPr>
          <w:rFonts w:hint="eastAsia" w:cs="Times New Roman"/>
          <w:color w:val="000000" w:themeColor="text1"/>
          <w14:textFill>
            <w14:solidFill>
              <w14:schemeClr w14:val="tx1"/>
            </w14:solidFill>
          </w14:textFill>
        </w:rPr>
        <w:t>综上所述，主体工程设计中的土石方开挖、回填的施工时序合理，尽可能减少了临时堆土，其调运过程基本合理，项目建设充分利用自身开挖土石方进行回填，充分利用和保护了土石方资源，土石方挖填数量符合最优化原则，有效减少了临时堆土量和施工过程中的土石方转运，间接减少了水土流失发生的几率，有利于水土保持工作的开展，土石方调运节点适宜、时序可行，同时余方进行综合利用、运距和时序均满足本项目需要。因此，从水土保持角度分析，本项目土石方平衡调运合理，符合水土保持要求。</w:t>
      </w:r>
    </w:p>
    <w:p w14:paraId="1C081850">
      <w:pPr>
        <w:pStyle w:val="4"/>
        <w:tabs>
          <w:tab w:val="left" w:pos="720"/>
        </w:tabs>
        <w:rPr>
          <w:color w:val="000000" w:themeColor="text1"/>
          <w14:textFill>
            <w14:solidFill>
              <w14:schemeClr w14:val="tx1"/>
            </w14:solidFill>
          </w14:textFill>
        </w:rPr>
      </w:pPr>
      <w:r>
        <w:rPr>
          <w:color w:val="000000" w:themeColor="text1"/>
          <w14:textFill>
            <w14:solidFill>
              <w14:schemeClr w14:val="tx1"/>
            </w14:solidFill>
          </w14:textFill>
        </w:rPr>
        <w:t>3.2.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取土（石、砂）场设置评价</w:t>
      </w:r>
    </w:p>
    <w:p w14:paraId="7D99781F">
      <w:pPr>
        <w:ind w:firstLine="472"/>
        <w:rPr>
          <w:rFonts w:ascii="仿宋_GB2312" w:cs="Times New Roman"/>
          <w:color w:val="000000" w:themeColor="text1"/>
          <w:spacing w:val="-4"/>
          <w14:textFill>
            <w14:solidFill>
              <w14:schemeClr w14:val="tx1"/>
            </w14:solidFill>
          </w14:textFill>
        </w:rPr>
      </w:pPr>
      <w:r>
        <w:rPr>
          <w:rFonts w:hint="eastAsia" w:ascii="仿宋_GB2312" w:cs="Times New Roman"/>
          <w:color w:val="000000" w:themeColor="text1"/>
          <w:spacing w:val="-4"/>
          <w14:textFill>
            <w14:solidFill>
              <w14:schemeClr w14:val="tx1"/>
            </w14:solidFill>
          </w14:textFill>
        </w:rPr>
        <w:t>工程建设所需砂、石等建筑材料从当地商品市场购买，项目不设专门的取土场。从水土保持角度分析，本项目未新增取土场，减少了工程扰动面积，从源头上减少了水土流失，符合水土保持要求。</w:t>
      </w:r>
    </w:p>
    <w:p w14:paraId="03A22CE9">
      <w:pPr>
        <w:pStyle w:val="4"/>
        <w:tabs>
          <w:tab w:val="left" w:pos="720"/>
        </w:tabs>
        <w:rPr>
          <w:color w:val="000000" w:themeColor="text1"/>
          <w14:textFill>
            <w14:solidFill>
              <w14:schemeClr w14:val="tx1"/>
            </w14:solidFill>
          </w14:textFill>
        </w:rPr>
      </w:pPr>
      <w:r>
        <w:rPr>
          <w:color w:val="000000" w:themeColor="text1"/>
          <w14:textFill>
            <w14:solidFill>
              <w14:schemeClr w14:val="tx1"/>
            </w14:solidFill>
          </w14:textFill>
        </w:rPr>
        <w:t>3.2.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弃土（石、渣、灰、矸石、尾矿）场设置评价</w:t>
      </w:r>
    </w:p>
    <w:p w14:paraId="7FA18CA1">
      <w:pPr>
        <w:ind w:firstLine="480"/>
        <w:rPr>
          <w:color w:val="000000" w:themeColor="text1"/>
          <w:spacing w:val="-4"/>
          <w:highlight w:val="none"/>
          <w14:textFill>
            <w14:solidFill>
              <w14:schemeClr w14:val="tx1"/>
            </w14:solidFill>
          </w14:textFill>
        </w:rPr>
      </w:pPr>
      <w:r>
        <w:rPr>
          <w:rFonts w:hint="eastAsia"/>
          <w:bCs/>
          <w:color w:val="000000" w:themeColor="text1"/>
          <w:highlight w:val="none"/>
          <w14:textFill>
            <w14:solidFill>
              <w14:schemeClr w14:val="tx1"/>
            </w14:solidFill>
          </w14:textFill>
        </w:rPr>
        <w:t>本项目前期开挖土石方过内部回填综合利用，项目</w:t>
      </w:r>
      <w:r>
        <w:rPr>
          <w:rFonts w:hint="eastAsia"/>
          <w:color w:val="000000" w:themeColor="text1"/>
          <w:highlight w:val="none"/>
          <w14:textFill>
            <w14:solidFill>
              <w14:schemeClr w14:val="tx1"/>
            </w14:solidFill>
          </w14:textFill>
        </w:rPr>
        <w:t>余方运送至距离项目</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5公里的</w:t>
      </w:r>
      <w:r>
        <w:rPr>
          <w:rFonts w:hint="eastAsia"/>
          <w:color w:val="000000" w:themeColor="text1"/>
          <w:spacing w:val="-4"/>
          <w:highlight w:val="none"/>
          <w14:textFill>
            <w14:solidFill>
              <w14:schemeClr w14:val="tx1"/>
            </w14:solidFill>
          </w14:textFill>
        </w:rPr>
        <w:t>绵阳会展中心综合体项目周边道路建设项目（三期）</w:t>
      </w:r>
      <w:r>
        <w:rPr>
          <w:rFonts w:hint="eastAsia"/>
          <w:color w:val="000000" w:themeColor="text1"/>
          <w:highlight w:val="none"/>
          <w14:textFill>
            <w14:solidFill>
              <w14:schemeClr w14:val="tx1"/>
            </w14:solidFill>
          </w14:textFill>
        </w:rPr>
        <w:t>回填后综合利用</w:t>
      </w:r>
      <w:r>
        <w:rPr>
          <w:rFonts w:hint="eastAsia"/>
          <w:bCs/>
          <w:color w:val="000000" w:themeColor="text1"/>
          <w:highlight w:val="none"/>
          <w14:textFill>
            <w14:solidFill>
              <w14:schemeClr w14:val="tx1"/>
            </w14:solidFill>
          </w14:textFill>
        </w:rPr>
        <w:t>，不设置弃渣场，减少了因弃渣场设置造成的占地和水土流失</w:t>
      </w:r>
      <w:r>
        <w:rPr>
          <w:rFonts w:hint="eastAsia"/>
          <w:color w:val="000000" w:themeColor="text1"/>
          <w:spacing w:val="-4"/>
          <w:highlight w:val="none"/>
          <w14:textFill>
            <w14:solidFill>
              <w14:schemeClr w14:val="tx1"/>
            </w14:solidFill>
          </w14:textFill>
        </w:rPr>
        <w:t>。</w:t>
      </w:r>
    </w:p>
    <w:p w14:paraId="739D0036">
      <w:pPr>
        <w:pStyle w:val="4"/>
        <w:tabs>
          <w:tab w:val="left" w:pos="720"/>
        </w:tabs>
        <w:rPr>
          <w:color w:val="000000" w:themeColor="text1"/>
          <w14:textFill>
            <w14:solidFill>
              <w14:schemeClr w14:val="tx1"/>
            </w14:solidFill>
          </w14:textFill>
        </w:rPr>
      </w:pPr>
      <w:r>
        <w:rPr>
          <w:color w:val="000000" w:themeColor="text1"/>
          <w14:textFill>
            <w14:solidFill>
              <w14:schemeClr w14:val="tx1"/>
            </w14:solidFill>
          </w14:textFill>
        </w:rPr>
        <w:t xml:space="preserve">3.2.7 </w:t>
      </w:r>
      <w:r>
        <w:rPr>
          <w:rFonts w:hint="eastAsia"/>
          <w:color w:val="000000" w:themeColor="text1"/>
          <w14:textFill>
            <w14:solidFill>
              <w14:schemeClr w14:val="tx1"/>
            </w14:solidFill>
          </w14:textFill>
        </w:rPr>
        <w:t>施工方法与工艺评价</w:t>
      </w:r>
    </w:p>
    <w:p w14:paraId="691DFE0B">
      <w:pPr>
        <w:pStyle w:val="5"/>
        <w:tabs>
          <w:tab w:val="left" w:pos="864"/>
        </w:tabs>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3.2.</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.1 施工组织的分析与评价</w:t>
      </w:r>
    </w:p>
    <w:p w14:paraId="3EA7D18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w:t>
      </w:r>
      <w:r>
        <w:rPr>
          <w:color w:val="000000" w:themeColor="text1"/>
          <w14:textFill>
            <w14:solidFill>
              <w14:schemeClr w14:val="tx1"/>
            </w14:solidFill>
          </w14:textFill>
        </w:rPr>
        <w:t>过程中按照土石方总体平衡的原则，并结合场地自然地形和标高，合理利用开挖土石方。</w:t>
      </w:r>
    </w:p>
    <w:p w14:paraId="471DE03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施工布局充分利用占地范围，建筑施工采用机械与人工结合的方式，项目采用商砼，砼搅拌、运输采用机械操作；工程在建设前先对场地进行</w:t>
      </w:r>
      <w:r>
        <w:rPr>
          <w:rFonts w:hint="eastAsia"/>
          <w:color w:val="000000" w:themeColor="text1"/>
          <w14:textFill>
            <w14:solidFill>
              <w14:schemeClr w14:val="tx1"/>
            </w14:solidFill>
          </w14:textFill>
        </w:rPr>
        <w:t>场地</w:t>
      </w:r>
      <w:r>
        <w:rPr>
          <w:color w:val="000000" w:themeColor="text1"/>
          <w14:textFill>
            <w14:solidFill>
              <w14:schemeClr w14:val="tx1"/>
            </w14:solidFill>
          </w14:textFill>
        </w:rPr>
        <w:t>平整，基坑开挖、回填的施工过程中应加强对工程临时</w:t>
      </w:r>
      <w:r>
        <w:rPr>
          <w:rFonts w:hint="eastAsia"/>
          <w:color w:val="000000" w:themeColor="text1"/>
          <w14:textFill>
            <w14:solidFill>
              <w14:schemeClr w14:val="tx1"/>
            </w14:solidFill>
          </w14:textFill>
        </w:rPr>
        <w:t>排水</w:t>
      </w:r>
      <w:r>
        <w:rPr>
          <w:color w:val="000000" w:themeColor="text1"/>
          <w14:textFill>
            <w14:solidFill>
              <w14:schemeClr w14:val="tx1"/>
            </w14:solidFill>
          </w14:textFill>
        </w:rPr>
        <w:t>的防护。项目建设总体符合水土保持要求，对防治水土流失可起到较好的效果。</w:t>
      </w:r>
    </w:p>
    <w:p w14:paraId="603066D7">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建设地交通运输较方便，地方性建筑材料均可通过购买方式获得，能满足工程建设需要。但在购买施工材料时，应选择在当地水行政主管部门备案的料场购买，在购买合同中明确料场开采过程中及开采后的水土流失防治责任由料场经营者负责。</w:t>
      </w:r>
    </w:p>
    <w:p w14:paraId="3BE62869">
      <w:pPr>
        <w:ind w:firstLine="480"/>
        <w:rPr>
          <w:color w:val="000000" w:themeColor="text1"/>
          <w14:textFill>
            <w14:solidFill>
              <w14:schemeClr w14:val="tx1"/>
            </w14:solidFill>
          </w14:textFill>
        </w:rPr>
      </w:pPr>
      <w:r>
        <w:rPr>
          <w:color w:val="000000" w:themeColor="text1"/>
          <w14:textFill>
            <w14:solidFill>
              <w14:schemeClr w14:val="tx1"/>
            </w14:solidFill>
          </w14:textFill>
        </w:rPr>
        <w:t>雨季施工最易产生水土流失，工期安排是否合理直接决定了可能发生的水土流失量，</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的土石方工程和场平工程尽量避开雨季施工，</w:t>
      </w:r>
      <w:r>
        <w:rPr>
          <w:rFonts w:hint="eastAsia"/>
          <w:color w:val="000000" w:themeColor="text1"/>
          <w14:textFill>
            <w14:solidFill>
              <w14:schemeClr w14:val="tx1"/>
            </w14:solidFill>
          </w14:textFill>
        </w:rPr>
        <w:t>严禁</w:t>
      </w:r>
      <w:r>
        <w:rPr>
          <w:color w:val="000000" w:themeColor="text1"/>
          <w14:textFill>
            <w14:solidFill>
              <w14:schemeClr w14:val="tx1"/>
            </w14:solidFill>
          </w14:textFill>
        </w:rPr>
        <w:t>雨天进行土石方施工，施工过程中，在保证工程质量的情况下，应尽量加快施工进度，减少地表裸露时间。</w:t>
      </w:r>
    </w:p>
    <w:p w14:paraId="07A929FA">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施工过程中应加强施工组织管理，采用先进的施工方法与工艺。施工过程中采用机械施工与人工施工相结合的方法，统筹、合理、科学安排施工工序，避免重复施工和土石方乱流，施工组织大纲中增加水土保持要求，施工单位严格按照施工组织大纲施工。</w:t>
      </w:r>
    </w:p>
    <w:p w14:paraId="7FBC0986">
      <w:pPr>
        <w:pStyle w:val="5"/>
        <w:tabs>
          <w:tab w:val="left" w:pos="864"/>
        </w:tabs>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3.2.</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施工方法及工艺的分析与评价</w:t>
      </w:r>
    </w:p>
    <w:p w14:paraId="6BC6523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施工时段分析评价</w:t>
      </w:r>
    </w:p>
    <w:p w14:paraId="324DD20A">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已经于</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3年6月开工，计划于</w:t>
      </w: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月底完工，总工期1</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个月</w:t>
      </w:r>
      <w:r>
        <w:rPr>
          <w:color w:val="000000" w:themeColor="text1"/>
          <w14:textFill>
            <w14:solidFill>
              <w14:schemeClr w14:val="tx1"/>
            </w14:solidFill>
          </w14:textFill>
        </w:rPr>
        <w:t>。因此，雨季施工不可避免</w:t>
      </w:r>
      <w:r>
        <w:rPr>
          <w:rFonts w:hint="eastAsia"/>
          <w:color w:val="000000" w:themeColor="text1"/>
          <w14:textFill>
            <w14:solidFill>
              <w14:schemeClr w14:val="tx1"/>
            </w14:solidFill>
          </w14:textFill>
        </w:rPr>
        <w:t>。</w:t>
      </w:r>
    </w:p>
    <w:p w14:paraId="6E7FA86A">
      <w:pPr>
        <w:ind w:firstLine="472"/>
        <w:rPr>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施工中在雨季加强临时防护措施的设置，对开挖的临时堆土用密目网覆盖，修筑完成的临时排水沟、沉沙池等应在雨季前进行检查，保证雨季施工期可以合理组织临时排水，雨季施工应进行严格管理，保证水土保持措施及时布置，减少项目区水土流失。</w:t>
      </w:r>
    </w:p>
    <w:p w14:paraId="326CE21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施工布置分析与评价</w:t>
      </w:r>
    </w:p>
    <w:p w14:paraId="162A88AA">
      <w:pPr>
        <w:ind w:firstLine="480"/>
        <w:rPr>
          <w:color w:val="000000" w:themeColor="text1"/>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项目周围的</w:t>
      </w:r>
      <w:r>
        <w:rPr>
          <w:color w:val="000000" w:themeColor="text1"/>
          <w14:textFill>
            <w14:solidFill>
              <w14:schemeClr w14:val="tx1"/>
            </w14:solidFill>
          </w14:textFill>
        </w:rPr>
        <w:t>基础设施</w:t>
      </w:r>
      <w:r>
        <w:rPr>
          <w:rFonts w:hint="eastAsia"/>
          <w:color w:val="000000" w:themeColor="text1"/>
          <w14:textFill>
            <w14:solidFill>
              <w14:schemeClr w14:val="tx1"/>
            </w14:solidFill>
          </w14:textFill>
        </w:rPr>
        <w:t>和交通</w:t>
      </w:r>
      <w:r>
        <w:rPr>
          <w:color w:val="000000" w:themeColor="text1"/>
          <w14:textFill>
            <w14:solidFill>
              <w14:schemeClr w14:val="tx1"/>
            </w14:solidFill>
          </w14:textFill>
        </w:rPr>
        <w:t>运输条件</w:t>
      </w:r>
      <w:r>
        <w:rPr>
          <w:rFonts w:hint="eastAsia"/>
          <w:color w:val="000000" w:themeColor="text1"/>
          <w14:textFill>
            <w14:solidFill>
              <w14:schemeClr w14:val="tx1"/>
            </w14:solidFill>
          </w14:textFill>
        </w:rPr>
        <w:t>完善</w:t>
      </w:r>
      <w:r>
        <w:rPr>
          <w:color w:val="000000" w:themeColor="text1"/>
          <w14:textFill>
            <w14:solidFill>
              <w14:schemeClr w14:val="tx1"/>
            </w14:solidFill>
          </w14:textFill>
        </w:rPr>
        <w:t>，布置位置合理，能满足工程建设的需要，</w:t>
      </w:r>
      <w:r>
        <w:rPr>
          <w:rFonts w:hint="eastAsia"/>
          <w:color w:val="000000" w:themeColor="text1"/>
          <w14:textFill>
            <w14:solidFill>
              <w14:schemeClr w14:val="tx1"/>
            </w14:solidFill>
          </w14:textFill>
        </w:rPr>
        <w:t>工业场地布置紧凑，</w:t>
      </w:r>
      <w:r>
        <w:rPr>
          <w:color w:val="000000" w:themeColor="text1"/>
          <w14:textFill>
            <w14:solidFill>
              <w14:schemeClr w14:val="tx1"/>
            </w14:solidFill>
          </w14:textFill>
        </w:rPr>
        <w:t>减少了施工扰动面积，减少了对土地资源的占用，其总体布局是合理的，符合水土保持相关要求。</w:t>
      </w:r>
    </w:p>
    <w:p w14:paraId="78C9A25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施工工艺分析与评价</w:t>
      </w:r>
    </w:p>
    <w:p w14:paraId="6A65F9D6">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建设</w:t>
      </w:r>
      <w:r>
        <w:rPr>
          <w:color w:val="000000" w:themeColor="text1"/>
          <w14:textFill>
            <w14:solidFill>
              <w14:schemeClr w14:val="tx1"/>
            </w14:solidFill>
          </w14:textFill>
        </w:rPr>
        <w:t>项目工程建设的特点，以及工程建设区的地形地貌、地质岩性、土壤、植被及水文气象等自然环境特征，分析该项目工程建设过程中可能导致水土流失的主要工序是</w:t>
      </w:r>
      <w:r>
        <w:rPr>
          <w:rFonts w:hint="eastAsia"/>
          <w:color w:val="000000" w:themeColor="text1"/>
          <w14:textFill>
            <w14:solidFill>
              <w14:schemeClr w14:val="tx1"/>
            </w14:solidFill>
          </w14:textFill>
        </w:rPr>
        <w:t>场地平整</w:t>
      </w:r>
      <w:r>
        <w:rPr>
          <w:color w:val="000000" w:themeColor="text1"/>
          <w14:textFill>
            <w14:solidFill>
              <w14:schemeClr w14:val="tx1"/>
            </w14:solidFill>
          </w14:textFill>
        </w:rPr>
        <w:t>及</w:t>
      </w:r>
      <w:r>
        <w:rPr>
          <w:rFonts w:hint="eastAsia"/>
          <w:color w:val="000000" w:themeColor="text1"/>
          <w14:textFill>
            <w14:solidFill>
              <w14:schemeClr w14:val="tx1"/>
            </w14:solidFill>
          </w14:textFill>
        </w:rPr>
        <w:t>土方回填</w:t>
      </w:r>
      <w:r>
        <w:rPr>
          <w:color w:val="000000" w:themeColor="text1"/>
          <w14:textFill>
            <w14:solidFill>
              <w14:schemeClr w14:val="tx1"/>
            </w14:solidFill>
          </w14:textFill>
        </w:rPr>
        <w:t>等。</w:t>
      </w:r>
    </w:p>
    <w:p w14:paraId="652E67EC">
      <w:pPr>
        <w:ind w:right="49" w:firstLine="480"/>
        <w:rPr>
          <w:color w:val="000000" w:themeColor="text1"/>
          <w14:textFill>
            <w14:solidFill>
              <w14:schemeClr w14:val="tx1"/>
            </w14:solidFill>
          </w14:textFill>
        </w:rPr>
      </w:pPr>
      <w:r>
        <w:rPr>
          <w:color w:val="000000" w:themeColor="text1"/>
          <w14:textFill>
            <w14:solidFill>
              <w14:schemeClr w14:val="tx1"/>
            </w14:solidFill>
          </w14:textFill>
        </w:rPr>
        <w:t>施工前进行测量，明确工程占地范围，划定挖填区域，合理安排施工进度与时序，尽量避开雨季施工，同时做到“随挖、随运、随填、随压”，尽量减少裸露面积，缩短裸露时间，防止重复开挖和土石方多次倒运。</w:t>
      </w:r>
    </w:p>
    <w:p w14:paraId="4055B921">
      <w:pPr>
        <w:ind w:right="49" w:firstLine="480"/>
        <w:rPr>
          <w:color w:val="000000" w:themeColor="text1"/>
          <w14:textFill>
            <w14:solidFill>
              <w14:schemeClr w14:val="tx1"/>
            </w14:solidFill>
          </w14:textFill>
        </w:rPr>
      </w:pPr>
      <w:r>
        <w:rPr>
          <w:color w:val="000000" w:themeColor="text1"/>
          <w14:textFill>
            <w14:solidFill>
              <w14:schemeClr w14:val="tx1"/>
            </w14:solidFill>
          </w14:textFill>
        </w:rPr>
        <w:t>合理安排施工，控制开挖深度，减少开挖量和废弃量。优化土石方开挖工艺，尽量采用装载机配合自卸汽车挖运土方。运输砂石料的车辆车顶应采取覆盖等预防保护措施，防止沿途散溢，运输结束后，车辆离开施工区域时对车辆进行冲洗。外购砂石料时，必须选择合法砂石料场，并在供料合同中明确水土流失防治责任。</w:t>
      </w:r>
    </w:p>
    <w:p w14:paraId="33ABEC26">
      <w:pPr>
        <w:ind w:firstLine="480"/>
        <w:rPr>
          <w:color w:val="000000" w:themeColor="text1"/>
          <w14:textFill>
            <w14:solidFill>
              <w14:schemeClr w14:val="tx1"/>
            </w14:solidFill>
          </w14:textFill>
        </w:rPr>
      </w:pPr>
      <w:r>
        <w:rPr>
          <w:color w:val="000000" w:themeColor="text1"/>
          <w14:textFill>
            <w14:solidFill>
              <w14:schemeClr w14:val="tx1"/>
            </w14:solidFill>
          </w14:textFill>
        </w:rPr>
        <w:t>上述可见，工程开挖做到随挖、随运、随填、随平、随压连续作业方式，可有效避免因施工不当直接造成水土流失的可能，符合水土保持要求。填筑体经过推平、碾压、夯实后，不再是松散的堆积体，能够有效防止发生水土流失。</w:t>
      </w:r>
    </w:p>
    <w:p w14:paraId="658F3A61">
      <w:pPr>
        <w:ind w:firstLine="480"/>
        <w:rPr>
          <w:color w:val="000000" w:themeColor="text1"/>
          <w14:textFill>
            <w14:solidFill>
              <w14:schemeClr w14:val="tx1"/>
            </w14:solidFill>
          </w14:textFill>
        </w:rPr>
      </w:pPr>
      <w:r>
        <w:rPr>
          <w:color w:val="000000" w:themeColor="text1"/>
          <w14:textFill>
            <w14:solidFill>
              <w14:schemeClr w14:val="tx1"/>
            </w14:solidFill>
          </w14:textFill>
        </w:rPr>
        <w:t>此外，在工程</w:t>
      </w:r>
      <w:r>
        <w:rPr>
          <w:rFonts w:hint="eastAsia"/>
          <w:color w:val="000000" w:themeColor="text1"/>
          <w14:textFill>
            <w14:solidFill>
              <w14:schemeClr w14:val="tx1"/>
            </w14:solidFill>
          </w14:textFill>
        </w:rPr>
        <w:t>后续</w:t>
      </w:r>
      <w:r>
        <w:rPr>
          <w:color w:val="000000" w:themeColor="text1"/>
          <w14:textFill>
            <w14:solidFill>
              <w14:schemeClr w14:val="tx1"/>
            </w14:solidFill>
          </w14:textFill>
        </w:rPr>
        <w:t>施工中还应注意严格控制扰动面积在规定范围内，减少地表裸露时间，遇暴雨或大风天气加强临时防护。</w:t>
      </w:r>
    </w:p>
    <w:p w14:paraId="42BF8D81">
      <w:pPr>
        <w:pStyle w:val="4"/>
        <w:tabs>
          <w:tab w:val="left" w:pos="720"/>
        </w:tabs>
        <w:rPr>
          <w:color w:val="000000" w:themeColor="text1"/>
          <w14:textFill>
            <w14:solidFill>
              <w14:schemeClr w14:val="tx1"/>
            </w14:solidFill>
          </w14:textFill>
        </w:rPr>
      </w:pPr>
      <w:r>
        <w:rPr>
          <w:rFonts w:hint="eastAsia"/>
          <w:color w:val="000000" w:themeColor="text1"/>
          <w14:textFill>
            <w14:solidFill>
              <w14:schemeClr w14:val="tx1"/>
            </w14:solidFill>
          </w14:textFill>
        </w:rPr>
        <w:t>3.2.</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主体工程设计中具有水土保持功能工程的</w:t>
      </w:r>
      <w:r>
        <w:rPr>
          <w:color w:val="000000" w:themeColor="text1"/>
          <w14:textFill>
            <w14:solidFill>
              <w14:schemeClr w14:val="tx1"/>
            </w14:solidFill>
          </w14:textFill>
        </w:rPr>
        <w:t>评价</w:t>
      </w:r>
    </w:p>
    <w:p w14:paraId="46223462">
      <w:pPr>
        <w:widowControl/>
        <w:numPr>
          <w:ilvl w:val="0"/>
          <w:numId w:val="3"/>
        </w:numPr>
        <w:ind w:firstLine="482"/>
        <w:rPr>
          <w:rFonts w:hint="eastAsia"/>
          <w:b/>
          <w:bCs/>
          <w:snapToGrid w:val="0"/>
          <w:color w:val="000000" w:themeColor="text1"/>
          <w:lang w:eastAsia="zh-CN"/>
          <w14:textFill>
            <w14:solidFill>
              <w14:schemeClr w14:val="tx1"/>
            </w14:solidFill>
          </w14:textFill>
        </w:rPr>
      </w:pPr>
      <w:bookmarkStart w:id="84" w:name="_Toc517528244"/>
      <w:bookmarkStart w:id="85" w:name="_Toc503810482"/>
      <w:r>
        <w:rPr>
          <w:rFonts w:hint="eastAsia"/>
          <w:b/>
          <w:bCs/>
          <w:snapToGrid w:val="0"/>
          <w:color w:val="000000" w:themeColor="text1"/>
          <w:lang w:eastAsia="zh-CN"/>
          <w14:textFill>
            <w14:solidFill>
              <w14:schemeClr w14:val="tx1"/>
            </w14:solidFill>
          </w14:textFill>
        </w:rPr>
        <w:t>表土剥离</w:t>
      </w:r>
    </w:p>
    <w:p w14:paraId="2C55A7D1">
      <w:pPr>
        <w:ind w:firstLine="480"/>
        <w:rPr>
          <w:color w:val="auto"/>
          <w:highlight w:val="none"/>
        </w:rPr>
      </w:pPr>
      <w:r>
        <w:rPr>
          <w:color w:val="auto"/>
          <w:highlight w:val="none"/>
        </w:rPr>
        <w:t>为保护表土资源，施工在前期对该区采取了表土剥离措施。施工单位对</w:t>
      </w:r>
      <w:r>
        <w:rPr>
          <w:rFonts w:hint="eastAsia"/>
          <w:color w:val="auto"/>
          <w:highlight w:val="none"/>
        </w:rPr>
        <w:t>建构筑物工程区</w:t>
      </w:r>
      <w:r>
        <w:rPr>
          <w:rFonts w:hint="eastAsia"/>
          <w:color w:val="auto"/>
          <w:highlight w:val="none"/>
          <w:lang w:eastAsia="zh-CN"/>
        </w:rPr>
        <w:t>和</w:t>
      </w:r>
      <w:r>
        <w:rPr>
          <w:rFonts w:hint="eastAsia"/>
          <w:color w:val="auto"/>
          <w:highlight w:val="none"/>
        </w:rPr>
        <w:t>场内道路及硬化工程区</w:t>
      </w:r>
      <w:r>
        <w:rPr>
          <w:color w:val="auto"/>
          <w:highlight w:val="none"/>
        </w:rPr>
        <w:t>实施表土剥离，可剥离面积共计</w:t>
      </w:r>
      <w:r>
        <w:rPr>
          <w:rFonts w:hint="eastAsia"/>
          <w:color w:val="auto"/>
          <w:highlight w:val="none"/>
          <w:lang w:val="en-US" w:eastAsia="zh-CN"/>
        </w:rPr>
        <w:t>0.4</w:t>
      </w:r>
      <w:r>
        <w:rPr>
          <w:color w:val="auto"/>
          <w:highlight w:val="none"/>
        </w:rPr>
        <w:t>h</w:t>
      </w:r>
      <w:r>
        <w:rPr>
          <w:rFonts w:hint="eastAsia"/>
          <w:color w:val="auto"/>
          <w:highlight w:val="none"/>
        </w:rPr>
        <w:t>m</w:t>
      </w:r>
      <w:r>
        <w:rPr>
          <w:rFonts w:hint="eastAsia"/>
          <w:color w:val="auto"/>
          <w:highlight w:val="none"/>
          <w:vertAlign w:val="superscript"/>
        </w:rPr>
        <w:t>2</w:t>
      </w:r>
      <w:r>
        <w:rPr>
          <w:color w:val="auto"/>
          <w:highlight w:val="none"/>
        </w:rPr>
        <w:t>，剥离厚度约</w:t>
      </w:r>
      <w:r>
        <w:rPr>
          <w:rFonts w:hint="eastAsia"/>
          <w:color w:val="auto"/>
          <w:highlight w:val="none"/>
          <w:lang w:val="en-US" w:eastAsia="zh-CN"/>
        </w:rPr>
        <w:t>20-30</w:t>
      </w:r>
      <w:r>
        <w:rPr>
          <w:color w:val="auto"/>
          <w:highlight w:val="none"/>
        </w:rPr>
        <w:t>cm，剥离量为0.</w:t>
      </w:r>
      <w:r>
        <w:rPr>
          <w:rFonts w:hint="eastAsia"/>
          <w:color w:val="auto"/>
          <w:highlight w:val="none"/>
          <w:lang w:val="en-US" w:eastAsia="zh-CN"/>
        </w:rPr>
        <w:t>10</w:t>
      </w:r>
      <w:r>
        <w:rPr>
          <w:color w:val="auto"/>
          <w:highlight w:val="none"/>
        </w:rPr>
        <w:t>万</w:t>
      </w:r>
      <w:r>
        <w:rPr>
          <w:rFonts w:hint="eastAsia"/>
          <w:color w:val="auto"/>
          <w:highlight w:val="none"/>
        </w:rPr>
        <w:t>m</w:t>
      </w:r>
      <w:r>
        <w:rPr>
          <w:rFonts w:hint="eastAsia"/>
          <w:color w:val="auto"/>
          <w:highlight w:val="none"/>
          <w:vertAlign w:val="superscript"/>
        </w:rPr>
        <w:t>3</w:t>
      </w:r>
      <w:r>
        <w:rPr>
          <w:color w:val="auto"/>
          <w:highlight w:val="none"/>
        </w:rPr>
        <w:t>。</w:t>
      </w:r>
    </w:p>
    <w:p w14:paraId="01733BA9">
      <w:pPr>
        <w:ind w:firstLine="480"/>
        <w:rPr>
          <w:color w:val="auto"/>
          <w:highlight w:val="none"/>
        </w:rPr>
      </w:pPr>
      <w:r>
        <w:rPr>
          <w:rFonts w:hint="eastAsia"/>
          <w:color w:val="auto"/>
          <w:highlight w:val="none"/>
        </w:rPr>
        <w:t>施工单位的表土剥离措施可以保护珍贵的表土资源，具有良好的水土保持功能，方案将其界定为水土保持措施，并界定投资。</w:t>
      </w:r>
    </w:p>
    <w:p w14:paraId="519E6511">
      <w:pPr>
        <w:widowControl/>
        <w:ind w:firstLine="482"/>
        <w:rPr>
          <w:rFonts w:hint="eastAsia" w:eastAsia="仿宋_GB2312"/>
          <w:b/>
          <w:bCs/>
          <w:snapToGrid w:val="0"/>
          <w:color w:val="000000" w:themeColor="text1"/>
          <w:lang w:eastAsia="zh-CN"/>
          <w14:textFill>
            <w14:solidFill>
              <w14:schemeClr w14:val="tx1"/>
            </w14:solidFill>
          </w14:textFill>
        </w:rPr>
      </w:pPr>
      <w:r>
        <w:rPr>
          <w:rFonts w:hint="eastAsia"/>
          <w:b/>
          <w:bCs/>
          <w:snapToGrid w:val="0"/>
          <w:color w:val="000000" w:themeColor="text1"/>
          <w:lang w:val="en-US" w:eastAsia="zh-CN"/>
          <w14:textFill>
            <w14:solidFill>
              <w14:schemeClr w14:val="tx1"/>
            </w14:solidFill>
          </w14:textFill>
        </w:rPr>
        <w:t>2</w:t>
      </w:r>
      <w:r>
        <w:rPr>
          <w:rFonts w:hint="eastAsia"/>
          <w:b/>
          <w:bCs/>
          <w:snapToGrid w:val="0"/>
          <w:color w:val="000000" w:themeColor="text1"/>
          <w14:textFill>
            <w14:solidFill>
              <w14:schemeClr w14:val="tx1"/>
            </w14:solidFill>
          </w14:textFill>
        </w:rPr>
        <w:t>、</w:t>
      </w:r>
      <w:r>
        <w:rPr>
          <w:rFonts w:hint="eastAsia"/>
          <w:b/>
          <w:bCs/>
          <w:snapToGrid w:val="0"/>
          <w:color w:val="000000" w:themeColor="text1"/>
          <w:lang w:eastAsia="zh-CN"/>
          <w14:textFill>
            <w14:solidFill>
              <w14:schemeClr w14:val="tx1"/>
            </w14:solidFill>
          </w14:textFill>
        </w:rPr>
        <w:t>绿化覆土</w:t>
      </w:r>
    </w:p>
    <w:p w14:paraId="6D57E9B9">
      <w:pPr>
        <w:ind w:firstLine="480"/>
        <w:rPr>
          <w:rFonts w:hint="eastAsia"/>
        </w:rPr>
      </w:pPr>
      <w:r>
        <w:rPr>
          <w:rFonts w:hint="eastAsia"/>
          <w:color w:val="auto"/>
          <w:highlight w:val="none"/>
          <w:lang w:eastAsia="zh-CN"/>
        </w:rPr>
        <w:t>主体工程完成后，对</w:t>
      </w:r>
      <w:r>
        <w:rPr>
          <w:rFonts w:hint="eastAsia"/>
          <w:color w:val="auto"/>
          <w:highlight w:val="none"/>
        </w:rPr>
        <w:t>景观绿化工程</w:t>
      </w:r>
      <w:r>
        <w:rPr>
          <w:color w:val="auto"/>
          <w:highlight w:val="none"/>
        </w:rPr>
        <w:t>区</w:t>
      </w:r>
      <w:r>
        <w:t>进行绿化覆土，绿化面积0.</w:t>
      </w:r>
      <w:r>
        <w:rPr>
          <w:rFonts w:hint="eastAsia"/>
          <w:lang w:val="en-US" w:eastAsia="zh-CN"/>
        </w:rPr>
        <w:t>12</w:t>
      </w:r>
      <w:r>
        <w:t>hm</w:t>
      </w:r>
      <w:r>
        <w:rPr>
          <w:vertAlign w:val="superscript"/>
        </w:rPr>
        <w:t>2</w:t>
      </w:r>
      <w:r>
        <w:t>，覆土厚度</w:t>
      </w:r>
      <w:r>
        <w:rPr>
          <w:rFonts w:hint="eastAsia"/>
          <w:lang w:val="en-US" w:eastAsia="zh-CN"/>
        </w:rPr>
        <w:t>5</w:t>
      </w:r>
      <w:r>
        <w:t>0cm</w:t>
      </w:r>
      <w:r>
        <w:rPr>
          <w:rFonts w:hint="eastAsia"/>
        </w:rPr>
        <w:t>，</w:t>
      </w:r>
      <w:r>
        <w:t>经计算，需要覆土0.</w:t>
      </w:r>
      <w:r>
        <w:rPr>
          <w:rFonts w:hint="eastAsia"/>
          <w:lang w:val="en-US" w:eastAsia="zh-CN"/>
        </w:rPr>
        <w:t>10</w:t>
      </w:r>
      <w:r>
        <w:t>万m</w:t>
      </w:r>
      <w:r>
        <w:rPr>
          <w:vertAlign w:val="superscript"/>
        </w:rPr>
        <w:t>3</w:t>
      </w:r>
      <w:r>
        <w:t>，覆土直接利用本项目剥离的表土。</w:t>
      </w:r>
    </w:p>
    <w:p w14:paraId="36F0CCEF">
      <w:pPr>
        <w:pStyle w:val="25"/>
        <w:spacing w:after="0"/>
        <w:ind w:left="0" w:leftChars="0" w:firstLine="480"/>
      </w:pPr>
      <w:r>
        <w:t>对绿化区域回覆表土可以增加植被成活率，符合水土保持的相关规范，属于水土保持措施，方案将其纳入方案的措施体系，并计列投资。</w:t>
      </w:r>
    </w:p>
    <w:p w14:paraId="49A467C7">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lang w:val="en-US" w:eastAsia="zh-CN"/>
          <w14:textFill>
            <w14:solidFill>
              <w14:schemeClr w14:val="tx1"/>
            </w14:solidFill>
          </w14:textFill>
        </w:rPr>
        <w:t>3</w:t>
      </w:r>
      <w:r>
        <w:rPr>
          <w:rFonts w:hint="eastAsia"/>
          <w:b/>
          <w:bCs/>
          <w:snapToGrid w:val="0"/>
          <w:color w:val="000000" w:themeColor="text1"/>
          <w14:textFill>
            <w14:solidFill>
              <w14:schemeClr w14:val="tx1"/>
            </w14:solidFill>
          </w14:textFill>
        </w:rPr>
        <w:t>、雨水管网系统</w:t>
      </w:r>
    </w:p>
    <w:p w14:paraId="432E15EF">
      <w:pPr>
        <w:ind w:firstLine="480"/>
        <w:rPr>
          <w:color w:val="000000" w:themeColor="text1"/>
          <w14:textFill>
            <w14:solidFill>
              <w14:schemeClr w14:val="tx1"/>
            </w14:solidFill>
          </w14:textFill>
        </w:rPr>
      </w:pPr>
      <w:bookmarkStart w:id="86" w:name="_Hlk101362442"/>
      <w:r>
        <w:rPr>
          <w:rFonts w:hint="eastAsia"/>
          <w:color w:val="000000" w:themeColor="text1"/>
          <w14:textFill>
            <w14:solidFill>
              <w14:schemeClr w14:val="tx1"/>
            </w14:solidFill>
          </w14:textFill>
        </w:rPr>
        <w:t>项目主体工程设计了雨水管网、</w:t>
      </w:r>
      <w:r>
        <w:rPr>
          <w:color w:val="000000" w:themeColor="text1"/>
          <w14:textFill>
            <w14:solidFill>
              <w14:schemeClr w14:val="tx1"/>
            </w14:solidFill>
          </w14:textFill>
        </w:rPr>
        <w:t>雨水口</w:t>
      </w:r>
      <w:r>
        <w:rPr>
          <w:rFonts w:hint="eastAsia"/>
          <w:color w:val="000000" w:themeColor="text1"/>
          <w14:textFill>
            <w14:solidFill>
              <w14:schemeClr w14:val="tx1"/>
            </w14:solidFill>
          </w14:textFill>
        </w:rPr>
        <w:t>等具有水土保持功能的工程，在道路硬化区、绿化区</w:t>
      </w:r>
      <w:r>
        <w:rPr>
          <w:color w:val="000000" w:themeColor="text1"/>
          <w14:textFill>
            <w14:solidFill>
              <w14:schemeClr w14:val="tx1"/>
            </w14:solidFill>
          </w14:textFill>
        </w:rPr>
        <w:t>等区域设置雨水篦子</w:t>
      </w:r>
      <w:r>
        <w:rPr>
          <w:rFonts w:hint="eastAsia"/>
          <w:color w:val="000000" w:themeColor="text1"/>
          <w14:textFill>
            <w14:solidFill>
              <w14:schemeClr w14:val="tx1"/>
            </w14:solidFill>
          </w14:textFill>
        </w:rPr>
        <w:t>收集场地及屋面雨水，然后通过支管排入场地四周雨水干管；排水干管每隔一段距离设置一个雨水检查井，检查井的间距满足相关排水规范的要求，雨水管布设于道路中心，雨水管网</w:t>
      </w:r>
      <w:r>
        <w:rPr>
          <w:color w:val="000000" w:themeColor="text1"/>
          <w14:textFill>
            <w14:solidFill>
              <w14:schemeClr w14:val="tx1"/>
            </w14:solidFill>
          </w14:textFill>
        </w:rPr>
        <w:t>管径为DN</w:t>
      </w:r>
      <w:r>
        <w:rPr>
          <w:rFonts w:hint="eastAsia"/>
          <w:color w:val="000000" w:themeColor="text1"/>
          <w14:textFill>
            <w14:solidFill>
              <w14:schemeClr w14:val="tx1"/>
            </w14:solidFill>
          </w14:textFill>
        </w:rPr>
        <w:t>150</w:t>
      </w:r>
      <w:r>
        <w:rPr>
          <w:color w:val="000000" w:themeColor="text1"/>
          <w14:textFill>
            <w14:solidFill>
              <w14:schemeClr w14:val="tx1"/>
            </w14:solidFill>
          </w14:textFill>
        </w:rPr>
        <w:t>~ DN</w:t>
      </w:r>
      <w:r>
        <w:rPr>
          <w:rFonts w:hint="eastAsia"/>
          <w:color w:val="000000" w:themeColor="text1"/>
          <w14:textFill>
            <w14:solidFill>
              <w14:schemeClr w14:val="tx1"/>
            </w14:solidFill>
          </w14:textFill>
        </w:rPr>
        <w:t>300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平均坡度为0.3%-0.6%。</w:t>
      </w:r>
    </w:p>
    <w:p w14:paraId="5A0C4717">
      <w:pPr>
        <w:ind w:firstLine="480"/>
        <w:rPr>
          <w:color w:val="000000" w:themeColor="text1"/>
          <w14:textFill>
            <w14:solidFill>
              <w14:schemeClr w14:val="tx1"/>
            </w14:solidFill>
          </w14:textFill>
        </w:rPr>
      </w:pPr>
      <w:r>
        <w:rPr>
          <w:color w:val="000000" w:themeColor="text1"/>
          <w14:textFill>
            <w14:solidFill>
              <w14:schemeClr w14:val="tx1"/>
            </w14:solidFill>
          </w14:textFill>
        </w:rPr>
        <w:t>DN</w:t>
      </w:r>
      <w:r>
        <w:rPr>
          <w:rFonts w:hint="eastAsia"/>
          <w:color w:val="000000" w:themeColor="text1"/>
          <w14:textFill>
            <w14:solidFill>
              <w14:schemeClr w14:val="tx1"/>
            </w14:solidFill>
          </w14:textFill>
        </w:rPr>
        <w:t>150雨水管</w:t>
      </w:r>
      <w:r>
        <w:rPr>
          <w:color w:val="000000" w:themeColor="text1"/>
          <w14:textFill>
            <w14:solidFill>
              <w14:schemeClr w14:val="tx1"/>
            </w14:solidFill>
          </w14:textFill>
        </w:rPr>
        <w:t>长</w:t>
      </w:r>
      <w:r>
        <w:rPr>
          <w:rFonts w:hint="eastAsia"/>
          <w:color w:val="000000" w:themeColor="text1"/>
          <w14:textFill>
            <w14:solidFill>
              <w14:schemeClr w14:val="tx1"/>
            </w14:solidFill>
          </w14:textFill>
        </w:rPr>
        <w:t>25.04</w:t>
      </w:r>
      <w:r>
        <w:rPr>
          <w:color w:val="000000" w:themeColor="text1"/>
          <w14:textFill>
            <w14:solidFill>
              <w14:schemeClr w14:val="tx1"/>
            </w14:solidFill>
          </w14:textFill>
        </w:rPr>
        <w:t>m，DN300</w:t>
      </w:r>
      <w:r>
        <w:rPr>
          <w:rFonts w:hint="eastAsia"/>
          <w:color w:val="000000" w:themeColor="text1"/>
          <w14:textFill>
            <w14:solidFill>
              <w14:schemeClr w14:val="tx1"/>
            </w14:solidFill>
          </w14:textFill>
        </w:rPr>
        <w:t>雨水管</w:t>
      </w:r>
      <w:r>
        <w:rPr>
          <w:color w:val="000000" w:themeColor="text1"/>
          <w14:textFill>
            <w14:solidFill>
              <w14:schemeClr w14:val="tx1"/>
            </w14:solidFill>
          </w14:textFill>
        </w:rPr>
        <w:t>长</w:t>
      </w:r>
      <w:r>
        <w:rPr>
          <w:rFonts w:hint="eastAsia"/>
          <w:color w:val="000000" w:themeColor="text1"/>
          <w14:textFill>
            <w14:solidFill>
              <w14:schemeClr w14:val="tx1"/>
            </w14:solidFill>
          </w14:textFill>
        </w:rPr>
        <w:t>494.51</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雨水口</w:t>
      </w:r>
      <w:r>
        <w:rPr>
          <w:rFonts w:hint="eastAsia"/>
          <w:color w:val="000000" w:themeColor="text1"/>
          <w14:textFill>
            <w14:solidFill>
              <w14:schemeClr w14:val="tx1"/>
            </w14:solidFill>
          </w14:textFill>
        </w:rPr>
        <w:t>17</w:t>
      </w:r>
      <w:r>
        <w:rPr>
          <w:color w:val="000000" w:themeColor="text1"/>
          <w14:textFill>
            <w14:solidFill>
              <w14:schemeClr w14:val="tx1"/>
            </w14:solidFill>
          </w14:textFill>
        </w:rPr>
        <w:t>个。</w:t>
      </w:r>
    </w:p>
    <w:bookmarkEnd w:id="86"/>
    <w:p w14:paraId="2410325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雨水口采用平篦式雨水口，雨水篦子采用铸铁雨水篦子，井筒采用0.20m厚现浇C20混凝土结构，深0.40~0.70m，宽0.60m，长0.6m，设置沉泥槽后通过雨水支管接入雨水管主管。</w:t>
      </w:r>
    </w:p>
    <w:p w14:paraId="1C673C06">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雨水管的主要目的是为收集排放场地雨水，减少场地内汇水形成径流，对项目场地和项目区周边形成冲刷造成水土流失，其设计尺寸满足排水要求，外排通畅，数量充足。从水土保持角度考虑，雨水管达到降低径流的形成，减少水土流失产生，达到了防治水土流失目的，具有较强的水土保持功能，应界定为水土保持工程，纳入水土保持投资。</w:t>
      </w:r>
    </w:p>
    <w:p w14:paraId="3F76698D">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雨水管网排水能力校核：</w:t>
      </w:r>
    </w:p>
    <w:p w14:paraId="3CBC28FB">
      <w:pPr>
        <w:pStyle w:val="41"/>
        <w:widowControl/>
        <w:numPr>
          <w:ilvl w:val="0"/>
          <w:numId w:val="4"/>
        </w:numPr>
        <w:ind w:firstLineChars="0"/>
        <w:rPr>
          <w:rFonts w:hint="eastAsia" w:ascii="仿宋_GB2312" w:eastAsia="仿宋_GB2312"/>
          <w:b/>
          <w:bCs/>
          <w:snapToGrid w:val="0"/>
          <w:color w:val="000000" w:themeColor="text1"/>
          <w14:textFill>
            <w14:solidFill>
              <w14:schemeClr w14:val="tx1"/>
            </w14:solidFill>
          </w14:textFill>
        </w:rPr>
      </w:pPr>
      <w:r>
        <w:rPr>
          <w:rFonts w:hint="eastAsia" w:ascii="仿宋_GB2312" w:eastAsia="仿宋_GB2312"/>
          <w:b/>
          <w:bCs/>
          <w:snapToGrid w:val="0"/>
          <w:color w:val="000000" w:themeColor="text1"/>
          <w14:textFill>
            <w14:solidFill>
              <w14:schemeClr w14:val="tx1"/>
            </w14:solidFill>
          </w14:textFill>
        </w:rPr>
        <w:t>雨水量计算</w:t>
      </w:r>
    </w:p>
    <w:p w14:paraId="197CE819">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雨水量计算公式：Q=q.F.ψ</w:t>
      </w:r>
    </w:p>
    <w:p w14:paraId="67E0C26C">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Q—规划雨水流量（L/S）；</w:t>
      </w:r>
    </w:p>
    <w:p w14:paraId="348FA40B">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q--暴雨强度（L/s.ha）；</w:t>
      </w:r>
    </w:p>
    <w:p w14:paraId="059508AD">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F—汇水面积（ha）；</w:t>
      </w:r>
    </w:p>
    <w:p w14:paraId="417A7DAF">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本工程雨水设计流量采用绵阳市暴雨强度公式：</w:t>
      </w:r>
    </w:p>
    <w:p w14:paraId="13347C31">
      <w:pPr>
        <w:widowControl/>
        <w:ind w:left="480" w:firstLine="0" w:firstLineChars="0"/>
        <w:rPr>
          <w:rFonts w:ascii="仿宋_GB2312"/>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836420" cy="373380"/>
            <wp:effectExtent l="0" t="0" r="0" b="7620"/>
            <wp:docPr id="8360314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31407" name="图片 1"/>
                    <pic:cNvPicPr>
                      <a:picLocks noChangeAspect="1"/>
                    </pic:cNvPicPr>
                  </pic:nvPicPr>
                  <pic:blipFill>
                    <a:blip r:embed="rId52"/>
                    <a:stretch>
                      <a:fillRect/>
                    </a:stretch>
                  </pic:blipFill>
                  <pic:spPr>
                    <a:xfrm>
                      <a:off x="0" y="0"/>
                      <a:ext cx="1836579" cy="373412"/>
                    </a:xfrm>
                    <a:prstGeom prst="rect">
                      <a:avLst/>
                    </a:prstGeom>
                  </pic:spPr>
                </pic:pic>
              </a:graphicData>
            </a:graphic>
          </wp:inline>
        </w:drawing>
      </w:r>
    </w:p>
    <w:p w14:paraId="5F8D2091">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式中：i为降雨强度（mm/min，毫m/分钟）；t为降雨历时（min，分钟）；P为重现期（年）；其中t＝t1＋t2；</w:t>
      </w:r>
    </w:p>
    <w:p w14:paraId="4427406E">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式中</w:t>
      </w:r>
      <w:r>
        <w:rPr>
          <w:rFonts w:ascii="仿宋_GB2312"/>
          <w:snapToGrid w:val="0"/>
          <w:color w:val="000000" w:themeColor="text1"/>
          <w14:textFill>
            <w14:solidFill>
              <w14:schemeClr w14:val="tx1"/>
            </w14:solidFill>
          </w14:textFill>
        </w:rPr>
        <w:t>i</w:t>
      </w:r>
      <w:r>
        <w:rPr>
          <w:rFonts w:hint="eastAsia" w:ascii="仿宋_GB2312"/>
          <w:snapToGrid w:val="0"/>
          <w:color w:val="000000" w:themeColor="text1"/>
          <w14:textFill>
            <w14:solidFill>
              <w14:schemeClr w14:val="tx1"/>
            </w14:solidFill>
          </w14:textFill>
        </w:rPr>
        <w:t>－暴雨强度（</w:t>
      </w:r>
      <w:r>
        <w:rPr>
          <w:rFonts w:ascii="仿宋_GB2312"/>
          <w:snapToGrid w:val="0"/>
          <w:color w:val="000000" w:themeColor="text1"/>
          <w14:textFill>
            <w14:solidFill>
              <w14:schemeClr w14:val="tx1"/>
            </w14:solidFill>
          </w14:textFill>
        </w:rPr>
        <w:t>L/s•hm</w:t>
      </w:r>
      <w:r>
        <w:rPr>
          <w:rFonts w:ascii="仿宋_GB2312"/>
          <w:snapToGrid w:val="0"/>
          <w:color w:val="000000" w:themeColor="text1"/>
          <w:vertAlign w:val="superscript"/>
          <w14:textFill>
            <w14:solidFill>
              <w14:schemeClr w14:val="tx1"/>
            </w14:solidFill>
          </w14:textFill>
        </w:rPr>
        <w:t>2</w:t>
      </w:r>
      <w:r>
        <w:rPr>
          <w:rFonts w:hint="eastAsia" w:ascii="仿宋_GB2312"/>
          <w:snapToGrid w:val="0"/>
          <w:color w:val="000000" w:themeColor="text1"/>
          <w14:textFill>
            <w14:solidFill>
              <w14:schemeClr w14:val="tx1"/>
            </w14:solidFill>
          </w14:textFill>
        </w:rPr>
        <w:t>）</w:t>
      </w:r>
    </w:p>
    <w:p w14:paraId="30DF8910">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P －设计重现期（年）；</w:t>
      </w:r>
    </w:p>
    <w:p w14:paraId="0A9A0122">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t －降雨历时（min）；</w:t>
      </w:r>
    </w:p>
    <w:p w14:paraId="512A326B">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t1－地面集水时间（min）；</w:t>
      </w:r>
    </w:p>
    <w:p w14:paraId="5ADD0E22">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t2－管内雨水流行时间（min）；</w:t>
      </w:r>
    </w:p>
    <w:p w14:paraId="6D741154">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雨水设计重现期：</w:t>
      </w:r>
    </w:p>
    <w:p w14:paraId="18C9C1B3">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屋面雨水 P=10年，t1=5min（径流时间）φ=0.90；</w:t>
      </w:r>
    </w:p>
    <w:p w14:paraId="0F189F03">
      <w:pPr>
        <w:widowControl/>
        <w:ind w:left="480" w:firstLine="0" w:firstLineChars="0"/>
        <w:rPr>
          <w:rFonts w:ascii="仿宋_GB2312"/>
          <w:snapToGrid w:val="0"/>
          <w:color w:val="000000" w:themeColor="text1"/>
          <w14:textFill>
            <w14:solidFill>
              <w14:schemeClr w14:val="tx1"/>
            </w14:solidFill>
          </w14:textFill>
        </w:rPr>
      </w:pPr>
      <w:r>
        <w:rPr>
          <w:rFonts w:hint="eastAsia" w:ascii="仿宋_GB2312"/>
          <w:snapToGrid w:val="0"/>
          <w:color w:val="000000" w:themeColor="text1"/>
          <w14:textFill>
            <w14:solidFill>
              <w14:schemeClr w14:val="tx1"/>
            </w14:solidFill>
          </w14:textFill>
        </w:rPr>
        <w:t>场地雨水P=2年，t1=10min（径流时间）φ=0.60；</w:t>
      </w:r>
    </w:p>
    <w:p w14:paraId="3E98E54C">
      <w:pPr>
        <w:pStyle w:val="41"/>
        <w:widowControl/>
        <w:numPr>
          <w:ilvl w:val="0"/>
          <w:numId w:val="4"/>
        </w:numPr>
        <w:ind w:firstLineChars="0"/>
        <w:rPr>
          <w:rFonts w:hint="eastAsia" w:ascii="仿宋_GB2312" w:eastAsia="仿宋_GB2312"/>
          <w:b/>
          <w:bCs/>
          <w:snapToGrid w:val="0"/>
          <w:color w:val="000000" w:themeColor="text1"/>
          <w14:textFill>
            <w14:solidFill>
              <w14:schemeClr w14:val="tx1"/>
            </w14:solidFill>
          </w14:textFill>
        </w:rPr>
      </w:pPr>
      <w:r>
        <w:rPr>
          <w:rFonts w:hint="eastAsia" w:ascii="仿宋_GB2312" w:eastAsia="仿宋_GB2312"/>
          <w:b/>
          <w:bCs/>
          <w:snapToGrid w:val="0"/>
          <w:color w:val="000000" w:themeColor="text1"/>
          <w14:textFill>
            <w14:solidFill>
              <w14:schemeClr w14:val="tx1"/>
            </w14:solidFill>
          </w14:textFill>
        </w:rPr>
        <w:t>雨水管网的流量</w:t>
      </w:r>
    </w:p>
    <w:p w14:paraId="0AA158B9">
      <w:pPr>
        <w:pStyle w:val="41"/>
        <w:widowControl/>
        <w:ind w:left="920" w:firstLine="0" w:firstLineChars="0"/>
        <w:rPr>
          <w:rFonts w:hint="eastAsia" w:ascii="仿宋_GB2312" w:eastAsia="仿宋_GB2312"/>
          <w:snapToGrid w:val="0"/>
          <w:color w:val="000000" w:themeColor="text1"/>
          <w14:textFill>
            <w14:solidFill>
              <w14:schemeClr w14:val="tx1"/>
            </w14:solidFill>
          </w14:textFill>
        </w:rPr>
      </w:pPr>
      <w:r>
        <w:rPr>
          <w:rFonts w:hint="eastAsia" w:ascii="仿宋_GB2312" w:eastAsia="仿宋_GB2312"/>
          <w:snapToGrid w:val="0"/>
          <w:color w:val="000000" w:themeColor="text1"/>
          <w14:textFill>
            <w14:solidFill>
              <w14:schemeClr w14:val="tx1"/>
            </w14:solidFill>
          </w14:textFill>
        </w:rPr>
        <w:t>Q—设计流量（m3/s）；</w:t>
      </w:r>
    </w:p>
    <w:p w14:paraId="6AD568F4">
      <w:pPr>
        <w:pStyle w:val="41"/>
        <w:widowControl/>
        <w:ind w:left="920" w:firstLine="0" w:firstLineChars="0"/>
        <w:rPr>
          <w:rFonts w:hint="eastAsia" w:ascii="仿宋_GB2312" w:eastAsia="仿宋_GB2312"/>
          <w:snapToGrid w:val="0"/>
          <w:color w:val="000000" w:themeColor="text1"/>
          <w14:textFill>
            <w14:solidFill>
              <w14:schemeClr w14:val="tx1"/>
            </w14:solidFill>
          </w14:textFill>
        </w:rPr>
      </w:pPr>
      <w:r>
        <w:rPr>
          <w:rFonts w:hint="eastAsia" w:ascii="仿宋_GB2312" w:eastAsia="仿宋_GB2312"/>
          <w:snapToGrid w:val="0"/>
          <w:color w:val="000000" w:themeColor="text1"/>
          <w14:textFill>
            <w14:solidFill>
              <w14:schemeClr w14:val="tx1"/>
            </w14:solidFill>
          </w14:textFill>
        </w:rPr>
        <w:t>A—水流有效断面面积（m</w:t>
      </w:r>
      <w:r>
        <w:rPr>
          <w:rFonts w:hint="eastAsia" w:ascii="仿宋_GB2312" w:eastAsia="仿宋_GB2312"/>
          <w:snapToGrid w:val="0"/>
          <w:color w:val="000000" w:themeColor="text1"/>
          <w:vertAlign w:val="superscript"/>
          <w14:textFill>
            <w14:solidFill>
              <w14:schemeClr w14:val="tx1"/>
            </w14:solidFill>
          </w14:textFill>
        </w:rPr>
        <w:t>2</w:t>
      </w:r>
      <w:r>
        <w:rPr>
          <w:rFonts w:hint="eastAsia" w:ascii="仿宋_GB2312" w:eastAsia="仿宋_GB2312"/>
          <w:snapToGrid w:val="0"/>
          <w:color w:val="000000" w:themeColor="text1"/>
          <w14:textFill>
            <w14:solidFill>
              <w14:schemeClr w14:val="tx1"/>
            </w14:solidFill>
          </w14:textFill>
        </w:rPr>
        <w:t>）；</w:t>
      </w:r>
    </w:p>
    <w:p w14:paraId="182837E1">
      <w:pPr>
        <w:pStyle w:val="41"/>
        <w:widowControl/>
        <w:ind w:left="920" w:firstLine="0" w:firstLineChars="0"/>
        <w:rPr>
          <w:rFonts w:hint="eastAsia" w:ascii="仿宋_GB2312" w:eastAsia="仿宋_GB2312"/>
          <w:snapToGrid w:val="0"/>
          <w:color w:val="000000" w:themeColor="text1"/>
          <w14:textFill>
            <w14:solidFill>
              <w14:schemeClr w14:val="tx1"/>
            </w14:solidFill>
          </w14:textFill>
        </w:rPr>
      </w:pPr>
      <w:r>
        <w:rPr>
          <w:rFonts w:hint="eastAsia" w:ascii="仿宋_GB2312" w:eastAsia="仿宋_GB2312"/>
          <w:snapToGrid w:val="0"/>
          <w:color w:val="000000" w:themeColor="text1"/>
          <w14:textFill>
            <w14:solidFill>
              <w14:schemeClr w14:val="tx1"/>
            </w14:solidFill>
          </w14:textFill>
        </w:rPr>
        <w:t>V—流速（m/s）；</w:t>
      </w:r>
    </w:p>
    <w:p w14:paraId="59F4611E">
      <w:pPr>
        <w:pStyle w:val="41"/>
        <w:widowControl/>
        <w:numPr>
          <w:ilvl w:val="0"/>
          <w:numId w:val="4"/>
        </w:numPr>
        <w:ind w:firstLineChars="0"/>
        <w:rPr>
          <w:rFonts w:hint="eastAsia" w:ascii="仿宋_GB2312" w:eastAsia="仿宋_GB2312"/>
          <w:b/>
          <w:bCs/>
          <w:snapToGrid w:val="0"/>
          <w:color w:val="000000" w:themeColor="text1"/>
          <w14:textFill>
            <w14:solidFill>
              <w14:schemeClr w14:val="tx1"/>
            </w14:solidFill>
          </w14:textFill>
        </w:rPr>
      </w:pPr>
      <w:r>
        <w:rPr>
          <w:rFonts w:hint="eastAsia" w:ascii="仿宋_GB2312" w:eastAsia="仿宋_GB2312"/>
          <w:b/>
          <w:bCs/>
          <w:snapToGrid w:val="0"/>
          <w:color w:val="000000" w:themeColor="text1"/>
          <w14:textFill>
            <w14:solidFill>
              <w14:schemeClr w14:val="tx1"/>
            </w14:solidFill>
          </w14:textFill>
        </w:rPr>
        <w:t>恒定流条件下排水管渠的流速，应按下式计算：</w:t>
      </w:r>
    </w:p>
    <w:p w14:paraId="0F3EA673">
      <w:pPr>
        <w:pStyle w:val="41"/>
        <w:widowControl/>
        <w:ind w:left="920" w:firstLine="0" w:firstLineChars="0"/>
        <w:rPr>
          <w:rFonts w:hint="eastAsia" w:ascii="仿宋_GB2312" w:eastAsia="仿宋_GB2312"/>
          <w:b/>
          <w:bCs/>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752600" cy="676275"/>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3"/>
                    <a:stretch>
                      <a:fillRect/>
                    </a:stretch>
                  </pic:blipFill>
                  <pic:spPr>
                    <a:xfrm>
                      <a:off x="0" y="0"/>
                      <a:ext cx="1752600" cy="676275"/>
                    </a:xfrm>
                    <a:prstGeom prst="rect">
                      <a:avLst/>
                    </a:prstGeom>
                  </pic:spPr>
                </pic:pic>
              </a:graphicData>
            </a:graphic>
          </wp:inline>
        </w:drawing>
      </w:r>
    </w:p>
    <w:p w14:paraId="7184487D">
      <w:pPr>
        <w:pStyle w:val="41"/>
        <w:widowControl/>
        <w:ind w:left="920" w:firstLine="0" w:firstLineChars="0"/>
        <w:rPr>
          <w:rFonts w:hint="eastAsia" w:ascii="仿宋_GB2312" w:eastAsia="仿宋_GB2312"/>
          <w:snapToGrid w:val="0"/>
          <w:color w:val="000000" w:themeColor="text1"/>
          <w14:textFill>
            <w14:solidFill>
              <w14:schemeClr w14:val="tx1"/>
            </w14:solidFill>
          </w14:textFill>
        </w:rPr>
      </w:pPr>
      <w:r>
        <w:rPr>
          <w:rFonts w:hint="eastAsia" w:ascii="仿宋_GB2312" w:eastAsia="仿宋_GB2312"/>
          <w:b/>
          <w:bCs/>
          <w:snapToGrid w:val="0"/>
          <w:color w:val="000000" w:themeColor="text1"/>
          <w14:textFill>
            <w14:solidFill>
              <w14:schemeClr w14:val="tx1"/>
            </w14:solidFill>
          </w14:textFill>
        </w:rPr>
        <w:t>式中：</w:t>
      </w:r>
      <w:r>
        <w:rPr>
          <w:rFonts w:hint="eastAsia" w:ascii="仿宋_GB2312" w:eastAsia="仿宋_GB2312"/>
          <w:snapToGrid w:val="0"/>
          <w:color w:val="000000" w:themeColor="text1"/>
          <w14:textFill>
            <w14:solidFill>
              <w14:schemeClr w14:val="tx1"/>
            </w14:solidFill>
          </w14:textFill>
        </w:rPr>
        <w:t>V—流速（m/s）；R—水力半径（m）；I—水力坡降；n—粗糙系数；</w:t>
      </w:r>
    </w:p>
    <w:p w14:paraId="7ADDE4E2">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本工程雨水管采用H</w:t>
      </w:r>
      <w:r>
        <w:rPr>
          <w:snapToGrid w:val="0"/>
          <w:color w:val="000000" w:themeColor="text1"/>
          <w14:textFill>
            <w14:solidFill>
              <w14:schemeClr w14:val="tx1"/>
            </w14:solidFill>
          </w14:textFill>
        </w:rPr>
        <w:t>DPE</w:t>
      </w:r>
      <w:r>
        <w:rPr>
          <w:rFonts w:hint="eastAsia"/>
          <w:snapToGrid w:val="0"/>
          <w:color w:val="000000" w:themeColor="text1"/>
          <w14:textFill>
            <w14:solidFill>
              <w14:schemeClr w14:val="tx1"/>
            </w14:solidFill>
          </w14:textFill>
        </w:rPr>
        <w:t>管（满流，n=0.014）的计算公式进行计算，经计算，雨水排水管采用纵坡为3‰—5‰，查询给排水设计手册，满足项目雨水排水量的情况下，查表计算得流速1.08m/s—2</w:t>
      </w:r>
      <w:r>
        <w:rPr>
          <w:snapToGrid w:val="0"/>
          <w:color w:val="000000" w:themeColor="text1"/>
          <w14:textFill>
            <w14:solidFill>
              <w14:schemeClr w14:val="tx1"/>
            </w14:solidFill>
          </w14:textFill>
        </w:rPr>
        <w:t>.0</w:t>
      </w:r>
      <w:r>
        <w:rPr>
          <w:rFonts w:hint="eastAsia"/>
          <w:snapToGrid w:val="0"/>
          <w:color w:val="000000" w:themeColor="text1"/>
          <w14:textFill>
            <w14:solidFill>
              <w14:schemeClr w14:val="tx1"/>
            </w14:solidFill>
          </w14:textFill>
        </w:rPr>
        <w:t xml:space="preserve"> m/s之间，满足规范要求。</w:t>
      </w:r>
    </w:p>
    <w:p w14:paraId="2DA2AD83">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主体工程设计中的雨水管网满足场地内屋面雨水以及地面雨水排水的需要，管网建成后可以有效减少水土流失产生，达到防治水土流失目的。</w:t>
      </w:r>
    </w:p>
    <w:p w14:paraId="54E7345C">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lang w:val="en-US" w:eastAsia="zh-CN"/>
          <w14:textFill>
            <w14:solidFill>
              <w14:schemeClr w14:val="tx1"/>
            </w14:solidFill>
          </w14:textFill>
        </w:rPr>
        <w:t>4</w:t>
      </w:r>
      <w:r>
        <w:rPr>
          <w:rFonts w:hint="eastAsia"/>
          <w:b/>
          <w:bCs/>
          <w:snapToGrid w:val="0"/>
          <w:color w:val="000000" w:themeColor="text1"/>
          <w14:textFill>
            <w14:solidFill>
              <w14:schemeClr w14:val="tx1"/>
            </w14:solidFill>
          </w14:textFill>
        </w:rPr>
        <w:t>、雨水蓄水池</w:t>
      </w:r>
    </w:p>
    <w:p w14:paraId="44D088FC">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室外雨水经雨水口、雨水沟、雨水检查井、雨水管道收集后排入设置于室外的雨水蓄水池，蓄水池内设置一体化雨水处理装置，初步处理后用于室外道路浇洒及绿化灌溉。在场地东南侧绿化带下设置雨水蓄水池，蓄水池容量3</w:t>
      </w:r>
      <w:r>
        <w:rPr>
          <w:snapToGrid w:val="0"/>
          <w:color w:val="000000" w:themeColor="text1"/>
          <w14:textFill>
            <w14:solidFill>
              <w14:schemeClr w14:val="tx1"/>
            </w14:solidFill>
          </w14:textFill>
        </w:rPr>
        <w:t>00m</w:t>
      </w:r>
      <w:r>
        <w:rPr>
          <w:snapToGrid w:val="0"/>
          <w:color w:val="000000" w:themeColor="text1"/>
          <w:vertAlign w:val="superscript"/>
          <w14:textFill>
            <w14:solidFill>
              <w14:schemeClr w14:val="tx1"/>
            </w14:solidFill>
          </w14:textFill>
        </w:rPr>
        <w:t>3</w:t>
      </w:r>
      <w:r>
        <w:rPr>
          <w:rFonts w:hint="eastAsia"/>
          <w:snapToGrid w:val="0"/>
          <w:color w:val="000000" w:themeColor="text1"/>
          <w:sz w:val="22"/>
          <w:szCs w:val="22"/>
          <w14:textFill>
            <w14:solidFill>
              <w14:schemeClr w14:val="tx1"/>
            </w14:solidFill>
          </w14:textFill>
        </w:rPr>
        <w:t>，</w:t>
      </w:r>
      <w:r>
        <w:rPr>
          <w:rFonts w:hint="eastAsia"/>
          <w:snapToGrid w:val="0"/>
          <w:color w:val="000000" w:themeColor="text1"/>
          <w14:textFill>
            <w14:solidFill>
              <w14:schemeClr w14:val="tx1"/>
            </w14:solidFill>
          </w14:textFill>
        </w:rPr>
        <w:t>尺寸1</w:t>
      </w:r>
      <w:r>
        <w:rPr>
          <w:snapToGrid w:val="0"/>
          <w:color w:val="000000" w:themeColor="text1"/>
          <w14:textFill>
            <w14:solidFill>
              <w14:schemeClr w14:val="tx1"/>
            </w14:solidFill>
          </w14:textFill>
        </w:rPr>
        <w:t>2m</w:t>
      </w:r>
      <w:r>
        <w:rPr>
          <w:rFonts w:hint="eastAsia"/>
          <w:snapToGrid w:val="0"/>
          <w:color w:val="000000" w:themeColor="text1"/>
          <w14:textFill>
            <w14:solidFill>
              <w14:schemeClr w14:val="tx1"/>
            </w14:solidFill>
          </w14:textFill>
        </w:rPr>
        <w:t>×7</w:t>
      </w:r>
      <w:r>
        <w:rPr>
          <w:snapToGrid w:val="0"/>
          <w:color w:val="000000" w:themeColor="text1"/>
          <w14:textFill>
            <w14:solidFill>
              <w14:schemeClr w14:val="tx1"/>
            </w14:solidFill>
          </w14:textFill>
        </w:rPr>
        <w:t>m</w:t>
      </w:r>
      <w:r>
        <w:rPr>
          <w:rFonts w:hint="eastAsia"/>
          <w:snapToGrid w:val="0"/>
          <w:color w:val="000000" w:themeColor="text1"/>
          <w14:textFill>
            <w14:solidFill>
              <w14:schemeClr w14:val="tx1"/>
            </w14:solidFill>
          </w14:textFill>
        </w:rPr>
        <w:t>×4m，蓄水池采用钢筋混凝土+室外地埋式塑料模块。</w:t>
      </w:r>
    </w:p>
    <w:p w14:paraId="0F24040A">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lang w:val="en-US" w:eastAsia="zh-CN"/>
          <w14:textFill>
            <w14:solidFill>
              <w14:schemeClr w14:val="tx1"/>
            </w14:solidFill>
          </w14:textFill>
        </w:rPr>
        <w:t>5</w:t>
      </w:r>
      <w:r>
        <w:rPr>
          <w:rFonts w:hint="eastAsia"/>
          <w:b/>
          <w:bCs/>
          <w:snapToGrid w:val="0"/>
          <w:color w:val="000000" w:themeColor="text1"/>
          <w14:textFill>
            <w14:solidFill>
              <w14:schemeClr w14:val="tx1"/>
            </w14:solidFill>
          </w14:textFill>
        </w:rPr>
        <w:t>、洗车设施</w:t>
      </w:r>
    </w:p>
    <w:p w14:paraId="73BBBAF6">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本项目在北侧地块出入口处共设置洗车设施1套，将进出施工场地汽车轮胎上的泥土洗净，避免对城市道路带来污染，应纳入水土流失防治措施体系。</w:t>
      </w:r>
    </w:p>
    <w:p w14:paraId="04006C94">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车辆清洗池平面长</w:t>
      </w:r>
      <w:r>
        <w:rPr>
          <w:snapToGrid w:val="0"/>
          <w:color w:val="000000" w:themeColor="text1"/>
          <w14:textFill>
            <w14:solidFill>
              <w14:schemeClr w14:val="tx1"/>
            </w14:solidFill>
          </w14:textFill>
        </w:rPr>
        <w:t>1</w:t>
      </w:r>
      <w:r>
        <w:rPr>
          <w:rFonts w:hint="eastAsia"/>
          <w:snapToGrid w:val="0"/>
          <w:color w:val="000000" w:themeColor="text1"/>
          <w14:textFill>
            <w14:solidFill>
              <w14:schemeClr w14:val="tx1"/>
            </w14:solidFill>
          </w14:textFill>
        </w:rPr>
        <w:t>8m，宽</w:t>
      </w:r>
      <w:r>
        <w:rPr>
          <w:snapToGrid w:val="0"/>
          <w:color w:val="000000" w:themeColor="text1"/>
          <w14:textFill>
            <w14:solidFill>
              <w14:schemeClr w14:val="tx1"/>
            </w14:solidFill>
          </w14:textFill>
        </w:rPr>
        <w:t>6</w:t>
      </w:r>
      <w:r>
        <w:rPr>
          <w:rFonts w:hint="eastAsia"/>
          <w:snapToGrid w:val="0"/>
          <w:color w:val="000000" w:themeColor="text1"/>
          <w14:textFill>
            <w14:solidFill>
              <w14:schemeClr w14:val="tx1"/>
            </w14:solidFill>
          </w14:textFill>
        </w:rPr>
        <w:t>m。纵剖面呈梯形结构，下宽4m，上宽</w:t>
      </w:r>
      <w:r>
        <w:rPr>
          <w:snapToGrid w:val="0"/>
          <w:color w:val="000000" w:themeColor="text1"/>
          <w14:textFill>
            <w14:solidFill>
              <w14:schemeClr w14:val="tx1"/>
            </w14:solidFill>
          </w14:textFill>
        </w:rPr>
        <w:t>6</w:t>
      </w:r>
      <w:r>
        <w:rPr>
          <w:rFonts w:hint="eastAsia"/>
          <w:snapToGrid w:val="0"/>
          <w:color w:val="000000" w:themeColor="text1"/>
          <w14:textFill>
            <w14:solidFill>
              <w14:schemeClr w14:val="tx1"/>
            </w14:solidFill>
          </w14:textFill>
        </w:rPr>
        <w:t>m，深0.5m，C20砼浇筑，厚30cm。周围建设临时排水沟及沉沙池，洗车废水通过排水沟汇入沉沙池。</w:t>
      </w:r>
    </w:p>
    <w:p w14:paraId="1F520AF6">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洗车设施能有效的控制水土流失发生的范围，防止将项目区内土方带至项目区外，具有显著的水土保持功能。</w:t>
      </w:r>
    </w:p>
    <w:p w14:paraId="297B44C1">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洗车设施能有效的控制水土流失发生的范围，防止将项目区内土方带至项目区外，具有显著的水土保持功能。</w:t>
      </w:r>
    </w:p>
    <w:p w14:paraId="79095B3B">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lang w:val="en-US" w:eastAsia="zh-CN"/>
          <w14:textFill>
            <w14:solidFill>
              <w14:schemeClr w14:val="tx1"/>
            </w14:solidFill>
          </w14:textFill>
        </w:rPr>
        <w:t>6</w:t>
      </w:r>
      <w:r>
        <w:rPr>
          <w:rFonts w:hint="eastAsia"/>
          <w:b/>
          <w:bCs/>
          <w:snapToGrid w:val="0"/>
          <w:color w:val="000000" w:themeColor="text1"/>
          <w14:textFill>
            <w14:solidFill>
              <w14:schemeClr w14:val="tx1"/>
            </w14:solidFill>
          </w14:textFill>
        </w:rPr>
        <w:t>、植草沟</w:t>
      </w:r>
    </w:p>
    <w:p w14:paraId="76FDCC55">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为避免路面积水，在各栋建筑靠近场内道路边绿化带设置植草沟，有利于雨水的快速下渗和导流，共建设植草沟173.04</w:t>
      </w:r>
      <w:r>
        <w:rPr>
          <w:snapToGrid w:val="0"/>
          <w:color w:val="000000" w:themeColor="text1"/>
          <w14:textFill>
            <w14:solidFill>
              <w14:schemeClr w14:val="tx1"/>
            </w14:solidFill>
          </w14:textFill>
        </w:rPr>
        <w:t>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w:t>
      </w:r>
    </w:p>
    <w:p w14:paraId="0194DA49">
      <w:pPr>
        <w:adjustRightInd/>
        <w:ind w:firstLine="474"/>
        <w:rPr>
          <w:b/>
          <w:bCs/>
          <w:color w:val="000000" w:themeColor="text1"/>
          <w:spacing w:val="-4"/>
          <w:lang w:bidi="zh-CN"/>
          <w14:textFill>
            <w14:solidFill>
              <w14:schemeClr w14:val="tx1"/>
            </w14:solidFill>
          </w14:textFill>
        </w:rPr>
      </w:pPr>
      <w:r>
        <w:rPr>
          <w:rFonts w:hint="eastAsia"/>
          <w:b/>
          <w:bCs/>
          <w:color w:val="000000" w:themeColor="text1"/>
          <w:spacing w:val="-4"/>
          <w:lang w:val="en-US" w:bidi="zh-CN"/>
          <w14:textFill>
            <w14:solidFill>
              <w14:schemeClr w14:val="tx1"/>
            </w14:solidFill>
          </w14:textFill>
        </w:rPr>
        <w:t>7</w:t>
      </w:r>
      <w:r>
        <w:rPr>
          <w:rFonts w:hint="eastAsia"/>
          <w:b/>
          <w:bCs/>
          <w:color w:val="000000" w:themeColor="text1"/>
          <w:spacing w:val="-4"/>
          <w:lang w:bidi="zh-CN"/>
          <w14:textFill>
            <w14:solidFill>
              <w14:schemeClr w14:val="tx1"/>
            </w14:solidFill>
          </w14:textFill>
        </w:rPr>
        <w:t>、景观绿化</w:t>
      </w:r>
    </w:p>
    <w:p w14:paraId="4686CA4E">
      <w:pPr>
        <w:pStyle w:val="66"/>
        <w:ind w:firstLine="480"/>
        <w:rPr>
          <w:color w:val="000000" w:themeColor="text1"/>
          <w14:textFill>
            <w14:solidFill>
              <w14:schemeClr w14:val="tx1"/>
            </w14:solidFill>
          </w14:textFill>
        </w:rPr>
      </w:pPr>
      <w:r>
        <w:rPr>
          <w:color w:val="000000" w:themeColor="text1"/>
          <w14:textFill>
            <w14:solidFill>
              <w14:schemeClr w14:val="tx1"/>
            </w14:solidFill>
          </w14:textFill>
        </w:rPr>
        <w:t>为改善项目建设区环境，建设</w:t>
      </w:r>
      <w:r>
        <w:rPr>
          <w:rFonts w:hint="eastAsia"/>
          <w:color w:val="000000" w:themeColor="text1"/>
          <w14:textFill>
            <w14:solidFill>
              <w14:schemeClr w14:val="tx1"/>
            </w14:solidFill>
          </w14:textFill>
        </w:rPr>
        <w:t>景观</w:t>
      </w:r>
      <w:r>
        <w:rPr>
          <w:color w:val="000000" w:themeColor="text1"/>
          <w14:textFill>
            <w14:solidFill>
              <w14:schemeClr w14:val="tx1"/>
            </w14:solidFill>
          </w14:textFill>
        </w:rPr>
        <w:t>绿化面积</w:t>
      </w:r>
      <w:r>
        <w:rPr>
          <w:rFonts w:hint="eastAsia"/>
          <w:color w:val="000000" w:themeColor="text1"/>
          <w14:textFill>
            <w14:solidFill>
              <w14:schemeClr w14:val="tx1"/>
            </w14:solidFill>
          </w14:textFill>
        </w:rPr>
        <w:t>0.12</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，该项措施由主体工程负责实施，并纳入项目景观绿化专项设计。</w:t>
      </w:r>
      <w:r>
        <w:rPr>
          <w:rFonts w:hint="eastAsia"/>
          <w:color w:val="000000" w:themeColor="text1"/>
          <w14:textFill>
            <w14:solidFill>
              <w14:schemeClr w14:val="tx1"/>
            </w14:solidFill>
          </w14:textFill>
        </w:rPr>
        <w:t>乔灌绿化</w:t>
      </w:r>
      <w:r>
        <w:rPr>
          <w:color w:val="000000" w:themeColor="text1"/>
          <w14:textFill>
            <w14:solidFill>
              <w14:schemeClr w14:val="tx1"/>
            </w14:solidFill>
          </w14:textFill>
        </w:rPr>
        <w:t>措施实施后，</w:t>
      </w:r>
      <w:r>
        <w:rPr>
          <w:rFonts w:hint="eastAsia"/>
          <w:color w:val="000000" w:themeColor="text1"/>
          <w14:textFill>
            <w14:solidFill>
              <w14:schemeClr w14:val="tx1"/>
            </w14:solidFill>
          </w14:textFill>
        </w:rPr>
        <w:t>可以有效地保水固土，既美化了环境又起到了保水固土作用，具有良好的水土保持功能。</w:t>
      </w:r>
    </w:p>
    <w:p w14:paraId="3C0BFD7C">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植物措施实施后，应定期对植被进行维护，病虫害治疗等，保证植被成活</w:t>
      </w:r>
      <w:r>
        <w:rPr>
          <w:rFonts w:hint="eastAsia"/>
          <w:color w:val="000000" w:themeColor="text1"/>
          <w14:textFill>
            <w14:solidFill>
              <w14:schemeClr w14:val="tx1"/>
            </w14:solidFill>
          </w14:textFill>
        </w:rPr>
        <w:t>，本项目属于建设类</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，项目运营后植物抚育管理由建设单位自行负责管理，因此本方案</w:t>
      </w:r>
      <w:r>
        <w:rPr>
          <w:color w:val="000000" w:themeColor="text1"/>
          <w14:textFill>
            <w14:solidFill>
              <w14:schemeClr w14:val="tx1"/>
            </w14:solidFill>
          </w14:textFill>
        </w:rPr>
        <w:t>植物</w:t>
      </w:r>
      <w:r>
        <w:rPr>
          <w:rFonts w:hint="eastAsia"/>
          <w:color w:val="000000" w:themeColor="text1"/>
          <w14:textFill>
            <w14:solidFill>
              <w14:schemeClr w14:val="tx1"/>
            </w14:solidFill>
          </w14:textFill>
        </w:rPr>
        <w:t>抚育</w:t>
      </w:r>
      <w:r>
        <w:rPr>
          <w:color w:val="000000" w:themeColor="text1"/>
          <w14:textFill>
            <w14:solidFill>
              <w14:schemeClr w14:val="tx1"/>
            </w14:solidFill>
          </w14:textFill>
        </w:rPr>
        <w:t>措施</w:t>
      </w:r>
      <w:r>
        <w:rPr>
          <w:rFonts w:hint="eastAsia"/>
          <w:color w:val="000000" w:themeColor="text1"/>
          <w14:textFill>
            <w14:solidFill>
              <w14:schemeClr w14:val="tx1"/>
            </w14:solidFill>
          </w14:textFill>
        </w:rPr>
        <w:t>，按两年计列</w:t>
      </w:r>
      <w:r>
        <w:rPr>
          <w:color w:val="000000" w:themeColor="text1"/>
          <w14:textFill>
            <w14:solidFill>
              <w14:schemeClr w14:val="tx1"/>
            </w14:solidFill>
          </w14:textFill>
        </w:rPr>
        <w:t>。</w:t>
      </w:r>
    </w:p>
    <w:p w14:paraId="3308599C">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绿化措施减少了雨水直接冲刷地表，固定了土壤，具有很好的水土保持功能。</w:t>
      </w:r>
      <w:r>
        <w:rPr>
          <w:snapToGrid w:val="0"/>
          <w:color w:val="000000" w:themeColor="text1"/>
          <w14:textFill>
            <w14:solidFill>
              <w14:schemeClr w14:val="tx1"/>
            </w14:solidFill>
          </w14:textFill>
        </w:rPr>
        <w:t>通畅良好的排水系统，可减少地表水对</w:t>
      </w:r>
      <w:r>
        <w:rPr>
          <w:rFonts w:hint="eastAsia"/>
          <w:snapToGrid w:val="0"/>
          <w:color w:val="000000" w:themeColor="text1"/>
          <w14:textFill>
            <w14:solidFill>
              <w14:schemeClr w14:val="tx1"/>
            </w14:solidFill>
          </w14:textFill>
        </w:rPr>
        <w:t>建筑</w:t>
      </w:r>
      <w:r>
        <w:rPr>
          <w:snapToGrid w:val="0"/>
          <w:color w:val="000000" w:themeColor="text1"/>
          <w14:textFill>
            <w14:solidFill>
              <w14:schemeClr w14:val="tx1"/>
            </w14:solidFill>
          </w14:textFill>
        </w:rPr>
        <w:t>及地表的冲刷影响，具有很好的水土保持功能</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且项目主体设计</w:t>
      </w:r>
      <w:r>
        <w:rPr>
          <w:rFonts w:hint="eastAsia"/>
          <w:snapToGrid w:val="0"/>
          <w:color w:val="000000" w:themeColor="text1"/>
          <w14:textFill>
            <w14:solidFill>
              <w14:schemeClr w14:val="tx1"/>
            </w14:solidFill>
          </w14:textFill>
        </w:rPr>
        <w:t>满足</w:t>
      </w:r>
      <w:r>
        <w:rPr>
          <w:snapToGrid w:val="0"/>
          <w:color w:val="000000" w:themeColor="text1"/>
          <w14:textFill>
            <w14:solidFill>
              <w14:schemeClr w14:val="tx1"/>
            </w14:solidFill>
          </w14:textFill>
        </w:rPr>
        <w:t>水土保持</w:t>
      </w:r>
      <w:r>
        <w:rPr>
          <w:rFonts w:hint="eastAsia"/>
          <w:snapToGrid w:val="0"/>
          <w:color w:val="000000" w:themeColor="text1"/>
          <w14:textFill>
            <w14:solidFill>
              <w14:schemeClr w14:val="tx1"/>
            </w14:solidFill>
          </w14:textFill>
        </w:rPr>
        <w:t>工程</w:t>
      </w:r>
      <w:r>
        <w:rPr>
          <w:snapToGrid w:val="0"/>
          <w:color w:val="000000" w:themeColor="text1"/>
          <w14:textFill>
            <w14:solidFill>
              <w14:schemeClr w14:val="tx1"/>
            </w14:solidFill>
          </w14:textFill>
        </w:rPr>
        <w:t>需要。</w:t>
      </w:r>
    </w:p>
    <w:p w14:paraId="62628E29">
      <w:pPr>
        <w:adjustRightInd/>
        <w:ind w:firstLine="474"/>
        <w:rPr>
          <w:b/>
          <w:bCs/>
          <w:color w:val="000000" w:themeColor="text1"/>
          <w:spacing w:val="-4"/>
          <w:lang w:bidi="zh-CN"/>
          <w14:textFill>
            <w14:solidFill>
              <w14:schemeClr w14:val="tx1"/>
            </w14:solidFill>
          </w14:textFill>
        </w:rPr>
      </w:pPr>
      <w:bookmarkStart w:id="87" w:name="_Hlk144305011"/>
      <w:r>
        <w:rPr>
          <w:rFonts w:hint="eastAsia"/>
          <w:b/>
          <w:bCs/>
          <w:color w:val="000000" w:themeColor="text1"/>
          <w:spacing w:val="-4"/>
          <w:lang w:val="en-US" w:bidi="zh-CN"/>
          <w14:textFill>
            <w14:solidFill>
              <w14:schemeClr w14:val="tx1"/>
            </w14:solidFill>
          </w14:textFill>
        </w:rPr>
        <w:t>8</w:t>
      </w:r>
      <w:r>
        <w:rPr>
          <w:rFonts w:hint="eastAsia"/>
          <w:b/>
          <w:bCs/>
          <w:color w:val="000000" w:themeColor="text1"/>
          <w:spacing w:val="-4"/>
          <w:lang w:bidi="zh-CN"/>
          <w14:textFill>
            <w14:solidFill>
              <w14:schemeClr w14:val="tx1"/>
            </w14:solidFill>
          </w14:textFill>
        </w:rPr>
        <w:t>、密目网苫盖</w:t>
      </w:r>
    </w:p>
    <w:p w14:paraId="79F4A896">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施工期对开挖裸露面采用了密目网进行临时苫盖，合计临时苫盖3334m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，临时苫盖措施可有效减少雨水对开挖裸露面的冲刷，减少因施工造成的水土流失。</w:t>
      </w:r>
    </w:p>
    <w:bookmarkEnd w:id="87"/>
    <w:p w14:paraId="39F47FB3">
      <w:pPr>
        <w:adjustRightInd/>
        <w:ind w:firstLine="474"/>
        <w:rPr>
          <w:b/>
          <w:bCs/>
          <w:color w:val="000000" w:themeColor="text1"/>
          <w:spacing w:val="-4"/>
          <w:lang w:bidi="zh-CN"/>
          <w14:textFill>
            <w14:solidFill>
              <w14:schemeClr w14:val="tx1"/>
            </w14:solidFill>
          </w14:textFill>
        </w:rPr>
      </w:pPr>
      <w:r>
        <w:rPr>
          <w:rFonts w:hint="eastAsia"/>
          <w:b/>
          <w:bCs/>
          <w:color w:val="000000" w:themeColor="text1"/>
          <w:spacing w:val="-4"/>
          <w:lang w:val="en-US" w:bidi="zh-CN"/>
          <w14:textFill>
            <w14:solidFill>
              <w14:schemeClr w14:val="tx1"/>
            </w14:solidFill>
          </w14:textFill>
        </w:rPr>
        <w:t>9</w:t>
      </w:r>
      <w:r>
        <w:rPr>
          <w:rFonts w:hint="eastAsia"/>
          <w:b/>
          <w:bCs/>
          <w:color w:val="000000" w:themeColor="text1"/>
          <w:spacing w:val="-4"/>
          <w:lang w:bidi="zh-CN"/>
          <w14:textFill>
            <w14:solidFill>
              <w14:schemeClr w14:val="tx1"/>
            </w14:solidFill>
          </w14:textFill>
        </w:rPr>
        <w:t>、临时截、排水沟、沉沙池</w:t>
      </w:r>
    </w:p>
    <w:p w14:paraId="73D3BD95">
      <w:pPr>
        <w:adjustRightInd/>
        <w:ind w:firstLine="472"/>
        <w:rPr>
          <w:snapToGrid w:val="0"/>
          <w:color w:val="000000" w:themeColor="text1"/>
          <w14:textFill>
            <w14:solidFill>
              <w14:schemeClr w14:val="tx1"/>
            </w14:solidFill>
          </w14:textFill>
        </w:rPr>
      </w:pPr>
      <w:r>
        <w:rPr>
          <w:rFonts w:hint="eastAsia"/>
          <w:color w:val="000000" w:themeColor="text1"/>
          <w:spacing w:val="-4"/>
          <w:lang w:bidi="zh-CN"/>
          <w14:textFill>
            <w14:solidFill>
              <w14:schemeClr w14:val="tx1"/>
            </w14:solidFill>
          </w14:textFill>
        </w:rPr>
        <w:t>主体设计在基坑四周设置截水沟和沉沙池，坑顶设置截水沟276.3m，临时沉沙池合计14个。沿建筑四周设置临时排水沟和沉沙池，</w:t>
      </w:r>
      <w:r>
        <w:rPr>
          <w:rFonts w:hint="eastAsia"/>
          <w:snapToGrid w:val="0"/>
          <w:color w:val="000000" w:themeColor="text1"/>
          <w14:textFill>
            <w14:solidFill>
              <w14:schemeClr w14:val="tx1"/>
            </w14:solidFill>
          </w14:textFill>
        </w:rPr>
        <w:t>沿地上建筑底部四周地面设置排水沟收集施工场地雨水，临时排水沟共计358m，沉沙池4个。</w:t>
      </w:r>
    </w:p>
    <w:p w14:paraId="1D1CE8E1">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根据主体工程设计资料，已布置的场地临时排水沟和临时沉沙池数量充足，尺寸可满足场地的排水需要，通过沿场地四周红线内侧布置临时排水沟，可以避免施工期间场地四周来水汇入场地，对场地内开挖后的裸露地表产生冲刷，防治大面积汇水进入基坑，影响施工安全，同时通过设置沉沙池可以有效避免泥沙随雨水进入市政雨水管网，具有较好的水土保持效益，纳入水土保持措施体系。</w:t>
      </w:r>
    </w:p>
    <w:p w14:paraId="791EBB01">
      <w:pPr>
        <w:widowControl/>
        <w:ind w:firstLine="480"/>
        <w:rPr>
          <w:rFonts w:hint="eastAsia"/>
          <w:snapToGrid w:val="0"/>
          <w:color w:val="000000" w:themeColor="text1"/>
          <w14:textFill>
            <w14:solidFill>
              <w14:schemeClr w14:val="tx1"/>
            </w14:solidFill>
          </w14:textFill>
        </w:rPr>
      </w:pPr>
      <w:bookmarkStart w:id="88" w:name="_Hlk144304777"/>
      <w:r>
        <w:rPr>
          <w:rFonts w:hint="eastAsia"/>
          <w:color w:val="000000" w:themeColor="text1"/>
          <w14:textFill>
            <w14:solidFill>
              <w14:schemeClr w14:val="tx1"/>
            </w14:solidFill>
          </w14:textFill>
        </w:rPr>
        <w:t>主体设计中部分设施具有水土保持功能，可兼作水土保持措施，但由于考虑问题的角度和设计深度等原因，在主体工程设计中，一些措施仍然不能够满足水土保持的要求，本方案补充和完善了密目网苫盖、土地整治、抚育管理等水土保持措施，新增上述措施后</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可以有效地保水固土，既美化了环境又起到了保水固</w:t>
      </w:r>
      <w:r>
        <w:rPr>
          <w:rFonts w:hint="eastAsia"/>
          <w:snapToGrid w:val="0"/>
          <w:color w:val="000000" w:themeColor="text1"/>
          <w14:textFill>
            <w14:solidFill>
              <w14:schemeClr w14:val="tx1"/>
            </w14:solidFill>
          </w14:textFill>
        </w:rPr>
        <w:t>土作用，具有良好的水土保持功能。</w:t>
      </w:r>
    </w:p>
    <w:p w14:paraId="2AF90934">
      <w:pPr>
        <w:widowControl/>
        <w:ind w:firstLine="480"/>
        <w:jc w:val="center"/>
        <w:rPr>
          <w:snapToGrid w:val="0"/>
          <w:color w:val="000000" w:themeColor="text1"/>
          <w14:textFill>
            <w14:solidFill>
              <w14:schemeClr w14:val="tx1"/>
            </w14:solidFill>
          </w14:textFill>
        </w:rPr>
      </w:pPr>
      <w:r>
        <w:rPr>
          <w:color w:val="000000" w:themeColor="text1"/>
          <w14:textFill>
            <w14:solidFill>
              <w14:schemeClr w14:val="tx1"/>
            </w14:solidFill>
          </w14:textFill>
        </w:rPr>
        <w:t xml:space="preserve">表3.3-1    </w:t>
      </w:r>
      <w:r>
        <w:rPr>
          <w:rFonts w:hint="eastAsia"/>
          <w:snapToGrid w:val="0"/>
          <w:color w:val="000000" w:themeColor="text1"/>
          <w14:textFill>
            <w14:solidFill>
              <w14:schemeClr w14:val="tx1"/>
            </w14:solidFill>
          </w14:textFill>
        </w:rPr>
        <w:t>主体设计中具有水土保持功能工程评价汇总表</w:t>
      </w:r>
    </w:p>
    <w:tbl>
      <w:tblPr>
        <w:tblStyle w:val="27"/>
        <w:tblW w:w="87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3223"/>
        <w:gridCol w:w="2126"/>
        <w:gridCol w:w="1276"/>
      </w:tblGrid>
      <w:tr w14:paraId="40EA1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Merge w:val="restart"/>
            <w:vAlign w:val="center"/>
          </w:tcPr>
          <w:p w14:paraId="2EE2E2D6">
            <w:pPr>
              <w:widowControl/>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项目组成</w:t>
            </w:r>
          </w:p>
        </w:tc>
        <w:tc>
          <w:tcPr>
            <w:tcW w:w="5349" w:type="dxa"/>
            <w:gridSpan w:val="2"/>
            <w:vAlign w:val="center"/>
          </w:tcPr>
          <w:p w14:paraId="51250881">
            <w:pPr>
              <w:widowControl/>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主体设计具有水土保持功能措施</w:t>
            </w:r>
          </w:p>
        </w:tc>
        <w:tc>
          <w:tcPr>
            <w:tcW w:w="1276" w:type="dxa"/>
            <w:vMerge w:val="restart"/>
            <w:vAlign w:val="center"/>
          </w:tcPr>
          <w:p w14:paraId="14C411C3">
            <w:pPr>
              <w:widowControl/>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方案新增的措施</w:t>
            </w:r>
          </w:p>
        </w:tc>
      </w:tr>
      <w:tr w14:paraId="6222C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Merge w:val="continue"/>
            <w:vAlign w:val="center"/>
          </w:tcPr>
          <w:p w14:paraId="6EB1F76A">
            <w:pPr>
              <w:widowControl/>
              <w:ind w:firstLine="0" w:firstLineChars="0"/>
              <w:jc w:val="center"/>
              <w:rPr>
                <w:b/>
                <w:bCs/>
                <w:color w:val="000000" w:themeColor="text1"/>
                <w:sz w:val="21"/>
                <w:szCs w:val="21"/>
                <w14:textFill>
                  <w14:solidFill>
                    <w14:schemeClr w14:val="tx1"/>
                  </w14:solidFill>
                </w14:textFill>
              </w:rPr>
            </w:pPr>
          </w:p>
        </w:tc>
        <w:tc>
          <w:tcPr>
            <w:tcW w:w="3223" w:type="dxa"/>
            <w:vAlign w:val="center"/>
          </w:tcPr>
          <w:p w14:paraId="3C6D9FBC">
            <w:pPr>
              <w:widowControl/>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主体设计内容</w:t>
            </w:r>
          </w:p>
        </w:tc>
        <w:tc>
          <w:tcPr>
            <w:tcW w:w="2126" w:type="dxa"/>
            <w:vAlign w:val="center"/>
          </w:tcPr>
          <w:p w14:paraId="5495BD72">
            <w:pPr>
              <w:widowControl/>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问题及不足</w:t>
            </w:r>
          </w:p>
        </w:tc>
        <w:tc>
          <w:tcPr>
            <w:tcW w:w="1276" w:type="dxa"/>
            <w:vMerge w:val="continue"/>
            <w:vAlign w:val="center"/>
          </w:tcPr>
          <w:p w14:paraId="0F91A991">
            <w:pPr>
              <w:widowControl/>
              <w:ind w:firstLine="0" w:firstLineChars="0"/>
              <w:jc w:val="center"/>
              <w:rPr>
                <w:b/>
                <w:bCs/>
                <w:color w:val="000000" w:themeColor="text1"/>
                <w:sz w:val="21"/>
                <w:szCs w:val="21"/>
                <w14:textFill>
                  <w14:solidFill>
                    <w14:schemeClr w14:val="tx1"/>
                  </w14:solidFill>
                </w14:textFill>
              </w:rPr>
            </w:pPr>
          </w:p>
        </w:tc>
      </w:tr>
      <w:tr w14:paraId="60848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6B95A1A6">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地下工程区</w:t>
            </w:r>
          </w:p>
        </w:tc>
        <w:tc>
          <w:tcPr>
            <w:tcW w:w="3223" w:type="dxa"/>
            <w:vAlign w:val="center"/>
          </w:tcPr>
          <w:p w14:paraId="66675BB5">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坑顶截水沟、临时沉沙池</w:t>
            </w:r>
          </w:p>
        </w:tc>
        <w:tc>
          <w:tcPr>
            <w:tcW w:w="2126" w:type="dxa"/>
            <w:vAlign w:val="center"/>
          </w:tcPr>
          <w:p w14:paraId="26361914">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276" w:type="dxa"/>
            <w:vAlign w:val="center"/>
          </w:tcPr>
          <w:p w14:paraId="046CE471">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14:paraId="4E7E6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56CF132D">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建构筑物工程区</w:t>
            </w:r>
          </w:p>
        </w:tc>
        <w:tc>
          <w:tcPr>
            <w:tcW w:w="3223" w:type="dxa"/>
          </w:tcPr>
          <w:p w14:paraId="611F8FF8">
            <w:pPr>
              <w:widowControl/>
              <w:ind w:firstLine="0" w:firstLineChars="0"/>
              <w:jc w:val="center"/>
              <w:rPr>
                <w:rFonts w:hint="eastAsia" w:eastAsia="仿宋_GB2312"/>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临时排水沟、临时沉沙池、密目网苫盖</w:t>
            </w:r>
            <w:r>
              <w:rPr>
                <w:rFonts w:hint="eastAsia"/>
                <w:color w:val="000000" w:themeColor="text1"/>
                <w:sz w:val="21"/>
                <w:szCs w:val="21"/>
                <w:lang w:eastAsia="zh-CN"/>
                <w14:textFill>
                  <w14:solidFill>
                    <w14:schemeClr w14:val="tx1"/>
                  </w14:solidFill>
                </w14:textFill>
              </w:rPr>
              <w:t>、表土剥离</w:t>
            </w:r>
          </w:p>
        </w:tc>
        <w:tc>
          <w:tcPr>
            <w:tcW w:w="2126" w:type="dxa"/>
            <w:vAlign w:val="center"/>
          </w:tcPr>
          <w:p w14:paraId="12E30925">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276" w:type="dxa"/>
            <w:vAlign w:val="center"/>
          </w:tcPr>
          <w:p w14:paraId="2AE28112">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14:paraId="6F235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61F3E78A">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场内道路、地面停车场及硬化工程区</w:t>
            </w:r>
          </w:p>
        </w:tc>
        <w:tc>
          <w:tcPr>
            <w:tcW w:w="3223" w:type="dxa"/>
          </w:tcPr>
          <w:p w14:paraId="65067F7C">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雨水管网、雨水口、雨水蓄水池、洗车设施</w:t>
            </w:r>
            <w:r>
              <w:rPr>
                <w:rFonts w:hint="eastAsia"/>
                <w:color w:val="000000" w:themeColor="text1"/>
                <w:sz w:val="21"/>
                <w:szCs w:val="21"/>
                <w:lang w:eastAsia="zh-CN"/>
                <w14:textFill>
                  <w14:solidFill>
                    <w14:schemeClr w14:val="tx1"/>
                  </w14:solidFill>
                </w14:textFill>
              </w:rPr>
              <w:t>、表土剥离</w:t>
            </w:r>
          </w:p>
        </w:tc>
        <w:tc>
          <w:tcPr>
            <w:tcW w:w="2126" w:type="dxa"/>
            <w:vAlign w:val="center"/>
          </w:tcPr>
          <w:p w14:paraId="45559688">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施工期间临时苫盖不足，存在裸露地表</w:t>
            </w:r>
          </w:p>
        </w:tc>
        <w:tc>
          <w:tcPr>
            <w:tcW w:w="1276" w:type="dxa"/>
            <w:vAlign w:val="center"/>
          </w:tcPr>
          <w:p w14:paraId="7F7CBB1D">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密目网苫盖</w:t>
            </w:r>
          </w:p>
        </w:tc>
      </w:tr>
      <w:tr w14:paraId="2664C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14:paraId="3966D9AE">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景观绿化工程区</w:t>
            </w:r>
          </w:p>
        </w:tc>
        <w:tc>
          <w:tcPr>
            <w:tcW w:w="3223" w:type="dxa"/>
            <w:vAlign w:val="center"/>
          </w:tcPr>
          <w:p w14:paraId="39B9C6D9">
            <w:pPr>
              <w:widowControl/>
              <w:ind w:firstLine="0" w:firstLineChars="0"/>
              <w:jc w:val="center"/>
              <w:rPr>
                <w:rFonts w:hint="eastAsia" w:eastAsia="仿宋_GB2312"/>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景观绿化、植草沟</w:t>
            </w:r>
            <w:r>
              <w:rPr>
                <w:rFonts w:hint="eastAsia"/>
                <w:color w:val="000000" w:themeColor="text1"/>
                <w:sz w:val="21"/>
                <w:szCs w:val="21"/>
                <w:lang w:eastAsia="zh-CN"/>
                <w14:textFill>
                  <w14:solidFill>
                    <w14:schemeClr w14:val="tx1"/>
                  </w14:solidFill>
                </w14:textFill>
              </w:rPr>
              <w:t>、绿化覆土</w:t>
            </w:r>
          </w:p>
        </w:tc>
        <w:tc>
          <w:tcPr>
            <w:tcW w:w="2126" w:type="dxa"/>
            <w:vAlign w:val="center"/>
          </w:tcPr>
          <w:p w14:paraId="270E361F">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土方回填完成后，缺少平整、整地措施，运营期缺少管理措施</w:t>
            </w:r>
          </w:p>
        </w:tc>
        <w:tc>
          <w:tcPr>
            <w:tcW w:w="1276" w:type="dxa"/>
            <w:vAlign w:val="center"/>
          </w:tcPr>
          <w:p w14:paraId="673EFB15">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土地整治</w:t>
            </w:r>
          </w:p>
          <w:p w14:paraId="76333AD4">
            <w:pPr>
              <w:widowControl/>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抚育管理</w:t>
            </w:r>
          </w:p>
        </w:tc>
      </w:tr>
      <w:bookmarkEnd w:id="88"/>
    </w:tbl>
    <w:p w14:paraId="043CE122">
      <w:pPr>
        <w:pStyle w:val="3"/>
        <w:tabs>
          <w:tab w:val="left" w:pos="576"/>
        </w:tabs>
        <w:rPr>
          <w:color w:val="000000" w:themeColor="text1"/>
          <w14:textFill>
            <w14:solidFill>
              <w14:schemeClr w14:val="tx1"/>
            </w14:solidFill>
          </w14:textFill>
        </w:rPr>
      </w:pPr>
      <w:bookmarkStart w:id="89" w:name="_Toc89595004"/>
      <w:bookmarkStart w:id="90" w:name="_Toc340"/>
      <w:r>
        <w:rPr>
          <w:color w:val="000000" w:themeColor="text1"/>
          <w14:textFill>
            <w14:solidFill>
              <w14:schemeClr w14:val="tx1"/>
            </w14:solidFill>
          </w14:textFill>
        </w:rPr>
        <w:t>3.</w:t>
      </w:r>
      <w:r>
        <w:rPr>
          <w:rFonts w:hint="eastAsia"/>
          <w:color w:val="000000" w:themeColor="text1"/>
          <w14:textFill>
            <w14:solidFill>
              <w14:schemeClr w14:val="tx1"/>
            </w14:solidFill>
          </w14:textFill>
        </w:rPr>
        <w:t>3</w:t>
      </w:r>
      <w:bookmarkEnd w:id="84"/>
      <w:bookmarkEnd w:id="85"/>
      <w:r>
        <w:rPr>
          <w:rFonts w:hint="eastAsia"/>
          <w:color w:val="000000" w:themeColor="text1"/>
          <w14:textFill>
            <w14:solidFill>
              <w14:schemeClr w14:val="tx1"/>
            </w14:solidFill>
          </w14:textFill>
        </w:rPr>
        <w:t>主体工程设计中水土保持措施界定</w:t>
      </w:r>
      <w:bookmarkEnd w:id="89"/>
      <w:bookmarkEnd w:id="90"/>
    </w:p>
    <w:p w14:paraId="2E95754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3.3.1 </w:t>
      </w:r>
      <w:r>
        <w:rPr>
          <w:color w:val="000000" w:themeColor="text1"/>
          <w14:textFill>
            <w14:solidFill>
              <w14:schemeClr w14:val="tx1"/>
            </w14:solidFill>
          </w14:textFill>
        </w:rPr>
        <w:t>水土保持措施的界定原则</w:t>
      </w:r>
    </w:p>
    <w:p w14:paraId="36C0C071">
      <w:pPr>
        <w:widowControl/>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生产</w:t>
      </w:r>
      <w:r>
        <w:rPr>
          <w:snapToGrid w:val="0"/>
          <w:color w:val="000000" w:themeColor="text1"/>
          <w14:textFill>
            <w14:solidFill>
              <w14:schemeClr w14:val="tx1"/>
            </w14:solidFill>
          </w14:textFill>
        </w:rPr>
        <w:t>建设项目水土保持技术</w:t>
      </w:r>
      <w:r>
        <w:rPr>
          <w:rFonts w:hint="eastAsia"/>
          <w:snapToGrid w:val="0"/>
          <w:color w:val="000000" w:themeColor="text1"/>
          <w14:textFill>
            <w14:solidFill>
              <w14:schemeClr w14:val="tx1"/>
            </w14:solidFill>
          </w14:textFill>
        </w:rPr>
        <w:t>标准</w:t>
      </w:r>
      <w:r>
        <w:rPr>
          <w:snapToGrid w:val="0"/>
          <w:color w:val="000000" w:themeColor="text1"/>
          <w14:textFill>
            <w14:solidFill>
              <w14:schemeClr w14:val="tx1"/>
            </w14:solidFill>
          </w14:textFill>
        </w:rPr>
        <w:t>》规定以下原则：</w:t>
      </w:r>
    </w:p>
    <w:p w14:paraId="1BA389DE">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①</w:t>
      </w:r>
      <w:r>
        <w:rPr>
          <w:snapToGrid w:val="0"/>
          <w:color w:val="000000" w:themeColor="text1"/>
          <w14:textFill>
            <w14:solidFill>
              <w14:schemeClr w14:val="tx1"/>
            </w14:solidFill>
          </w14:textFill>
        </w:rPr>
        <w:t>主导功能原则</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以防治水土流失为目的的工程为水土保持工程；以主体设计功能为主，同时具有水土保持功能的工程，不作为水土保持工程</w:t>
      </w:r>
      <w:r>
        <w:rPr>
          <w:rFonts w:hint="eastAsia"/>
          <w:snapToGrid w:val="0"/>
          <w:color w:val="000000" w:themeColor="text1"/>
          <w14:textFill>
            <w14:solidFill>
              <w14:schemeClr w14:val="tx1"/>
            </w14:solidFill>
          </w14:textFill>
        </w:rPr>
        <w:t>。</w:t>
      </w:r>
    </w:p>
    <w:p w14:paraId="6BECC2D1">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②</w:t>
      </w:r>
      <w:r>
        <w:rPr>
          <w:snapToGrid w:val="0"/>
          <w:color w:val="000000" w:themeColor="text1"/>
          <w14:textFill>
            <w14:solidFill>
              <w14:schemeClr w14:val="tx1"/>
            </w14:solidFill>
          </w14:textFill>
        </w:rPr>
        <w:t>责任区分原则</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对建设项目临时征地、占地范围内的各项防护工程均作为水土保持工程</w:t>
      </w:r>
      <w:r>
        <w:rPr>
          <w:rFonts w:hint="eastAsia"/>
          <w:snapToGrid w:val="0"/>
          <w:color w:val="000000" w:themeColor="text1"/>
          <w14:textFill>
            <w14:solidFill>
              <w14:schemeClr w14:val="tx1"/>
            </w14:solidFill>
          </w14:textFill>
        </w:rPr>
        <w:t>。</w:t>
      </w:r>
    </w:p>
    <w:p w14:paraId="74FABC77">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③</w:t>
      </w:r>
      <w:r>
        <w:rPr>
          <w:snapToGrid w:val="0"/>
          <w:color w:val="000000" w:themeColor="text1"/>
          <w14:textFill>
            <w14:solidFill>
              <w14:schemeClr w14:val="tx1"/>
            </w14:solidFill>
          </w14:textFill>
        </w:rPr>
        <w:t>试验排除原则</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难以区分以主体设计功能为主或以水土保持功能为主的工程，可按破坏性试验的原则进行排除。假定没有这些工程，主体设计功能仍旧可以发挥作用，但会产生较大的水土流失，此类工程应作为水土保持工程。</w:t>
      </w:r>
    </w:p>
    <w:p w14:paraId="521D1AD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3.3.2 主体工程设计中纳入本水土保持方案的界定意见</w:t>
      </w:r>
    </w:p>
    <w:p w14:paraId="419B7C74">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一、主体工程设计中不纳入本水土保持方案的措施</w:t>
      </w:r>
    </w:p>
    <w:p w14:paraId="0502398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1、道路硬化工程</w:t>
      </w:r>
    </w:p>
    <w:p w14:paraId="416572D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本项目对除道路以外的地面进行了硬化处理，这些措施在防治区域水土流失有一定作用，但路面硬化是本项目不可或缺的部分，兼顾水土保持功能，不纳入主体工程水土保持功能的措施。</w:t>
      </w:r>
    </w:p>
    <w:p w14:paraId="6BF28B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2、污水管网</w:t>
      </w:r>
    </w:p>
    <w:p w14:paraId="52CD445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本项目在道路下方修建污水管网，污水经污水检查井，经场地内污水管网排入市政道路污水管网进入市政污水处理厂处理，但污水管网主要为收集项目区产生的污水，不界定为水土保持工程。</w:t>
      </w:r>
    </w:p>
    <w:p w14:paraId="27C4B17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3、临时隔离围墙、护栏</w:t>
      </w:r>
    </w:p>
    <w:p w14:paraId="3FD95B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围墙在雨季能够防止项目区内的含沙径流四处扩散，对周边环境产生的不利影响，具有一定的水土保持功能。但其设置主要是为了防盗、保障施工顺利进行，不纳入主体工程水土保持功能的措施。</w:t>
      </w:r>
    </w:p>
    <w:p w14:paraId="10908BD7">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二、主体工程设计中纳入本水土保持方案的措施</w:t>
      </w:r>
    </w:p>
    <w:p w14:paraId="14517C0B">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1、地下工程区</w:t>
      </w:r>
    </w:p>
    <w:p w14:paraId="151069AC">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 坑顶截水沟、临时沉沙池（已实施）</w:t>
      </w:r>
    </w:p>
    <w:p w14:paraId="31B29D63">
      <w:pPr>
        <w:widowControl/>
        <w:ind w:firstLine="480"/>
        <w:rPr>
          <w:snapToGrid w:val="0"/>
          <w:color w:val="000000" w:themeColor="text1"/>
          <w14:textFill>
            <w14:solidFill>
              <w14:schemeClr w14:val="tx1"/>
            </w14:solidFill>
          </w14:textFill>
        </w:rPr>
      </w:pPr>
      <w:r>
        <w:rPr>
          <w:rFonts w:hint="eastAsia"/>
          <w:bCs/>
          <w:snapToGrid w:val="0"/>
          <w:color w:val="000000" w:themeColor="text1"/>
          <w14:textFill>
            <w14:solidFill>
              <w14:schemeClr w14:val="tx1"/>
            </w14:solidFill>
          </w14:textFill>
        </w:rPr>
        <w:t>在坑顶设置截水沟及临时沉沙池，在基坑开挖线外1m处开挖建设，截水沟采用砌砖，矩形断面，断面尺寸为净宽0.40m×净深0.40m，沉沙池底长1.50m，底宽1.00m，深1.05m，坑顶设置</w:t>
      </w:r>
      <w:r>
        <w:rPr>
          <w:bCs/>
          <w:snapToGrid w:val="0"/>
          <w:color w:val="000000" w:themeColor="text1"/>
          <w14:textFill>
            <w14:solidFill>
              <w14:schemeClr w14:val="tx1"/>
            </w14:solidFill>
          </w14:textFill>
        </w:rPr>
        <w:t>截水沟</w:t>
      </w:r>
      <w:r>
        <w:rPr>
          <w:rFonts w:hint="eastAsia"/>
          <w:bCs/>
          <w:snapToGrid w:val="0"/>
          <w:color w:val="000000" w:themeColor="text1"/>
          <w14:textFill>
            <w14:solidFill>
              <w14:schemeClr w14:val="tx1"/>
            </w14:solidFill>
          </w14:textFill>
        </w:rPr>
        <w:t>276.3m，</w:t>
      </w:r>
      <w:r>
        <w:rPr>
          <w:bCs/>
          <w:snapToGrid w:val="0"/>
          <w:color w:val="000000" w:themeColor="text1"/>
          <w14:textFill>
            <w14:solidFill>
              <w14:schemeClr w14:val="tx1"/>
            </w14:solidFill>
          </w14:textFill>
        </w:rPr>
        <w:t>临时</w:t>
      </w:r>
      <w:r>
        <w:rPr>
          <w:rFonts w:hint="eastAsia"/>
          <w:bCs/>
          <w:snapToGrid w:val="0"/>
          <w:color w:val="000000" w:themeColor="text1"/>
          <w14:textFill>
            <w14:solidFill>
              <w14:schemeClr w14:val="tx1"/>
            </w14:solidFill>
          </w14:textFill>
        </w:rPr>
        <w:t>沉沙池合计2个。</w:t>
      </w:r>
    </w:p>
    <w:p w14:paraId="2C4CB7C2">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2、建构筑物工程区</w:t>
      </w:r>
    </w:p>
    <w:p w14:paraId="0A1423DE">
      <w:pPr>
        <w:widowControl/>
        <w:ind w:firstLine="480"/>
        <w:rPr>
          <w:rFonts w:hint="eastAsia"/>
          <w:snapToGrid w:val="0"/>
          <w:color w:val="000000" w:themeColor="text1"/>
          <w14:textFill>
            <w14:solidFill>
              <w14:schemeClr w14:val="tx1"/>
            </w14:solidFill>
          </w14:textFill>
        </w:rPr>
      </w:pPr>
      <w:r>
        <w:rPr>
          <w:rFonts w:hint="eastAsia"/>
          <w:snapToGrid w:val="0"/>
          <w:color w:val="000000" w:themeColor="text1"/>
          <w:lang w:eastAsia="zh-CN"/>
          <w14:textFill>
            <w14:solidFill>
              <w14:schemeClr w14:val="tx1"/>
            </w14:solidFill>
          </w14:textFill>
        </w:rPr>
        <w:t>（</w:t>
      </w:r>
      <w:r>
        <w:rPr>
          <w:rFonts w:hint="eastAsia"/>
          <w:snapToGrid w:val="0"/>
          <w:color w:val="000000" w:themeColor="text1"/>
          <w:lang w:val="en-US" w:eastAsia="zh-CN"/>
          <w14:textFill>
            <w14:solidFill>
              <w14:schemeClr w14:val="tx1"/>
            </w14:solidFill>
          </w14:textFill>
        </w:rPr>
        <w:t>1</w:t>
      </w:r>
      <w:r>
        <w:rPr>
          <w:rFonts w:hint="eastAsia"/>
          <w:snapToGrid w:val="0"/>
          <w:color w:val="000000" w:themeColor="text1"/>
          <w:lang w:eastAsia="zh-CN"/>
          <w14:textFill>
            <w14:solidFill>
              <w14:schemeClr w14:val="tx1"/>
            </w14:solidFill>
          </w14:textFill>
        </w:rPr>
        <w:t>）表土剥离</w:t>
      </w:r>
      <w:r>
        <w:rPr>
          <w:rFonts w:hint="eastAsia"/>
          <w:snapToGrid w:val="0"/>
          <w:color w:val="000000" w:themeColor="text1"/>
          <w14:textFill>
            <w14:solidFill>
              <w14:schemeClr w14:val="tx1"/>
            </w14:solidFill>
          </w14:textFill>
        </w:rPr>
        <w:t>（已实施）</w:t>
      </w:r>
    </w:p>
    <w:p w14:paraId="579BD1DA">
      <w:pPr>
        <w:widowControl/>
        <w:ind w:firstLine="480"/>
        <w:rPr>
          <w:rFonts w:hint="default"/>
          <w:bCs/>
          <w:snapToGrid w:val="0"/>
          <w:color w:val="000000" w:themeColor="text1"/>
          <w:lang w:val="en-US" w:eastAsia="zh-CN"/>
          <w14:textFill>
            <w14:solidFill>
              <w14:schemeClr w14:val="tx1"/>
            </w14:solidFill>
          </w14:textFill>
        </w:rPr>
      </w:pPr>
      <w:r>
        <w:rPr>
          <w:rFonts w:hint="default"/>
          <w:bCs/>
          <w:snapToGrid w:val="0"/>
          <w:color w:val="000000" w:themeColor="text1"/>
          <w:lang w:val="en-US" w:eastAsia="zh-CN"/>
          <w14:textFill>
            <w14:solidFill>
              <w14:schemeClr w14:val="tx1"/>
            </w14:solidFill>
          </w14:textFill>
        </w:rPr>
        <w:t>土石方施工前期，施工单位进行表土剥离，可剥离面积为</w:t>
      </w:r>
      <w:r>
        <w:rPr>
          <w:rFonts w:hint="eastAsia"/>
          <w:bCs/>
          <w:snapToGrid w:val="0"/>
          <w:color w:val="000000" w:themeColor="text1"/>
          <w:lang w:val="en-US" w:eastAsia="zh-CN"/>
          <w14:textFill>
            <w14:solidFill>
              <w14:schemeClr w14:val="tx1"/>
            </w14:solidFill>
          </w14:textFill>
        </w:rPr>
        <w:t>0.20</w:t>
      </w:r>
      <w:r>
        <w:rPr>
          <w:rFonts w:hint="default"/>
          <w:bCs/>
          <w:snapToGrid w:val="0"/>
          <w:color w:val="000000" w:themeColor="text1"/>
          <w:lang w:val="en-US" w:eastAsia="zh-CN"/>
          <w14:textFill>
            <w14:solidFill>
              <w14:schemeClr w14:val="tx1"/>
            </w14:solidFill>
          </w14:textFill>
        </w:rPr>
        <w:t>hm</w:t>
      </w:r>
      <w:r>
        <w:rPr>
          <w:rFonts w:hint="default"/>
          <w:bCs/>
          <w:snapToGrid w:val="0"/>
          <w:color w:val="000000" w:themeColor="text1"/>
          <w:vertAlign w:val="superscript"/>
          <w:lang w:val="en-US" w:eastAsia="zh-CN"/>
          <w14:textFill>
            <w14:solidFill>
              <w14:schemeClr w14:val="tx1"/>
            </w14:solidFill>
          </w14:textFill>
        </w:rPr>
        <w:t>2</w:t>
      </w:r>
      <w:r>
        <w:rPr>
          <w:rFonts w:hint="default"/>
          <w:bCs/>
          <w:snapToGrid w:val="0"/>
          <w:color w:val="000000" w:themeColor="text1"/>
          <w:lang w:val="en-US" w:eastAsia="zh-CN"/>
          <w14:textFill>
            <w14:solidFill>
              <w14:schemeClr w14:val="tx1"/>
            </w14:solidFill>
          </w14:textFill>
        </w:rPr>
        <w:t>，剥离量为</w:t>
      </w:r>
      <w:r>
        <w:rPr>
          <w:rFonts w:hint="eastAsia"/>
          <w:bCs/>
          <w:snapToGrid w:val="0"/>
          <w:color w:val="000000" w:themeColor="text1"/>
          <w:lang w:val="en-US" w:eastAsia="zh-CN"/>
          <w14:textFill>
            <w14:solidFill>
              <w14:schemeClr w14:val="tx1"/>
            </w14:solidFill>
          </w14:textFill>
        </w:rPr>
        <w:t>0.05</w:t>
      </w:r>
      <w:r>
        <w:rPr>
          <w:rFonts w:hint="default"/>
          <w:bCs/>
          <w:snapToGrid w:val="0"/>
          <w:color w:val="000000" w:themeColor="text1"/>
          <w:lang w:val="en-US" w:eastAsia="zh-CN"/>
          <w14:textFill>
            <w14:solidFill>
              <w14:schemeClr w14:val="tx1"/>
            </w14:solidFill>
          </w14:textFill>
        </w:rPr>
        <w:t>万m</w:t>
      </w:r>
      <w:r>
        <w:rPr>
          <w:rFonts w:hint="default"/>
          <w:bCs/>
          <w:snapToGrid w:val="0"/>
          <w:color w:val="000000" w:themeColor="text1"/>
          <w:vertAlign w:val="superscript"/>
          <w:lang w:val="en-US" w:eastAsia="zh-CN"/>
          <w14:textFill>
            <w14:solidFill>
              <w14:schemeClr w14:val="tx1"/>
            </w14:solidFill>
          </w14:textFill>
        </w:rPr>
        <w:t>3</w:t>
      </w:r>
      <w:r>
        <w:rPr>
          <w:rFonts w:hint="eastAsia" w:cs="Times New Roman"/>
          <w:color w:val="000000" w:themeColor="text1"/>
          <w14:textFill>
            <w14:solidFill>
              <w14:schemeClr w14:val="tx1"/>
            </w14:solidFill>
          </w14:textFill>
        </w:rPr>
        <w:t>。</w:t>
      </w:r>
    </w:p>
    <w:p w14:paraId="16324A52">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r>
        <w:rPr>
          <w:rFonts w:hint="eastAsia"/>
          <w:snapToGrid w:val="0"/>
          <w:color w:val="000000" w:themeColor="text1"/>
          <w:lang w:val="en-US" w:eastAsia="zh-CN"/>
          <w14:textFill>
            <w14:solidFill>
              <w14:schemeClr w14:val="tx1"/>
            </w14:solidFill>
          </w14:textFill>
        </w:rPr>
        <w:t>2</w:t>
      </w:r>
      <w:r>
        <w:rPr>
          <w:rFonts w:hint="eastAsia"/>
          <w:snapToGrid w:val="0"/>
          <w:color w:val="000000" w:themeColor="text1"/>
          <w14:textFill>
            <w14:solidFill>
              <w14:schemeClr w14:val="tx1"/>
            </w14:solidFill>
          </w14:textFill>
        </w:rPr>
        <w:t>）临时排水沟、临时沉沙池（已实施）</w:t>
      </w:r>
    </w:p>
    <w:p w14:paraId="2259F226">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沿地上建筑底部四周地面设置排水沟收集施工场地雨水，临时排水沟共计358m（MU7.5普通砖砌，矩形断面，0.40m×0.40m），按5年一遇 10min 暴雨强度进行设计。沉沙池底长1.50m，底宽1.00m，深1.05m，设置沉沙池4个。</w:t>
      </w:r>
    </w:p>
    <w:p w14:paraId="6FAB64C8">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r>
        <w:rPr>
          <w:rFonts w:hint="eastAsia"/>
          <w:snapToGrid w:val="0"/>
          <w:color w:val="000000" w:themeColor="text1"/>
          <w:lang w:val="en-US" w:eastAsia="zh-CN"/>
          <w14:textFill>
            <w14:solidFill>
              <w14:schemeClr w14:val="tx1"/>
            </w14:solidFill>
          </w14:textFill>
        </w:rPr>
        <w:t>3</w:t>
      </w:r>
      <w:r>
        <w:rPr>
          <w:rFonts w:hint="eastAsia"/>
          <w:snapToGrid w:val="0"/>
          <w:color w:val="000000" w:themeColor="text1"/>
          <w14:textFill>
            <w14:solidFill>
              <w14:schemeClr w14:val="tx1"/>
            </w14:solidFill>
          </w14:textFill>
        </w:rPr>
        <w:t>）密目网苫盖（已实施）。</w:t>
      </w:r>
    </w:p>
    <w:p w14:paraId="1D4649B7">
      <w:pPr>
        <w:ind w:firstLine="480"/>
        <w:rPr>
          <w:bCs/>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建筑周边裸露土地采用密目网苫盖，合计密目网苫盖面积1752m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2C86AB1A">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3、场内道路、地面停车场及硬化工程区</w:t>
      </w:r>
    </w:p>
    <w:p w14:paraId="278F2B94">
      <w:pPr>
        <w:widowControl/>
        <w:ind w:firstLine="480"/>
        <w:rPr>
          <w:rFonts w:hint="eastAsia"/>
          <w:snapToGrid w:val="0"/>
          <w:color w:val="000000" w:themeColor="text1"/>
          <w14:textFill>
            <w14:solidFill>
              <w14:schemeClr w14:val="tx1"/>
            </w14:solidFill>
          </w14:textFill>
        </w:rPr>
      </w:pPr>
      <w:r>
        <w:rPr>
          <w:rFonts w:hint="eastAsia"/>
          <w:snapToGrid w:val="0"/>
          <w:color w:val="000000" w:themeColor="text1"/>
          <w:lang w:eastAsia="zh-CN"/>
          <w14:textFill>
            <w14:solidFill>
              <w14:schemeClr w14:val="tx1"/>
            </w14:solidFill>
          </w14:textFill>
        </w:rPr>
        <w:t>（</w:t>
      </w:r>
      <w:r>
        <w:rPr>
          <w:rFonts w:hint="eastAsia"/>
          <w:snapToGrid w:val="0"/>
          <w:color w:val="000000" w:themeColor="text1"/>
          <w:lang w:val="en-US" w:eastAsia="zh-CN"/>
          <w14:textFill>
            <w14:solidFill>
              <w14:schemeClr w14:val="tx1"/>
            </w14:solidFill>
          </w14:textFill>
        </w:rPr>
        <w:t>1</w:t>
      </w:r>
      <w:r>
        <w:rPr>
          <w:rFonts w:hint="eastAsia"/>
          <w:snapToGrid w:val="0"/>
          <w:color w:val="000000" w:themeColor="text1"/>
          <w:lang w:eastAsia="zh-CN"/>
          <w14:textFill>
            <w14:solidFill>
              <w14:schemeClr w14:val="tx1"/>
            </w14:solidFill>
          </w14:textFill>
        </w:rPr>
        <w:t>）表土剥离</w:t>
      </w:r>
      <w:r>
        <w:rPr>
          <w:rFonts w:hint="eastAsia"/>
          <w:snapToGrid w:val="0"/>
          <w:color w:val="000000" w:themeColor="text1"/>
          <w14:textFill>
            <w14:solidFill>
              <w14:schemeClr w14:val="tx1"/>
            </w14:solidFill>
          </w14:textFill>
        </w:rPr>
        <w:t>（已实施）</w:t>
      </w:r>
    </w:p>
    <w:p w14:paraId="7DB2CD5F">
      <w:pPr>
        <w:widowControl/>
        <w:ind w:firstLine="480"/>
        <w:rPr>
          <w:rFonts w:hint="default"/>
          <w:bCs/>
          <w:snapToGrid w:val="0"/>
          <w:color w:val="000000" w:themeColor="text1"/>
          <w:lang w:val="en-US" w:eastAsia="zh-CN"/>
          <w14:textFill>
            <w14:solidFill>
              <w14:schemeClr w14:val="tx1"/>
            </w14:solidFill>
          </w14:textFill>
        </w:rPr>
      </w:pPr>
      <w:r>
        <w:rPr>
          <w:rFonts w:hint="default"/>
          <w:bCs/>
          <w:snapToGrid w:val="0"/>
          <w:color w:val="000000" w:themeColor="text1"/>
          <w:lang w:val="en-US" w:eastAsia="zh-CN"/>
          <w14:textFill>
            <w14:solidFill>
              <w14:schemeClr w14:val="tx1"/>
            </w14:solidFill>
          </w14:textFill>
        </w:rPr>
        <w:t>土石方施工前期，施工单位进行表土剥离，可剥离面积为</w:t>
      </w:r>
      <w:r>
        <w:rPr>
          <w:rFonts w:hint="eastAsia"/>
          <w:bCs/>
          <w:snapToGrid w:val="0"/>
          <w:color w:val="000000" w:themeColor="text1"/>
          <w:lang w:val="en-US" w:eastAsia="zh-CN"/>
          <w14:textFill>
            <w14:solidFill>
              <w14:schemeClr w14:val="tx1"/>
            </w14:solidFill>
          </w14:textFill>
        </w:rPr>
        <w:t>0.20</w:t>
      </w:r>
      <w:r>
        <w:rPr>
          <w:rFonts w:hint="default"/>
          <w:bCs/>
          <w:snapToGrid w:val="0"/>
          <w:color w:val="000000" w:themeColor="text1"/>
          <w:lang w:val="en-US" w:eastAsia="zh-CN"/>
          <w14:textFill>
            <w14:solidFill>
              <w14:schemeClr w14:val="tx1"/>
            </w14:solidFill>
          </w14:textFill>
        </w:rPr>
        <w:t>hm</w:t>
      </w:r>
      <w:r>
        <w:rPr>
          <w:rFonts w:hint="default"/>
          <w:bCs/>
          <w:snapToGrid w:val="0"/>
          <w:color w:val="000000" w:themeColor="text1"/>
          <w:vertAlign w:val="superscript"/>
          <w:lang w:val="en-US" w:eastAsia="zh-CN"/>
          <w14:textFill>
            <w14:solidFill>
              <w14:schemeClr w14:val="tx1"/>
            </w14:solidFill>
          </w14:textFill>
        </w:rPr>
        <w:t>2</w:t>
      </w:r>
      <w:r>
        <w:rPr>
          <w:rFonts w:hint="default"/>
          <w:bCs/>
          <w:snapToGrid w:val="0"/>
          <w:color w:val="000000" w:themeColor="text1"/>
          <w:lang w:val="en-US" w:eastAsia="zh-CN"/>
          <w14:textFill>
            <w14:solidFill>
              <w14:schemeClr w14:val="tx1"/>
            </w14:solidFill>
          </w14:textFill>
        </w:rPr>
        <w:t>，剥离量为</w:t>
      </w:r>
      <w:r>
        <w:rPr>
          <w:rFonts w:hint="eastAsia"/>
          <w:bCs/>
          <w:snapToGrid w:val="0"/>
          <w:color w:val="000000" w:themeColor="text1"/>
          <w:lang w:val="en-US" w:eastAsia="zh-CN"/>
          <w14:textFill>
            <w14:solidFill>
              <w14:schemeClr w14:val="tx1"/>
            </w14:solidFill>
          </w14:textFill>
        </w:rPr>
        <w:t>0.05</w:t>
      </w:r>
      <w:r>
        <w:rPr>
          <w:rFonts w:hint="default"/>
          <w:bCs/>
          <w:snapToGrid w:val="0"/>
          <w:color w:val="000000" w:themeColor="text1"/>
          <w:lang w:val="en-US" w:eastAsia="zh-CN"/>
          <w14:textFill>
            <w14:solidFill>
              <w14:schemeClr w14:val="tx1"/>
            </w14:solidFill>
          </w14:textFill>
        </w:rPr>
        <w:t>万m</w:t>
      </w:r>
      <w:r>
        <w:rPr>
          <w:rFonts w:hint="default"/>
          <w:bCs/>
          <w:snapToGrid w:val="0"/>
          <w:color w:val="000000" w:themeColor="text1"/>
          <w:vertAlign w:val="superscript"/>
          <w:lang w:val="en-US" w:eastAsia="zh-CN"/>
          <w14:textFill>
            <w14:solidFill>
              <w14:schemeClr w14:val="tx1"/>
            </w14:solidFill>
          </w14:textFill>
        </w:rPr>
        <w:t>3</w:t>
      </w:r>
      <w:r>
        <w:rPr>
          <w:rFonts w:hint="eastAsia" w:cs="Times New Roman"/>
          <w:color w:val="000000" w:themeColor="text1"/>
          <w14:textFill>
            <w14:solidFill>
              <w14:schemeClr w14:val="tx1"/>
            </w14:solidFill>
          </w14:textFill>
        </w:rPr>
        <w:t>。</w:t>
      </w:r>
    </w:p>
    <w:p w14:paraId="455ED212">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r>
        <w:rPr>
          <w:rFonts w:hint="eastAsia"/>
          <w:snapToGrid w:val="0"/>
          <w:color w:val="000000" w:themeColor="text1"/>
          <w:lang w:val="en-US" w:eastAsia="zh-CN"/>
          <w14:textFill>
            <w14:solidFill>
              <w14:schemeClr w14:val="tx1"/>
            </w14:solidFill>
          </w14:textFill>
        </w:rPr>
        <w:t>2</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雨水管网</w:t>
      </w:r>
      <w:r>
        <w:rPr>
          <w:rFonts w:hint="eastAsia"/>
          <w:snapToGrid w:val="0"/>
          <w:color w:val="000000" w:themeColor="text1"/>
          <w14:textFill>
            <w14:solidFill>
              <w14:schemeClr w14:val="tx1"/>
            </w14:solidFill>
          </w14:textFill>
        </w:rPr>
        <w:t>、雨水口（未实施）</w:t>
      </w:r>
    </w:p>
    <w:p w14:paraId="61ADDD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主体设计</w:t>
      </w:r>
      <w:r>
        <w:rPr>
          <w:color w:val="000000" w:themeColor="text1"/>
          <w14:textFill>
            <w14:solidFill>
              <w14:schemeClr w14:val="tx1"/>
            </w14:solidFill>
          </w14:textFill>
        </w:rPr>
        <w:t>DN</w:t>
      </w:r>
      <w:r>
        <w:rPr>
          <w:rFonts w:hint="eastAsia"/>
          <w:color w:val="000000" w:themeColor="text1"/>
          <w14:textFill>
            <w14:solidFill>
              <w14:schemeClr w14:val="tx1"/>
            </w14:solidFill>
          </w14:textFill>
        </w:rPr>
        <w:t>150-</w:t>
      </w:r>
      <w:r>
        <w:rPr>
          <w:color w:val="000000" w:themeColor="text1"/>
          <w14:textFill>
            <w14:solidFill>
              <w14:schemeClr w14:val="tx1"/>
            </w14:solidFill>
          </w14:textFill>
        </w:rPr>
        <w:t>DN</w:t>
      </w:r>
      <w:r>
        <w:rPr>
          <w:rFonts w:hint="eastAsia"/>
          <w:color w:val="000000" w:themeColor="text1"/>
          <w14:textFill>
            <w14:solidFill>
              <w14:schemeClr w14:val="tx1"/>
            </w14:solidFill>
          </w14:textFill>
        </w:rPr>
        <w:t>300雨水管网长度合计519.55</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雨水口</w:t>
      </w:r>
      <w:r>
        <w:rPr>
          <w:rFonts w:hint="eastAsia"/>
          <w:color w:val="000000" w:themeColor="text1"/>
          <w14:textFill>
            <w14:solidFill>
              <w14:schemeClr w14:val="tx1"/>
            </w14:solidFill>
          </w14:textFill>
        </w:rPr>
        <w:t>17</w:t>
      </w:r>
      <w:r>
        <w:rPr>
          <w:color w:val="000000" w:themeColor="text1"/>
          <w14:textFill>
            <w14:solidFill>
              <w14:schemeClr w14:val="tx1"/>
            </w14:solidFill>
          </w14:textFill>
        </w:rPr>
        <w:t>个。</w:t>
      </w:r>
    </w:p>
    <w:p w14:paraId="660E8D03">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r>
        <w:rPr>
          <w:rFonts w:hint="eastAsia"/>
          <w:snapToGrid w:val="0"/>
          <w:color w:val="000000" w:themeColor="text1"/>
          <w:lang w:val="en-US" w:eastAsia="zh-CN"/>
          <w14:textFill>
            <w14:solidFill>
              <w14:schemeClr w14:val="tx1"/>
            </w14:solidFill>
          </w14:textFill>
        </w:rPr>
        <w:t>3</w:t>
      </w:r>
      <w:r>
        <w:rPr>
          <w:rFonts w:hint="eastAsia"/>
          <w:snapToGrid w:val="0"/>
          <w:color w:val="000000" w:themeColor="text1"/>
          <w14:textFill>
            <w14:solidFill>
              <w14:schemeClr w14:val="tx1"/>
            </w14:solidFill>
          </w14:textFill>
        </w:rPr>
        <w:t>）雨水蓄水池（未实施）</w:t>
      </w:r>
    </w:p>
    <w:p w14:paraId="574489F9">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在场地东南侧绿化带下设置雨水蓄水池，蓄水池容量3</w:t>
      </w:r>
      <w:r>
        <w:rPr>
          <w:snapToGrid w:val="0"/>
          <w:color w:val="000000" w:themeColor="text1"/>
          <w14:textFill>
            <w14:solidFill>
              <w14:schemeClr w14:val="tx1"/>
            </w14:solidFill>
          </w14:textFill>
        </w:rPr>
        <w:t>00m</w:t>
      </w:r>
      <w:r>
        <w:rPr>
          <w:snapToGrid w:val="0"/>
          <w:color w:val="000000" w:themeColor="text1"/>
          <w:vertAlign w:val="superscript"/>
          <w14:textFill>
            <w14:solidFill>
              <w14:schemeClr w14:val="tx1"/>
            </w14:solidFill>
          </w14:textFill>
        </w:rPr>
        <w:t>3</w:t>
      </w:r>
      <w:r>
        <w:rPr>
          <w:rFonts w:hint="eastAsia"/>
          <w:snapToGrid w:val="0"/>
          <w:color w:val="000000" w:themeColor="text1"/>
          <w:sz w:val="22"/>
          <w:szCs w:val="22"/>
          <w14:textFill>
            <w14:solidFill>
              <w14:schemeClr w14:val="tx1"/>
            </w14:solidFill>
          </w14:textFill>
        </w:rPr>
        <w:t>，</w:t>
      </w:r>
      <w:r>
        <w:rPr>
          <w:rFonts w:hint="eastAsia"/>
          <w:snapToGrid w:val="0"/>
          <w:color w:val="000000" w:themeColor="text1"/>
          <w14:textFill>
            <w14:solidFill>
              <w14:schemeClr w14:val="tx1"/>
            </w14:solidFill>
          </w14:textFill>
        </w:rPr>
        <w:t>尺寸1</w:t>
      </w:r>
      <w:r>
        <w:rPr>
          <w:snapToGrid w:val="0"/>
          <w:color w:val="000000" w:themeColor="text1"/>
          <w14:textFill>
            <w14:solidFill>
              <w14:schemeClr w14:val="tx1"/>
            </w14:solidFill>
          </w14:textFill>
        </w:rPr>
        <w:t>2m</w:t>
      </w:r>
      <w:r>
        <w:rPr>
          <w:rFonts w:hint="eastAsia"/>
          <w:snapToGrid w:val="0"/>
          <w:color w:val="000000" w:themeColor="text1"/>
          <w14:textFill>
            <w14:solidFill>
              <w14:schemeClr w14:val="tx1"/>
            </w14:solidFill>
          </w14:textFill>
        </w:rPr>
        <w:t>×7</w:t>
      </w:r>
      <w:r>
        <w:rPr>
          <w:snapToGrid w:val="0"/>
          <w:color w:val="000000" w:themeColor="text1"/>
          <w14:textFill>
            <w14:solidFill>
              <w14:schemeClr w14:val="tx1"/>
            </w14:solidFill>
          </w14:textFill>
        </w:rPr>
        <w:t>m</w:t>
      </w:r>
      <w:r>
        <w:rPr>
          <w:rFonts w:hint="eastAsia"/>
          <w:snapToGrid w:val="0"/>
          <w:color w:val="000000" w:themeColor="text1"/>
          <w14:textFill>
            <w14:solidFill>
              <w14:schemeClr w14:val="tx1"/>
            </w14:solidFill>
          </w14:textFill>
        </w:rPr>
        <w:t>×4m，蓄水池采用室外地埋式塑料模块，设置蓄水池1个。</w:t>
      </w:r>
    </w:p>
    <w:p w14:paraId="7B6E0625">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r>
        <w:rPr>
          <w:rFonts w:hint="eastAsia"/>
          <w:snapToGrid w:val="0"/>
          <w:color w:val="000000" w:themeColor="text1"/>
          <w:lang w:val="en-US" w:eastAsia="zh-CN"/>
          <w14:textFill>
            <w14:solidFill>
              <w14:schemeClr w14:val="tx1"/>
            </w14:solidFill>
          </w14:textFill>
        </w:rPr>
        <w:t>4</w:t>
      </w:r>
      <w:r>
        <w:rPr>
          <w:rFonts w:hint="eastAsia"/>
          <w:snapToGrid w:val="0"/>
          <w:color w:val="000000" w:themeColor="text1"/>
          <w14:textFill>
            <w14:solidFill>
              <w14:schemeClr w14:val="tx1"/>
            </w14:solidFill>
          </w14:textFill>
        </w:rPr>
        <w:t>）洗车设施（已实施）</w:t>
      </w:r>
    </w:p>
    <w:p w14:paraId="46EEC0D6">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在北侧地块出入口处共设置洗车设施1套，车辆清洗池平面长</w:t>
      </w:r>
      <w:r>
        <w:rPr>
          <w:snapToGrid w:val="0"/>
          <w:color w:val="000000" w:themeColor="text1"/>
          <w14:textFill>
            <w14:solidFill>
              <w14:schemeClr w14:val="tx1"/>
            </w14:solidFill>
          </w14:textFill>
        </w:rPr>
        <w:t>1</w:t>
      </w:r>
      <w:r>
        <w:rPr>
          <w:rFonts w:hint="eastAsia"/>
          <w:snapToGrid w:val="0"/>
          <w:color w:val="000000" w:themeColor="text1"/>
          <w14:textFill>
            <w14:solidFill>
              <w14:schemeClr w14:val="tx1"/>
            </w14:solidFill>
          </w14:textFill>
        </w:rPr>
        <w:t>8m，宽</w:t>
      </w:r>
      <w:r>
        <w:rPr>
          <w:snapToGrid w:val="0"/>
          <w:color w:val="000000" w:themeColor="text1"/>
          <w14:textFill>
            <w14:solidFill>
              <w14:schemeClr w14:val="tx1"/>
            </w14:solidFill>
          </w14:textFill>
        </w:rPr>
        <w:t>6</w:t>
      </w:r>
      <w:r>
        <w:rPr>
          <w:rFonts w:hint="eastAsia"/>
          <w:snapToGrid w:val="0"/>
          <w:color w:val="000000" w:themeColor="text1"/>
          <w14:textFill>
            <w14:solidFill>
              <w14:schemeClr w14:val="tx1"/>
            </w14:solidFill>
          </w14:textFill>
        </w:rPr>
        <w:t>m。纵剖面呈梯形结构，下宽4m，上宽</w:t>
      </w:r>
      <w:r>
        <w:rPr>
          <w:snapToGrid w:val="0"/>
          <w:color w:val="000000" w:themeColor="text1"/>
          <w14:textFill>
            <w14:solidFill>
              <w14:schemeClr w14:val="tx1"/>
            </w14:solidFill>
          </w14:textFill>
        </w:rPr>
        <w:t>6</w:t>
      </w:r>
      <w:r>
        <w:rPr>
          <w:rFonts w:hint="eastAsia"/>
          <w:snapToGrid w:val="0"/>
          <w:color w:val="000000" w:themeColor="text1"/>
          <w14:textFill>
            <w14:solidFill>
              <w14:schemeClr w14:val="tx1"/>
            </w14:solidFill>
          </w14:textFill>
        </w:rPr>
        <w:t>m，深0.5m，C20砼浇筑，厚30cm。</w:t>
      </w:r>
    </w:p>
    <w:p w14:paraId="5068B446">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4、绿化工程区</w:t>
      </w:r>
    </w:p>
    <w:p w14:paraId="76C4E265">
      <w:pPr>
        <w:widowControl/>
        <w:ind w:firstLine="480"/>
        <w:rPr>
          <w:rFonts w:hint="eastAsia"/>
          <w:snapToGrid w:val="0"/>
          <w:color w:val="000000" w:themeColor="text1"/>
          <w14:textFill>
            <w14:solidFill>
              <w14:schemeClr w14:val="tx1"/>
            </w14:solidFill>
          </w14:textFill>
        </w:rPr>
      </w:pPr>
      <w:r>
        <w:rPr>
          <w:rFonts w:hint="eastAsia"/>
          <w:snapToGrid w:val="0"/>
          <w:color w:val="000000" w:themeColor="text1"/>
          <w:lang w:eastAsia="zh-CN"/>
          <w14:textFill>
            <w14:solidFill>
              <w14:schemeClr w14:val="tx1"/>
            </w14:solidFill>
          </w14:textFill>
        </w:rPr>
        <w:t>（</w:t>
      </w:r>
      <w:r>
        <w:rPr>
          <w:rFonts w:hint="eastAsia"/>
          <w:snapToGrid w:val="0"/>
          <w:color w:val="000000" w:themeColor="text1"/>
          <w:lang w:val="en-US" w:eastAsia="zh-CN"/>
          <w14:textFill>
            <w14:solidFill>
              <w14:schemeClr w14:val="tx1"/>
            </w14:solidFill>
          </w14:textFill>
        </w:rPr>
        <w:t>1</w:t>
      </w:r>
      <w:r>
        <w:rPr>
          <w:rFonts w:hint="eastAsia"/>
          <w:snapToGrid w:val="0"/>
          <w:color w:val="000000" w:themeColor="text1"/>
          <w:lang w:eastAsia="zh-CN"/>
          <w14:textFill>
            <w14:solidFill>
              <w14:schemeClr w14:val="tx1"/>
            </w14:solidFill>
          </w14:textFill>
        </w:rPr>
        <w:t>）绿化覆土</w:t>
      </w:r>
      <w:r>
        <w:rPr>
          <w:rFonts w:hint="eastAsia"/>
          <w:snapToGrid w:val="0"/>
          <w:color w:val="000000" w:themeColor="text1"/>
          <w14:textFill>
            <w14:solidFill>
              <w14:schemeClr w14:val="tx1"/>
            </w14:solidFill>
          </w14:textFill>
        </w:rPr>
        <w:t>（</w:t>
      </w:r>
      <w:r>
        <w:rPr>
          <w:rFonts w:hint="eastAsia"/>
          <w:snapToGrid w:val="0"/>
          <w:color w:val="000000" w:themeColor="text1"/>
          <w:lang w:eastAsia="zh-CN"/>
          <w14:textFill>
            <w14:solidFill>
              <w14:schemeClr w14:val="tx1"/>
            </w14:solidFill>
          </w14:textFill>
        </w:rPr>
        <w:t>未</w:t>
      </w:r>
      <w:r>
        <w:rPr>
          <w:rFonts w:hint="eastAsia"/>
          <w:snapToGrid w:val="0"/>
          <w:color w:val="000000" w:themeColor="text1"/>
          <w14:textFill>
            <w14:solidFill>
              <w14:schemeClr w14:val="tx1"/>
            </w14:solidFill>
          </w14:textFill>
        </w:rPr>
        <w:t>实施）</w:t>
      </w:r>
    </w:p>
    <w:p w14:paraId="4462DEEE">
      <w:pPr>
        <w:widowControl/>
        <w:ind w:firstLine="480"/>
        <w:rPr>
          <w:rFonts w:hint="default"/>
          <w:bCs/>
          <w:snapToGrid w:val="0"/>
          <w:color w:val="000000" w:themeColor="text1"/>
          <w:lang w:val="en-US" w:eastAsia="zh-CN"/>
          <w14:textFill>
            <w14:solidFill>
              <w14:schemeClr w14:val="tx1"/>
            </w14:solidFill>
          </w14:textFill>
        </w:rPr>
      </w:pPr>
      <w:r>
        <w:rPr>
          <w:rFonts w:hint="eastAsia" w:cs="Times New Roman"/>
          <w:color w:val="000000" w:themeColor="text1"/>
          <w14:textFill>
            <w14:solidFill>
              <w14:schemeClr w14:val="tx1"/>
            </w14:solidFill>
          </w14:textFill>
        </w:rPr>
        <w:t>施工后期对绿化工程区进行绿化覆土，绿化面积0.</w:t>
      </w:r>
      <w:r>
        <w:rPr>
          <w:rFonts w:hint="eastAsia" w:cs="Times New Roman"/>
          <w:color w:val="000000" w:themeColor="text1"/>
          <w:lang w:val="en-US" w:eastAsia="zh-CN"/>
          <w14:textFill>
            <w14:solidFill>
              <w14:schemeClr w14:val="tx1"/>
            </w14:solidFill>
          </w14:textFill>
        </w:rPr>
        <w:t>12</w:t>
      </w:r>
      <w:r>
        <w:rPr>
          <w:rFonts w:hint="eastAsia" w:cs="Times New Roman"/>
          <w:color w:val="000000" w:themeColor="text1"/>
          <w14:textFill>
            <w14:solidFill>
              <w14:schemeClr w14:val="tx1"/>
            </w14:solidFill>
          </w14:textFill>
        </w:rPr>
        <w:t>hm</w:t>
      </w:r>
      <w:r>
        <w:rPr>
          <w:rFonts w:hint="eastAsia" w:cs="Times New Roman"/>
          <w:color w:val="000000" w:themeColor="text1"/>
          <w:vertAlign w:val="superscript"/>
          <w14:textFill>
            <w14:solidFill>
              <w14:schemeClr w14:val="tx1"/>
            </w14:solidFill>
          </w14:textFill>
        </w:rPr>
        <w:t>2</w:t>
      </w:r>
      <w:r>
        <w:rPr>
          <w:rFonts w:hint="eastAsia" w:cs="Times New Roman"/>
          <w:color w:val="000000" w:themeColor="text1"/>
          <w14:textFill>
            <w14:solidFill>
              <w14:schemeClr w14:val="tx1"/>
            </w14:solidFill>
          </w14:textFill>
        </w:rPr>
        <w:t>，覆土厚度</w:t>
      </w:r>
      <w:r>
        <w:rPr>
          <w:rFonts w:hint="eastAsia" w:cs="Times New Roman"/>
          <w:color w:val="000000" w:themeColor="text1"/>
          <w:lang w:val="en-US" w:eastAsia="zh-CN"/>
          <w14:textFill>
            <w14:solidFill>
              <w14:schemeClr w14:val="tx1"/>
            </w14:solidFill>
          </w14:textFill>
        </w:rPr>
        <w:t>5</w:t>
      </w:r>
      <w:r>
        <w:rPr>
          <w:rFonts w:hint="eastAsia" w:cs="Times New Roman"/>
          <w:color w:val="000000" w:themeColor="text1"/>
          <w14:textFill>
            <w14:solidFill>
              <w14:schemeClr w14:val="tx1"/>
            </w14:solidFill>
          </w14:textFill>
        </w:rPr>
        <w:t>0cm，覆土量为</w:t>
      </w:r>
      <w:r>
        <w:rPr>
          <w:rFonts w:hint="eastAsia" w:cs="Times New Roman"/>
          <w:color w:val="000000" w:themeColor="text1"/>
          <w:lang w:eastAsia="zh-CN"/>
          <w14:textFill>
            <w14:solidFill>
              <w14:schemeClr w14:val="tx1"/>
            </w14:solidFill>
          </w14:textFill>
        </w:rPr>
        <w:t>0.10</w:t>
      </w:r>
      <w:r>
        <w:rPr>
          <w:rFonts w:hint="eastAsia" w:cs="Times New Roman"/>
          <w:color w:val="000000" w:themeColor="text1"/>
          <w14:textFill>
            <w14:solidFill>
              <w14:schemeClr w14:val="tx1"/>
            </w14:solidFill>
          </w14:textFill>
        </w:rPr>
        <w:t>万m</w:t>
      </w:r>
      <w:r>
        <w:rPr>
          <w:rFonts w:hint="eastAsia" w:cs="Times New Roman"/>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5BD8B5CC">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（1）景观绿化（未实施）</w:t>
      </w:r>
    </w:p>
    <w:p w14:paraId="23C3412E">
      <w:pPr>
        <w:pStyle w:val="66"/>
        <w:ind w:firstLine="480"/>
        <w:rPr>
          <w:color w:val="000000" w:themeColor="text1"/>
          <w14:textFill>
            <w14:solidFill>
              <w14:schemeClr w14:val="tx1"/>
            </w14:solidFill>
          </w14:textFill>
        </w:rPr>
      </w:pPr>
      <w:r>
        <w:rPr>
          <w:color w:val="000000" w:themeColor="text1"/>
          <w14:textFill>
            <w14:solidFill>
              <w14:schemeClr w14:val="tx1"/>
            </w14:solidFill>
          </w14:textFill>
        </w:rPr>
        <w:t>为改善项目建设区环境，建设区绿化面积</w:t>
      </w:r>
      <w:r>
        <w:rPr>
          <w:rFonts w:hint="eastAsia"/>
          <w:color w:val="000000" w:themeColor="text1"/>
          <w14:textFill>
            <w14:solidFill>
              <w14:schemeClr w14:val="tx1"/>
            </w14:solidFill>
          </w14:textFill>
        </w:rPr>
        <w:t>0.12</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，该项措施由主体工程负责实施，并纳入项目景观绿化专项设计。</w:t>
      </w:r>
    </w:p>
    <w:p w14:paraId="14A85509">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（2）植草沟（未实施）</w:t>
      </w:r>
    </w:p>
    <w:p w14:paraId="18D2ED26">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为避免路面积水，在各栋建筑靠近场内道路边沿设置植草沟，有利于雨水的快速下渗和导流，共建设植草沟173.04</w:t>
      </w:r>
      <w:r>
        <w:rPr>
          <w:snapToGrid w:val="0"/>
          <w:color w:val="000000" w:themeColor="text1"/>
          <w14:textFill>
            <w14:solidFill>
              <w14:schemeClr w14:val="tx1"/>
            </w14:solidFill>
          </w14:textFill>
        </w:rPr>
        <w:t>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w:t>
      </w:r>
    </w:p>
    <w:p w14:paraId="6EE08B1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.3.3</w:t>
      </w:r>
      <w:r>
        <w:rPr>
          <w:rFonts w:hint="eastAsia"/>
          <w:color w:val="000000" w:themeColor="text1"/>
          <w14:textFill>
            <w14:solidFill>
              <w14:schemeClr w14:val="tx1"/>
            </w14:solidFill>
          </w14:textFill>
        </w:rPr>
        <w:t>界定为水土保持工程的</w:t>
      </w:r>
      <w:r>
        <w:rPr>
          <w:color w:val="000000" w:themeColor="text1"/>
          <w14:textFill>
            <w14:solidFill>
              <w14:schemeClr w14:val="tx1"/>
            </w14:solidFill>
          </w14:textFill>
        </w:rPr>
        <w:t>措施</w:t>
      </w:r>
      <w:r>
        <w:rPr>
          <w:rFonts w:hint="eastAsia"/>
          <w:color w:val="000000" w:themeColor="text1"/>
          <w14:textFill>
            <w14:solidFill>
              <w14:schemeClr w14:val="tx1"/>
            </w14:solidFill>
          </w14:textFill>
        </w:rPr>
        <w:t>工程量及投资</w:t>
      </w:r>
    </w:p>
    <w:p w14:paraId="3744EBB7">
      <w:pPr>
        <w:widowControl/>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对</w:t>
      </w:r>
      <w:r>
        <w:rPr>
          <w:rFonts w:hint="eastAsia"/>
          <w:snapToGrid w:val="0"/>
          <w:color w:val="000000" w:themeColor="text1"/>
          <w14:textFill>
            <w14:solidFill>
              <w14:schemeClr w14:val="tx1"/>
            </w14:solidFill>
          </w14:textFill>
        </w:rPr>
        <w:t>项目设</w:t>
      </w:r>
      <w:r>
        <w:rPr>
          <w:snapToGrid w:val="0"/>
          <w:color w:val="000000" w:themeColor="text1"/>
          <w14:textFill>
            <w14:solidFill>
              <w14:schemeClr w14:val="tx1"/>
            </w14:solidFill>
          </w14:textFill>
        </w:rPr>
        <w:t>计中的水土保持措施进行界定，</w:t>
      </w:r>
      <w:r>
        <w:rPr>
          <w:rFonts w:hint="eastAsia"/>
          <w:snapToGrid w:val="0"/>
          <w:color w:val="000000" w:themeColor="text1"/>
          <w14:textFill>
            <w14:solidFill>
              <w14:schemeClr w14:val="tx1"/>
            </w14:solidFill>
          </w14:textFill>
        </w:rPr>
        <w:t>主体</w:t>
      </w:r>
      <w:r>
        <w:rPr>
          <w:snapToGrid w:val="0"/>
          <w:color w:val="000000" w:themeColor="text1"/>
          <w14:textFill>
            <w14:solidFill>
              <w14:schemeClr w14:val="tx1"/>
            </w14:solidFill>
          </w14:textFill>
        </w:rPr>
        <w:t>设计中的</w:t>
      </w:r>
      <w:r>
        <w:rPr>
          <w:rFonts w:hint="eastAsia"/>
          <w:snapToGrid w:val="0"/>
          <w:color w:val="000000" w:themeColor="text1"/>
          <w14:textFill>
            <w14:solidFill>
              <w14:schemeClr w14:val="tx1"/>
            </w14:solidFill>
          </w14:textFill>
        </w:rPr>
        <w:t>雨水管网及景观绿化</w:t>
      </w:r>
      <w:r>
        <w:rPr>
          <w:snapToGrid w:val="0"/>
          <w:color w:val="000000" w:themeColor="text1"/>
          <w14:textFill>
            <w14:solidFill>
              <w14:schemeClr w14:val="tx1"/>
            </w14:solidFill>
          </w14:textFill>
        </w:rPr>
        <w:t>等以防治水土流失为主要目标的措施，界定为水土保持措施，纳入本方案设计的水土保持防护措施体系，计列其水土保持投资，</w:t>
      </w:r>
      <w:r>
        <w:rPr>
          <w:rFonts w:hint="eastAsia"/>
          <w:snapToGrid w:val="0"/>
          <w:color w:val="000000" w:themeColor="text1"/>
          <w14:textFill>
            <w14:solidFill>
              <w14:schemeClr w14:val="tx1"/>
            </w14:solidFill>
          </w14:textFill>
        </w:rPr>
        <w:t>主体工程</w:t>
      </w:r>
      <w:r>
        <w:rPr>
          <w:snapToGrid w:val="0"/>
          <w:color w:val="000000" w:themeColor="text1"/>
          <w14:textFill>
            <w14:solidFill>
              <w14:schemeClr w14:val="tx1"/>
            </w14:solidFill>
          </w14:textFill>
        </w:rPr>
        <w:t>已有水土保持措施投资为</w:t>
      </w:r>
      <w:r>
        <w:rPr>
          <w:rFonts w:hint="eastAsia"/>
          <w:color w:val="000000" w:themeColor="text1"/>
          <w:lang w:eastAsia="zh-CN"/>
          <w14:textFill>
            <w14:solidFill>
              <w14:schemeClr w14:val="tx1"/>
            </w14:solidFill>
          </w14:textFill>
        </w:rPr>
        <w:t>83.03</w:t>
      </w:r>
      <w:r>
        <w:rPr>
          <w:snapToGrid w:val="0"/>
          <w:color w:val="000000" w:themeColor="text1"/>
          <w14:textFill>
            <w14:solidFill>
              <w14:schemeClr w14:val="tx1"/>
            </w14:solidFill>
          </w14:textFill>
        </w:rPr>
        <w:t>万元。</w:t>
      </w:r>
    </w:p>
    <w:p w14:paraId="6A1396C8">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主体</w:t>
      </w:r>
      <w:r>
        <w:rPr>
          <w:snapToGrid w:val="0"/>
          <w:color w:val="000000" w:themeColor="text1"/>
          <w14:textFill>
            <w14:solidFill>
              <w14:schemeClr w14:val="tx1"/>
            </w14:solidFill>
          </w14:textFill>
        </w:rPr>
        <w:t>设计中水土保持措施工程量及投资见表3.3-1。</w:t>
      </w:r>
    </w:p>
    <w:p w14:paraId="0C8C658E">
      <w:pPr>
        <w:pStyle w:val="33"/>
        <w:ind w:firstLine="1054" w:firstLineChars="500"/>
        <w:rPr>
          <w:color w:val="000000" w:themeColor="text1"/>
          <w14:textFill>
            <w14:solidFill>
              <w14:schemeClr w14:val="tx1"/>
            </w14:solidFill>
          </w14:textFill>
        </w:rPr>
      </w:pPr>
      <w:r>
        <w:rPr>
          <w:color w:val="000000" w:themeColor="text1"/>
          <w14:textFill>
            <w14:solidFill>
              <w14:schemeClr w14:val="tx1"/>
            </w14:solidFill>
          </w14:textFill>
        </w:rPr>
        <w:t xml:space="preserve">表3.3-2  </w:t>
      </w:r>
      <w:r>
        <w:rPr>
          <w:rFonts w:hint="eastAsia"/>
          <w:color w:val="000000" w:themeColor="text1"/>
          <w14:textFill>
            <w14:solidFill>
              <w14:schemeClr w14:val="tx1"/>
            </w14:solidFill>
          </w14:textFill>
        </w:rPr>
        <w:t xml:space="preserve">          主体设计中界定为水土保持工程的</w:t>
      </w:r>
      <w:r>
        <w:rPr>
          <w:color w:val="000000" w:themeColor="text1"/>
          <w14:textFill>
            <w14:solidFill>
              <w14:schemeClr w14:val="tx1"/>
            </w14:solidFill>
          </w14:textFill>
        </w:rPr>
        <w:t>工程量及投资表</w:t>
      </w:r>
    </w:p>
    <w:tbl>
      <w:tblPr>
        <w:tblStyle w:val="26"/>
        <w:tblW w:w="55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1060"/>
        <w:gridCol w:w="1136"/>
        <w:gridCol w:w="1803"/>
        <w:gridCol w:w="713"/>
        <w:gridCol w:w="982"/>
        <w:gridCol w:w="845"/>
        <w:gridCol w:w="1056"/>
        <w:gridCol w:w="1117"/>
      </w:tblGrid>
      <w:tr w14:paraId="00BA5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tcPr>
          <w:p w14:paraId="0120A579">
            <w:pPr>
              <w:widowControl/>
              <w:adjustRightIn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一级防治分区</w:t>
            </w:r>
          </w:p>
        </w:tc>
        <w:tc>
          <w:tcPr>
            <w:tcW w:w="556" w:type="pct"/>
            <w:vAlign w:val="center"/>
          </w:tcPr>
          <w:p w14:paraId="5C78BEDD">
            <w:pPr>
              <w:widowControl/>
              <w:adjustRightInd/>
              <w:spacing w:line="240" w:lineRule="auto"/>
              <w:ind w:firstLine="0" w:firstLineChars="0"/>
              <w:jc w:val="center"/>
              <w:rPr>
                <w:color w:val="000000" w:themeColor="text1"/>
                <w:sz w:val="18"/>
                <w:szCs w:val="18"/>
                <w14:textFill>
                  <w14:solidFill>
                    <w14:schemeClr w14:val="tx1"/>
                  </w14:solidFill>
                </w14:textFill>
              </w:rPr>
            </w:pPr>
            <w:bookmarkStart w:id="91" w:name="_Hlk101375181"/>
            <w:r>
              <w:rPr>
                <w:rFonts w:hint="eastAsia"/>
                <w:color w:val="000000" w:themeColor="text1"/>
                <w:sz w:val="18"/>
                <w:szCs w:val="18"/>
                <w14:textFill>
                  <w14:solidFill>
                    <w14:schemeClr w14:val="tx1"/>
                  </w14:solidFill>
                </w14:textFill>
              </w:rPr>
              <w:t>二级</w:t>
            </w:r>
            <w:r>
              <w:rPr>
                <w:color w:val="000000" w:themeColor="text1"/>
                <w:sz w:val="18"/>
                <w:szCs w:val="18"/>
                <w14:textFill>
                  <w14:solidFill>
                    <w14:schemeClr w14:val="tx1"/>
                  </w14:solidFill>
                </w14:textFill>
              </w:rPr>
              <w:t>防治分区</w:t>
            </w:r>
          </w:p>
        </w:tc>
        <w:tc>
          <w:tcPr>
            <w:tcW w:w="596" w:type="pct"/>
            <w:vAlign w:val="center"/>
          </w:tcPr>
          <w:p w14:paraId="1F3F0F10">
            <w:pPr>
              <w:widowControl/>
              <w:adjustRightIn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措施类型</w:t>
            </w:r>
          </w:p>
        </w:tc>
        <w:tc>
          <w:tcPr>
            <w:tcW w:w="946" w:type="pct"/>
            <w:vAlign w:val="center"/>
          </w:tcPr>
          <w:p w14:paraId="51319188">
            <w:pPr>
              <w:spacing w:line="240" w:lineRule="auto"/>
              <w:ind w:left="208"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防护工程</w:t>
            </w:r>
          </w:p>
        </w:tc>
        <w:tc>
          <w:tcPr>
            <w:tcW w:w="374" w:type="pct"/>
            <w:vAlign w:val="center"/>
          </w:tcPr>
          <w:p w14:paraId="75A8FB80">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单位</w:t>
            </w:r>
          </w:p>
        </w:tc>
        <w:tc>
          <w:tcPr>
            <w:tcW w:w="515" w:type="pct"/>
            <w:noWrap/>
            <w:vAlign w:val="center"/>
          </w:tcPr>
          <w:p w14:paraId="6EC54952">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工程量</w:t>
            </w:r>
          </w:p>
        </w:tc>
        <w:tc>
          <w:tcPr>
            <w:tcW w:w="443" w:type="pct"/>
            <w:noWrap/>
            <w:vAlign w:val="center"/>
          </w:tcPr>
          <w:p w14:paraId="219AB751">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单价</w:t>
            </w:r>
          </w:p>
          <w:p w14:paraId="477760E3">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（元）</w:t>
            </w:r>
          </w:p>
        </w:tc>
        <w:tc>
          <w:tcPr>
            <w:tcW w:w="554" w:type="pct"/>
            <w:noWrap/>
            <w:vAlign w:val="center"/>
          </w:tcPr>
          <w:p w14:paraId="49CCC2B9">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合计</w:t>
            </w:r>
          </w:p>
          <w:p w14:paraId="4F572060">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（万元）</w:t>
            </w:r>
          </w:p>
        </w:tc>
        <w:tc>
          <w:tcPr>
            <w:tcW w:w="586" w:type="pct"/>
            <w:noWrap/>
            <w:vAlign w:val="center"/>
          </w:tcPr>
          <w:p w14:paraId="5C81F5AA">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备注</w:t>
            </w:r>
          </w:p>
        </w:tc>
      </w:tr>
      <w:tr w14:paraId="15AB7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restart"/>
            <w:vAlign w:val="center"/>
          </w:tcPr>
          <w:p w14:paraId="08DEB127">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地下工程区</w:t>
            </w:r>
          </w:p>
        </w:tc>
        <w:tc>
          <w:tcPr>
            <w:tcW w:w="556" w:type="pct"/>
            <w:vMerge w:val="restart"/>
            <w:vAlign w:val="center"/>
          </w:tcPr>
          <w:p w14:paraId="623ED6B2">
            <w:pPr>
              <w:spacing w:line="240" w:lineRule="auto"/>
              <w:ind w:firstLine="0" w:firstLineChars="0"/>
              <w:jc w:val="center"/>
              <w:rPr>
                <w:color w:val="000000" w:themeColor="text1"/>
                <w:sz w:val="18"/>
                <w:szCs w:val="18"/>
                <w14:textFill>
                  <w14:solidFill>
                    <w14:schemeClr w14:val="tx1"/>
                  </w14:solidFill>
                </w14:textFill>
              </w:rPr>
            </w:pPr>
            <w:r>
              <w:rPr>
                <w:rFonts w:hint="eastAsia" w:ascii="仿宋_GB2312"/>
                <w:color w:val="000000" w:themeColor="text1"/>
                <w:sz w:val="18"/>
                <w:szCs w:val="18"/>
                <w14:textFill>
                  <w14:solidFill>
                    <w14:schemeClr w14:val="tx1"/>
                  </w14:solidFill>
                </w14:textFill>
              </w:rPr>
              <w:t>地下建筑工程区</w:t>
            </w:r>
          </w:p>
        </w:tc>
        <w:tc>
          <w:tcPr>
            <w:tcW w:w="596" w:type="pct"/>
            <w:vMerge w:val="restart"/>
            <w:vAlign w:val="center"/>
          </w:tcPr>
          <w:p w14:paraId="1FBF527B">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临时措施</w:t>
            </w:r>
          </w:p>
        </w:tc>
        <w:tc>
          <w:tcPr>
            <w:tcW w:w="946" w:type="pct"/>
            <w:vAlign w:val="center"/>
          </w:tcPr>
          <w:p w14:paraId="09CBF262">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基坑坑顶截水沟</w:t>
            </w:r>
          </w:p>
        </w:tc>
        <w:tc>
          <w:tcPr>
            <w:tcW w:w="374" w:type="pct"/>
            <w:vAlign w:val="center"/>
          </w:tcPr>
          <w:p w14:paraId="701E47D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m</w:t>
            </w:r>
          </w:p>
        </w:tc>
        <w:tc>
          <w:tcPr>
            <w:tcW w:w="515" w:type="pct"/>
            <w:noWrap/>
            <w:vAlign w:val="center"/>
          </w:tcPr>
          <w:p w14:paraId="54B692FD">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276.3</w:t>
            </w:r>
          </w:p>
        </w:tc>
        <w:tc>
          <w:tcPr>
            <w:tcW w:w="443" w:type="pct"/>
            <w:noWrap/>
            <w:vAlign w:val="center"/>
          </w:tcPr>
          <w:p w14:paraId="7B31E13A">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116</w:t>
            </w:r>
          </w:p>
        </w:tc>
        <w:tc>
          <w:tcPr>
            <w:tcW w:w="554" w:type="pct"/>
            <w:shd w:val="clear" w:color="auto" w:fill="auto"/>
            <w:noWrap/>
            <w:vAlign w:val="center"/>
          </w:tcPr>
          <w:p w14:paraId="439A6ECC">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3.21 </w:t>
            </w:r>
          </w:p>
        </w:tc>
        <w:tc>
          <w:tcPr>
            <w:tcW w:w="586" w:type="pct"/>
            <w:noWrap/>
            <w:vAlign w:val="center"/>
          </w:tcPr>
          <w:p w14:paraId="1699645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1873F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6DAD182A">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56" w:type="pct"/>
            <w:vMerge w:val="continue"/>
            <w:vAlign w:val="center"/>
          </w:tcPr>
          <w:p w14:paraId="248503D6">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96" w:type="pct"/>
            <w:vMerge w:val="continue"/>
          </w:tcPr>
          <w:p w14:paraId="1DF0F6E5">
            <w:pPr>
              <w:pStyle w:val="34"/>
              <w:rPr>
                <w:color w:val="000000" w:themeColor="text1"/>
                <w:szCs w:val="18"/>
                <w14:textFill>
                  <w14:solidFill>
                    <w14:schemeClr w14:val="tx1"/>
                  </w14:solidFill>
                </w14:textFill>
              </w:rPr>
            </w:pPr>
          </w:p>
        </w:tc>
        <w:tc>
          <w:tcPr>
            <w:tcW w:w="946" w:type="pct"/>
            <w:vAlign w:val="center"/>
          </w:tcPr>
          <w:p w14:paraId="403C73FA">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基坑坑顶临时沉沙池</w:t>
            </w:r>
          </w:p>
        </w:tc>
        <w:tc>
          <w:tcPr>
            <w:tcW w:w="374" w:type="pct"/>
            <w:vAlign w:val="center"/>
          </w:tcPr>
          <w:p w14:paraId="6A3A0DEB">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个</w:t>
            </w:r>
          </w:p>
        </w:tc>
        <w:tc>
          <w:tcPr>
            <w:tcW w:w="515" w:type="pct"/>
            <w:noWrap/>
            <w:vAlign w:val="center"/>
          </w:tcPr>
          <w:p w14:paraId="5034D0E1">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2</w:t>
            </w:r>
          </w:p>
        </w:tc>
        <w:tc>
          <w:tcPr>
            <w:tcW w:w="443" w:type="pct"/>
            <w:noWrap/>
            <w:vAlign w:val="center"/>
          </w:tcPr>
          <w:p w14:paraId="153E1FC8">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100</w:t>
            </w:r>
          </w:p>
        </w:tc>
        <w:tc>
          <w:tcPr>
            <w:tcW w:w="554" w:type="pct"/>
            <w:shd w:val="clear" w:color="auto" w:fill="auto"/>
            <w:noWrap/>
            <w:vAlign w:val="center"/>
          </w:tcPr>
          <w:p w14:paraId="0B55FF8B">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0.22 </w:t>
            </w:r>
          </w:p>
        </w:tc>
        <w:tc>
          <w:tcPr>
            <w:tcW w:w="586" w:type="pct"/>
            <w:noWrap/>
          </w:tcPr>
          <w:p w14:paraId="7D3940B3">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3D297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restart"/>
            <w:vAlign w:val="center"/>
          </w:tcPr>
          <w:p w14:paraId="30779A9C">
            <w:pPr>
              <w:widowControl/>
              <w:adjustRightIn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地上工程区</w:t>
            </w:r>
          </w:p>
        </w:tc>
        <w:tc>
          <w:tcPr>
            <w:tcW w:w="556" w:type="pct"/>
            <w:vMerge w:val="restart"/>
            <w:vAlign w:val="center"/>
          </w:tcPr>
          <w:p w14:paraId="5B66051E">
            <w:pPr>
              <w:widowControl/>
              <w:adjustRightIn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建构筑物工程区</w:t>
            </w:r>
          </w:p>
        </w:tc>
        <w:tc>
          <w:tcPr>
            <w:tcW w:w="596" w:type="pct"/>
            <w:vAlign w:val="center"/>
          </w:tcPr>
          <w:p w14:paraId="78DFC93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工程措施</w:t>
            </w:r>
          </w:p>
        </w:tc>
        <w:tc>
          <w:tcPr>
            <w:tcW w:w="946" w:type="pct"/>
            <w:vAlign w:val="center"/>
          </w:tcPr>
          <w:p w14:paraId="713AA69C">
            <w:pPr>
              <w:pStyle w:val="34"/>
              <w:rPr>
                <w:rFonts w:hint="eastAsia" w:eastAsia="仿宋_GB2312"/>
                <w:color w:val="000000" w:themeColor="text1"/>
                <w:szCs w:val="18"/>
                <w:lang w:eastAsia="zh-CN"/>
                <w14:textFill>
                  <w14:solidFill>
                    <w14:schemeClr w14:val="tx1"/>
                  </w14:solidFill>
                </w14:textFill>
              </w:rPr>
            </w:pPr>
            <w:r>
              <w:rPr>
                <w:rFonts w:hint="eastAsia"/>
                <w:color w:val="000000" w:themeColor="text1"/>
                <w:szCs w:val="18"/>
                <w:lang w:eastAsia="zh-CN"/>
                <w14:textFill>
                  <w14:solidFill>
                    <w14:schemeClr w14:val="tx1"/>
                  </w14:solidFill>
                </w14:textFill>
              </w:rPr>
              <w:t>表土剥离</w:t>
            </w:r>
          </w:p>
        </w:tc>
        <w:tc>
          <w:tcPr>
            <w:tcW w:w="374" w:type="pct"/>
            <w:vAlign w:val="center"/>
          </w:tcPr>
          <w:p w14:paraId="4B6B6435">
            <w:pPr>
              <w:pStyle w:val="34"/>
              <w:rPr>
                <w:rFonts w:hint="default" w:eastAsia="仿宋_GB2312"/>
                <w:color w:val="000000" w:themeColor="text1"/>
                <w:szCs w:val="18"/>
                <w:lang w:val="en-US" w:eastAsia="zh-CN"/>
                <w14:textFill>
                  <w14:solidFill>
                    <w14:schemeClr w14:val="tx1"/>
                  </w14:solidFill>
                </w14:textFill>
              </w:rPr>
            </w:pPr>
            <w:r>
              <w:rPr>
                <w:rFonts w:hint="eastAsia"/>
                <w:color w:val="000000" w:themeColor="text1"/>
                <w:szCs w:val="18"/>
                <w:lang w:eastAsia="zh-CN"/>
                <w14:textFill>
                  <w14:solidFill>
                    <w14:schemeClr w14:val="tx1"/>
                  </w14:solidFill>
                </w14:textFill>
              </w:rPr>
              <w:t>万</w:t>
            </w:r>
            <w:r>
              <w:rPr>
                <w:rFonts w:hint="eastAsia"/>
                <w:color w:val="000000" w:themeColor="text1"/>
                <w:szCs w:val="18"/>
                <w:lang w:val="en-US" w:eastAsia="zh-CN"/>
                <w14:textFill>
                  <w14:solidFill>
                    <w14:schemeClr w14:val="tx1"/>
                  </w14:solidFill>
                </w14:textFill>
              </w:rPr>
              <w:t>m</w:t>
            </w:r>
            <w:r>
              <w:rPr>
                <w:rFonts w:hint="eastAsia"/>
                <w:color w:val="000000" w:themeColor="text1"/>
                <w:szCs w:val="18"/>
                <w:vertAlign w:val="superscript"/>
                <w:lang w:val="en-US" w:eastAsia="zh-CN"/>
                <w14:textFill>
                  <w14:solidFill>
                    <w14:schemeClr w14:val="tx1"/>
                  </w14:solidFill>
                </w14:textFill>
              </w:rPr>
              <w:t>3</w:t>
            </w:r>
          </w:p>
        </w:tc>
        <w:tc>
          <w:tcPr>
            <w:tcW w:w="515" w:type="pct"/>
            <w:noWrap/>
            <w:vAlign w:val="center"/>
          </w:tcPr>
          <w:p w14:paraId="1D9F0F12">
            <w:pPr>
              <w:pStyle w:val="34"/>
              <w:rPr>
                <w:rFonts w:hint="default" w:eastAsia="仿宋_GB2312"/>
                <w:color w:val="000000" w:themeColor="text1"/>
                <w:szCs w:val="18"/>
                <w:lang w:val="en-US" w:eastAsia="zh-CN"/>
                <w14:textFill>
                  <w14:solidFill>
                    <w14:schemeClr w14:val="tx1"/>
                  </w14:solidFill>
                </w14:textFill>
              </w:rPr>
            </w:pPr>
            <w:r>
              <w:rPr>
                <w:rFonts w:hint="eastAsia"/>
                <w:color w:val="000000" w:themeColor="text1"/>
                <w:szCs w:val="18"/>
                <w:lang w:val="en-US" w:eastAsia="zh-CN"/>
                <w14:textFill>
                  <w14:solidFill>
                    <w14:schemeClr w14:val="tx1"/>
                  </w14:solidFill>
                </w14:textFill>
              </w:rPr>
              <w:t>0.05</w:t>
            </w:r>
          </w:p>
        </w:tc>
        <w:tc>
          <w:tcPr>
            <w:tcW w:w="443" w:type="pct"/>
            <w:noWrap/>
            <w:vAlign w:val="center"/>
          </w:tcPr>
          <w:p w14:paraId="771CB09A">
            <w:pPr>
              <w:pStyle w:val="34"/>
              <w:rPr>
                <w:rFonts w:hint="eastAsia"/>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55000</w:t>
            </w:r>
          </w:p>
        </w:tc>
        <w:tc>
          <w:tcPr>
            <w:tcW w:w="554" w:type="pct"/>
            <w:shd w:val="clear" w:color="auto" w:fill="auto"/>
            <w:noWrap/>
            <w:vAlign w:val="center"/>
          </w:tcPr>
          <w:p w14:paraId="5F3A853D">
            <w:pPr>
              <w:pStyle w:val="34"/>
              <w:rPr>
                <w:rFonts w:hint="default" w:eastAsia="仿宋_GB2312"/>
                <w:color w:val="000000" w:themeColor="text1"/>
                <w:szCs w:val="18"/>
                <w:lang w:val="en-US" w:eastAsia="zh-CN"/>
                <w14:textFill>
                  <w14:solidFill>
                    <w14:schemeClr w14:val="tx1"/>
                  </w14:solidFill>
                </w14:textFill>
              </w:rPr>
            </w:pPr>
            <w:r>
              <w:rPr>
                <w:rFonts w:hint="eastAsia"/>
                <w:color w:val="000000" w:themeColor="text1"/>
                <w:szCs w:val="18"/>
                <w:lang w:val="en-US" w:eastAsia="zh-CN"/>
                <w14:textFill>
                  <w14:solidFill>
                    <w14:schemeClr w14:val="tx1"/>
                  </w14:solidFill>
                </w14:textFill>
              </w:rPr>
              <w:t>0.275</w:t>
            </w:r>
          </w:p>
        </w:tc>
        <w:tc>
          <w:tcPr>
            <w:tcW w:w="586" w:type="pct"/>
            <w:noWrap/>
          </w:tcPr>
          <w:p w14:paraId="73F5DDE4">
            <w:pPr>
              <w:pStyle w:val="34"/>
              <w:rPr>
                <w:rFonts w:hint="eastAsia" w:eastAsia="仿宋_GB2312"/>
                <w:color w:val="000000" w:themeColor="text1"/>
                <w:szCs w:val="18"/>
                <w:lang w:eastAsia="zh-CN"/>
                <w14:textFill>
                  <w14:solidFill>
                    <w14:schemeClr w14:val="tx1"/>
                  </w14:solidFill>
                </w14:textFill>
              </w:rPr>
            </w:pPr>
            <w:r>
              <w:rPr>
                <w:rFonts w:hint="eastAsia"/>
                <w:color w:val="000000" w:themeColor="text1"/>
                <w:szCs w:val="18"/>
                <w:lang w:eastAsia="zh-CN"/>
                <w14:textFill>
                  <w14:solidFill>
                    <w14:schemeClr w14:val="tx1"/>
                  </w14:solidFill>
                </w14:textFill>
              </w:rPr>
              <w:t>未实施</w:t>
            </w:r>
          </w:p>
        </w:tc>
      </w:tr>
      <w:tr w14:paraId="0E5F9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vAlign w:val="center"/>
          </w:tcPr>
          <w:p w14:paraId="34FC13AC">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56" w:type="pct"/>
            <w:vMerge w:val="continue"/>
            <w:vAlign w:val="center"/>
          </w:tcPr>
          <w:p w14:paraId="458B7544">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96" w:type="pct"/>
            <w:vMerge w:val="restart"/>
            <w:vAlign w:val="center"/>
          </w:tcPr>
          <w:p w14:paraId="121E8BFF">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临时措施</w:t>
            </w:r>
          </w:p>
        </w:tc>
        <w:tc>
          <w:tcPr>
            <w:tcW w:w="946" w:type="pct"/>
            <w:vAlign w:val="center"/>
          </w:tcPr>
          <w:p w14:paraId="38ED6465">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临时排水沟</w:t>
            </w:r>
          </w:p>
        </w:tc>
        <w:tc>
          <w:tcPr>
            <w:tcW w:w="374" w:type="pct"/>
            <w:vAlign w:val="center"/>
          </w:tcPr>
          <w:p w14:paraId="0631375C">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m</w:t>
            </w:r>
          </w:p>
        </w:tc>
        <w:tc>
          <w:tcPr>
            <w:tcW w:w="515" w:type="pct"/>
            <w:noWrap/>
            <w:vAlign w:val="center"/>
          </w:tcPr>
          <w:p w14:paraId="29256E8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358</w:t>
            </w:r>
          </w:p>
        </w:tc>
        <w:tc>
          <w:tcPr>
            <w:tcW w:w="443" w:type="pct"/>
            <w:noWrap/>
            <w:vAlign w:val="center"/>
          </w:tcPr>
          <w:p w14:paraId="1C0E3465">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16</w:t>
            </w:r>
          </w:p>
        </w:tc>
        <w:tc>
          <w:tcPr>
            <w:tcW w:w="554" w:type="pct"/>
            <w:shd w:val="clear" w:color="auto" w:fill="auto"/>
            <w:noWrap/>
            <w:vAlign w:val="center"/>
          </w:tcPr>
          <w:p w14:paraId="67FCCA20">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4.15 </w:t>
            </w:r>
          </w:p>
        </w:tc>
        <w:tc>
          <w:tcPr>
            <w:tcW w:w="586" w:type="pct"/>
            <w:noWrap/>
          </w:tcPr>
          <w:p w14:paraId="67E319BF">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5B1A5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037E31A2">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56" w:type="pct"/>
            <w:vMerge w:val="continue"/>
            <w:vAlign w:val="center"/>
          </w:tcPr>
          <w:p w14:paraId="1B42CA67">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96" w:type="pct"/>
            <w:vMerge w:val="continue"/>
          </w:tcPr>
          <w:p w14:paraId="6C5B8DE2">
            <w:pPr>
              <w:pStyle w:val="34"/>
              <w:rPr>
                <w:color w:val="000000" w:themeColor="text1"/>
                <w:szCs w:val="18"/>
                <w14:textFill>
                  <w14:solidFill>
                    <w14:schemeClr w14:val="tx1"/>
                  </w14:solidFill>
                </w14:textFill>
              </w:rPr>
            </w:pPr>
          </w:p>
        </w:tc>
        <w:tc>
          <w:tcPr>
            <w:tcW w:w="946" w:type="pct"/>
            <w:vAlign w:val="center"/>
          </w:tcPr>
          <w:p w14:paraId="0F5F075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临时沉沙池</w:t>
            </w:r>
          </w:p>
        </w:tc>
        <w:tc>
          <w:tcPr>
            <w:tcW w:w="374" w:type="pct"/>
            <w:vAlign w:val="center"/>
          </w:tcPr>
          <w:p w14:paraId="4BA998B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座</w:t>
            </w:r>
          </w:p>
        </w:tc>
        <w:tc>
          <w:tcPr>
            <w:tcW w:w="515" w:type="pct"/>
            <w:noWrap/>
            <w:vAlign w:val="center"/>
          </w:tcPr>
          <w:p w14:paraId="44541425">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4</w:t>
            </w:r>
          </w:p>
        </w:tc>
        <w:tc>
          <w:tcPr>
            <w:tcW w:w="443" w:type="pct"/>
            <w:noWrap/>
            <w:vAlign w:val="center"/>
          </w:tcPr>
          <w:p w14:paraId="6895B8B7">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100</w:t>
            </w:r>
          </w:p>
        </w:tc>
        <w:tc>
          <w:tcPr>
            <w:tcW w:w="554" w:type="pct"/>
            <w:shd w:val="clear" w:color="auto" w:fill="auto"/>
            <w:noWrap/>
            <w:vAlign w:val="center"/>
          </w:tcPr>
          <w:p w14:paraId="52DC2630">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0.44 </w:t>
            </w:r>
          </w:p>
        </w:tc>
        <w:tc>
          <w:tcPr>
            <w:tcW w:w="586" w:type="pct"/>
            <w:noWrap/>
          </w:tcPr>
          <w:p w14:paraId="62B1D3E1">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17C83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1C0CC87F">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56" w:type="pct"/>
            <w:vMerge w:val="continue"/>
            <w:vAlign w:val="center"/>
          </w:tcPr>
          <w:p w14:paraId="31746364">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96" w:type="pct"/>
            <w:vMerge w:val="continue"/>
          </w:tcPr>
          <w:p w14:paraId="5915B018">
            <w:pPr>
              <w:pStyle w:val="34"/>
              <w:rPr>
                <w:color w:val="000000" w:themeColor="text1"/>
                <w:szCs w:val="18"/>
                <w14:textFill>
                  <w14:solidFill>
                    <w14:schemeClr w14:val="tx1"/>
                  </w14:solidFill>
                </w14:textFill>
              </w:rPr>
            </w:pPr>
          </w:p>
        </w:tc>
        <w:tc>
          <w:tcPr>
            <w:tcW w:w="946" w:type="pct"/>
            <w:vAlign w:val="center"/>
          </w:tcPr>
          <w:p w14:paraId="30116E7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密目网苫盖</w:t>
            </w:r>
          </w:p>
        </w:tc>
        <w:tc>
          <w:tcPr>
            <w:tcW w:w="374" w:type="pct"/>
            <w:vAlign w:val="center"/>
          </w:tcPr>
          <w:p w14:paraId="27C7E50F">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m</w:t>
            </w:r>
            <w:r>
              <w:rPr>
                <w:color w:val="000000" w:themeColor="text1"/>
                <w:szCs w:val="18"/>
                <w:vertAlign w:val="superscript"/>
                <w14:textFill>
                  <w14:solidFill>
                    <w14:schemeClr w14:val="tx1"/>
                  </w14:solidFill>
                </w14:textFill>
              </w:rPr>
              <w:t>2</w:t>
            </w:r>
          </w:p>
        </w:tc>
        <w:tc>
          <w:tcPr>
            <w:tcW w:w="515" w:type="pct"/>
            <w:noWrap/>
            <w:vAlign w:val="center"/>
          </w:tcPr>
          <w:p w14:paraId="3AAB46C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1752</w:t>
            </w:r>
          </w:p>
        </w:tc>
        <w:tc>
          <w:tcPr>
            <w:tcW w:w="443" w:type="pct"/>
            <w:noWrap/>
            <w:vAlign w:val="center"/>
          </w:tcPr>
          <w:p w14:paraId="57C6B0A2">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6</w:t>
            </w:r>
            <w:r>
              <w:rPr>
                <w:color w:val="000000" w:themeColor="text1"/>
                <w:szCs w:val="18"/>
                <w14:textFill>
                  <w14:solidFill>
                    <w14:schemeClr w14:val="tx1"/>
                  </w14:solidFill>
                </w14:textFill>
              </w:rPr>
              <w:t>.62</w:t>
            </w:r>
          </w:p>
        </w:tc>
        <w:tc>
          <w:tcPr>
            <w:tcW w:w="554" w:type="pct"/>
            <w:shd w:val="clear" w:color="auto" w:fill="auto"/>
            <w:noWrap/>
            <w:vAlign w:val="center"/>
          </w:tcPr>
          <w:p w14:paraId="7C73121C">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1.16 </w:t>
            </w:r>
          </w:p>
        </w:tc>
        <w:tc>
          <w:tcPr>
            <w:tcW w:w="586" w:type="pct"/>
            <w:noWrap/>
          </w:tcPr>
          <w:p w14:paraId="658AC583">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366C3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28" w:type="pct"/>
            <w:vMerge w:val="continue"/>
          </w:tcPr>
          <w:p w14:paraId="7606AAC7">
            <w:pPr>
              <w:pStyle w:val="34"/>
              <w:rPr>
                <w:color w:val="000000" w:themeColor="text1"/>
                <w:szCs w:val="18"/>
                <w14:textFill>
                  <w14:solidFill>
                    <w14:schemeClr w14:val="tx1"/>
                  </w14:solidFill>
                </w14:textFill>
              </w:rPr>
            </w:pPr>
          </w:p>
        </w:tc>
        <w:tc>
          <w:tcPr>
            <w:tcW w:w="556" w:type="pct"/>
            <w:vMerge w:val="restart"/>
            <w:vAlign w:val="center"/>
          </w:tcPr>
          <w:p w14:paraId="78D28C1A">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场内道路、地面停车场及硬化工程</w:t>
            </w:r>
            <w:r>
              <w:rPr>
                <w:color w:val="000000" w:themeColor="text1"/>
                <w:szCs w:val="18"/>
                <w14:textFill>
                  <w14:solidFill>
                    <w14:schemeClr w14:val="tx1"/>
                  </w14:solidFill>
                </w14:textFill>
              </w:rPr>
              <w:t>区</w:t>
            </w:r>
          </w:p>
        </w:tc>
        <w:tc>
          <w:tcPr>
            <w:tcW w:w="596" w:type="pct"/>
            <w:vMerge w:val="restart"/>
            <w:vAlign w:val="center"/>
          </w:tcPr>
          <w:p w14:paraId="4055AC5E">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工程措施</w:t>
            </w:r>
          </w:p>
        </w:tc>
        <w:tc>
          <w:tcPr>
            <w:tcW w:w="946" w:type="pct"/>
            <w:shd w:val="clear" w:color="auto" w:fill="auto"/>
            <w:noWrap/>
            <w:vAlign w:val="center"/>
          </w:tcPr>
          <w:p w14:paraId="31C273C8">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表土剥离</w:t>
            </w:r>
          </w:p>
        </w:tc>
        <w:tc>
          <w:tcPr>
            <w:tcW w:w="374" w:type="pct"/>
            <w:shd w:val="clear" w:color="auto" w:fill="auto"/>
            <w:noWrap/>
            <w:vAlign w:val="center"/>
          </w:tcPr>
          <w:p w14:paraId="0BE08D23">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万</w:t>
            </w:r>
            <w:r>
              <w:rPr>
                <w:rFonts w:hint="eastAsia"/>
                <w:color w:val="000000" w:themeColor="text1"/>
                <w:szCs w:val="18"/>
                <w:lang w:val="en-US" w:eastAsia="zh-CN"/>
                <w14:textFill>
                  <w14:solidFill>
                    <w14:schemeClr w14:val="tx1"/>
                  </w14:solidFill>
                </w14:textFill>
              </w:rPr>
              <w:t>m</w:t>
            </w:r>
            <w:r>
              <w:rPr>
                <w:rFonts w:hint="eastAsia"/>
                <w:color w:val="000000" w:themeColor="text1"/>
                <w:szCs w:val="18"/>
                <w:vertAlign w:val="superscript"/>
                <w:lang w:val="en-US" w:eastAsia="zh-CN"/>
                <w14:textFill>
                  <w14:solidFill>
                    <w14:schemeClr w14:val="tx1"/>
                  </w14:solidFill>
                </w14:textFill>
              </w:rPr>
              <w:t>3</w:t>
            </w:r>
          </w:p>
        </w:tc>
        <w:tc>
          <w:tcPr>
            <w:tcW w:w="515" w:type="pct"/>
            <w:shd w:val="clear" w:color="auto" w:fill="auto"/>
            <w:noWrap/>
            <w:vAlign w:val="center"/>
          </w:tcPr>
          <w:p w14:paraId="40932426">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0.05</w:t>
            </w:r>
          </w:p>
        </w:tc>
        <w:tc>
          <w:tcPr>
            <w:tcW w:w="443" w:type="pct"/>
            <w:shd w:val="clear" w:color="auto" w:fill="auto"/>
            <w:noWrap/>
            <w:vAlign w:val="center"/>
          </w:tcPr>
          <w:p w14:paraId="67DE94A1">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55000</w:t>
            </w:r>
          </w:p>
        </w:tc>
        <w:tc>
          <w:tcPr>
            <w:tcW w:w="554" w:type="pct"/>
            <w:shd w:val="clear" w:color="auto" w:fill="auto"/>
            <w:noWrap/>
            <w:vAlign w:val="center"/>
          </w:tcPr>
          <w:p w14:paraId="60F8C19F">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0.275</w:t>
            </w:r>
          </w:p>
        </w:tc>
        <w:tc>
          <w:tcPr>
            <w:tcW w:w="586" w:type="pct"/>
            <w:shd w:val="clear" w:color="auto" w:fill="auto"/>
            <w:noWrap/>
            <w:vAlign w:val="top"/>
          </w:tcPr>
          <w:p w14:paraId="4228E87F">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未实施</w:t>
            </w:r>
          </w:p>
        </w:tc>
      </w:tr>
      <w:tr w14:paraId="5D802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28" w:type="pct"/>
            <w:vMerge w:val="continue"/>
          </w:tcPr>
          <w:p w14:paraId="70145C29">
            <w:pPr>
              <w:pStyle w:val="34"/>
              <w:rPr>
                <w:color w:val="000000" w:themeColor="text1"/>
                <w:szCs w:val="18"/>
                <w14:textFill>
                  <w14:solidFill>
                    <w14:schemeClr w14:val="tx1"/>
                  </w14:solidFill>
                </w14:textFill>
              </w:rPr>
            </w:pPr>
          </w:p>
        </w:tc>
        <w:tc>
          <w:tcPr>
            <w:tcW w:w="556" w:type="pct"/>
            <w:vMerge w:val="continue"/>
            <w:vAlign w:val="center"/>
          </w:tcPr>
          <w:p w14:paraId="161A2215">
            <w:pPr>
              <w:pStyle w:val="34"/>
              <w:rPr>
                <w:color w:val="000000" w:themeColor="text1"/>
                <w:szCs w:val="18"/>
                <w14:textFill>
                  <w14:solidFill>
                    <w14:schemeClr w14:val="tx1"/>
                  </w14:solidFill>
                </w14:textFill>
              </w:rPr>
            </w:pPr>
          </w:p>
        </w:tc>
        <w:tc>
          <w:tcPr>
            <w:tcW w:w="596" w:type="pct"/>
            <w:vMerge w:val="continue"/>
            <w:vAlign w:val="center"/>
          </w:tcPr>
          <w:p w14:paraId="6948C81B">
            <w:pPr>
              <w:pStyle w:val="34"/>
              <w:rPr>
                <w:color w:val="000000" w:themeColor="text1"/>
                <w:szCs w:val="18"/>
                <w14:textFill>
                  <w14:solidFill>
                    <w14:schemeClr w14:val="tx1"/>
                  </w14:solidFill>
                </w14:textFill>
              </w:rPr>
            </w:pPr>
          </w:p>
        </w:tc>
        <w:tc>
          <w:tcPr>
            <w:tcW w:w="946" w:type="pct"/>
            <w:shd w:val="clear" w:color="auto" w:fill="auto"/>
            <w:noWrap/>
            <w:vAlign w:val="center"/>
          </w:tcPr>
          <w:p w14:paraId="6F257D9F">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DN</w:t>
            </w:r>
            <w:r>
              <w:rPr>
                <w:rFonts w:hint="eastAsia"/>
                <w:color w:val="000000" w:themeColor="text1"/>
                <w:szCs w:val="18"/>
                <w14:textFill>
                  <w14:solidFill>
                    <w14:schemeClr w14:val="tx1"/>
                  </w14:solidFill>
                </w14:textFill>
              </w:rPr>
              <w:t>150</w:t>
            </w:r>
            <w:r>
              <w:rPr>
                <w:color w:val="000000" w:themeColor="text1"/>
                <w:szCs w:val="18"/>
                <w14:textFill>
                  <w14:solidFill>
                    <w14:schemeClr w14:val="tx1"/>
                  </w14:solidFill>
                </w14:textFill>
              </w:rPr>
              <w:t>雨水管</w:t>
            </w:r>
          </w:p>
        </w:tc>
        <w:tc>
          <w:tcPr>
            <w:tcW w:w="374" w:type="pct"/>
            <w:shd w:val="clear" w:color="auto" w:fill="auto"/>
            <w:noWrap/>
            <w:vAlign w:val="center"/>
          </w:tcPr>
          <w:p w14:paraId="70D509F3">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m</w:t>
            </w:r>
          </w:p>
        </w:tc>
        <w:tc>
          <w:tcPr>
            <w:tcW w:w="515" w:type="pct"/>
            <w:shd w:val="clear" w:color="auto" w:fill="auto"/>
            <w:noWrap/>
            <w:vAlign w:val="center"/>
          </w:tcPr>
          <w:p w14:paraId="60A81C61">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25.04</w:t>
            </w:r>
          </w:p>
        </w:tc>
        <w:tc>
          <w:tcPr>
            <w:tcW w:w="443" w:type="pct"/>
            <w:shd w:val="clear" w:color="auto" w:fill="auto"/>
            <w:noWrap/>
            <w:vAlign w:val="center"/>
          </w:tcPr>
          <w:p w14:paraId="1C4AB5F8">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150</w:t>
            </w:r>
          </w:p>
        </w:tc>
        <w:tc>
          <w:tcPr>
            <w:tcW w:w="554" w:type="pct"/>
            <w:shd w:val="clear" w:color="auto" w:fill="auto"/>
            <w:noWrap/>
            <w:vAlign w:val="center"/>
          </w:tcPr>
          <w:p w14:paraId="50F23513">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0.38 </w:t>
            </w:r>
          </w:p>
        </w:tc>
        <w:tc>
          <w:tcPr>
            <w:tcW w:w="586" w:type="pct"/>
            <w:shd w:val="clear" w:color="auto" w:fill="auto"/>
            <w:noWrap/>
            <w:vAlign w:val="center"/>
          </w:tcPr>
          <w:p w14:paraId="7B64D9D1">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5E059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28" w:type="pct"/>
            <w:vMerge w:val="continue"/>
          </w:tcPr>
          <w:p w14:paraId="63BAE17C">
            <w:pPr>
              <w:pStyle w:val="34"/>
              <w:rPr>
                <w:color w:val="000000" w:themeColor="text1"/>
                <w:szCs w:val="18"/>
                <w14:textFill>
                  <w14:solidFill>
                    <w14:schemeClr w14:val="tx1"/>
                  </w14:solidFill>
                </w14:textFill>
              </w:rPr>
            </w:pPr>
          </w:p>
        </w:tc>
        <w:tc>
          <w:tcPr>
            <w:tcW w:w="556" w:type="pct"/>
            <w:vMerge w:val="continue"/>
            <w:vAlign w:val="center"/>
          </w:tcPr>
          <w:p w14:paraId="58208183">
            <w:pPr>
              <w:pStyle w:val="34"/>
              <w:rPr>
                <w:color w:val="000000" w:themeColor="text1"/>
                <w:szCs w:val="18"/>
                <w14:textFill>
                  <w14:solidFill>
                    <w14:schemeClr w14:val="tx1"/>
                  </w14:solidFill>
                </w14:textFill>
              </w:rPr>
            </w:pPr>
          </w:p>
        </w:tc>
        <w:tc>
          <w:tcPr>
            <w:tcW w:w="596" w:type="pct"/>
            <w:vMerge w:val="continue"/>
            <w:vAlign w:val="center"/>
          </w:tcPr>
          <w:p w14:paraId="721558BA">
            <w:pPr>
              <w:pStyle w:val="34"/>
              <w:rPr>
                <w:color w:val="000000" w:themeColor="text1"/>
                <w:szCs w:val="18"/>
                <w14:textFill>
                  <w14:solidFill>
                    <w14:schemeClr w14:val="tx1"/>
                  </w14:solidFill>
                </w14:textFill>
              </w:rPr>
            </w:pPr>
          </w:p>
        </w:tc>
        <w:tc>
          <w:tcPr>
            <w:tcW w:w="946" w:type="pct"/>
            <w:shd w:val="clear" w:color="auto" w:fill="auto"/>
            <w:noWrap/>
            <w:vAlign w:val="center"/>
          </w:tcPr>
          <w:p w14:paraId="37F9C51E">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DN300雨水管</w:t>
            </w:r>
          </w:p>
        </w:tc>
        <w:tc>
          <w:tcPr>
            <w:tcW w:w="374" w:type="pct"/>
            <w:shd w:val="clear" w:color="auto" w:fill="auto"/>
            <w:noWrap/>
            <w:vAlign w:val="center"/>
          </w:tcPr>
          <w:p w14:paraId="040BD8F5">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m</w:t>
            </w:r>
          </w:p>
        </w:tc>
        <w:tc>
          <w:tcPr>
            <w:tcW w:w="515" w:type="pct"/>
            <w:shd w:val="clear" w:color="auto" w:fill="auto"/>
            <w:noWrap/>
            <w:vAlign w:val="center"/>
          </w:tcPr>
          <w:p w14:paraId="558EE64D">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494.51</w:t>
            </w:r>
          </w:p>
        </w:tc>
        <w:tc>
          <w:tcPr>
            <w:tcW w:w="443" w:type="pct"/>
            <w:shd w:val="clear" w:color="auto" w:fill="auto"/>
            <w:noWrap/>
            <w:vAlign w:val="center"/>
          </w:tcPr>
          <w:p w14:paraId="6625F3C2">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380</w:t>
            </w:r>
          </w:p>
        </w:tc>
        <w:tc>
          <w:tcPr>
            <w:tcW w:w="554" w:type="pct"/>
            <w:shd w:val="clear" w:color="auto" w:fill="auto"/>
            <w:noWrap/>
            <w:vAlign w:val="center"/>
          </w:tcPr>
          <w:p w14:paraId="590546DF">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18.79 </w:t>
            </w:r>
          </w:p>
        </w:tc>
        <w:tc>
          <w:tcPr>
            <w:tcW w:w="586" w:type="pct"/>
            <w:shd w:val="clear" w:color="auto" w:fill="auto"/>
            <w:noWrap/>
            <w:vAlign w:val="center"/>
          </w:tcPr>
          <w:p w14:paraId="3A7CBA58">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67B9F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28" w:type="pct"/>
            <w:vMerge w:val="continue"/>
          </w:tcPr>
          <w:p w14:paraId="17EF491B">
            <w:pPr>
              <w:pStyle w:val="34"/>
              <w:rPr>
                <w:color w:val="000000" w:themeColor="text1"/>
                <w:szCs w:val="18"/>
                <w14:textFill>
                  <w14:solidFill>
                    <w14:schemeClr w14:val="tx1"/>
                  </w14:solidFill>
                </w14:textFill>
              </w:rPr>
            </w:pPr>
          </w:p>
        </w:tc>
        <w:tc>
          <w:tcPr>
            <w:tcW w:w="556" w:type="pct"/>
            <w:vMerge w:val="continue"/>
            <w:vAlign w:val="center"/>
          </w:tcPr>
          <w:p w14:paraId="51D45E22">
            <w:pPr>
              <w:pStyle w:val="34"/>
              <w:rPr>
                <w:color w:val="000000" w:themeColor="text1"/>
                <w:szCs w:val="18"/>
                <w14:textFill>
                  <w14:solidFill>
                    <w14:schemeClr w14:val="tx1"/>
                  </w14:solidFill>
                </w14:textFill>
              </w:rPr>
            </w:pPr>
          </w:p>
        </w:tc>
        <w:tc>
          <w:tcPr>
            <w:tcW w:w="596" w:type="pct"/>
            <w:vMerge w:val="continue"/>
            <w:noWrap/>
            <w:vAlign w:val="center"/>
          </w:tcPr>
          <w:p w14:paraId="5B2C2993">
            <w:pPr>
              <w:pStyle w:val="34"/>
              <w:rPr>
                <w:color w:val="000000" w:themeColor="text1"/>
                <w:szCs w:val="18"/>
                <w14:textFill>
                  <w14:solidFill>
                    <w14:schemeClr w14:val="tx1"/>
                  </w14:solidFill>
                </w14:textFill>
              </w:rPr>
            </w:pPr>
          </w:p>
        </w:tc>
        <w:tc>
          <w:tcPr>
            <w:tcW w:w="946" w:type="pct"/>
            <w:shd w:val="clear" w:color="auto" w:fill="auto"/>
            <w:noWrap/>
            <w:vAlign w:val="center"/>
          </w:tcPr>
          <w:p w14:paraId="4843C378">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雨水口</w:t>
            </w:r>
          </w:p>
        </w:tc>
        <w:tc>
          <w:tcPr>
            <w:tcW w:w="374" w:type="pct"/>
            <w:shd w:val="clear" w:color="auto" w:fill="auto"/>
            <w:noWrap/>
            <w:vAlign w:val="center"/>
          </w:tcPr>
          <w:p w14:paraId="6AAEAEFA">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个</w:t>
            </w:r>
          </w:p>
        </w:tc>
        <w:tc>
          <w:tcPr>
            <w:tcW w:w="515" w:type="pct"/>
            <w:shd w:val="clear" w:color="auto" w:fill="auto"/>
            <w:noWrap/>
            <w:vAlign w:val="center"/>
          </w:tcPr>
          <w:p w14:paraId="4A7BAB99">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17</w:t>
            </w:r>
          </w:p>
        </w:tc>
        <w:tc>
          <w:tcPr>
            <w:tcW w:w="443" w:type="pct"/>
            <w:shd w:val="clear" w:color="auto" w:fill="auto"/>
            <w:noWrap/>
            <w:vAlign w:val="center"/>
          </w:tcPr>
          <w:p w14:paraId="0572F350">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650</w:t>
            </w:r>
          </w:p>
        </w:tc>
        <w:tc>
          <w:tcPr>
            <w:tcW w:w="554" w:type="pct"/>
            <w:shd w:val="clear" w:color="auto" w:fill="auto"/>
            <w:noWrap/>
            <w:vAlign w:val="center"/>
          </w:tcPr>
          <w:p w14:paraId="25ECF8AA">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1.11 </w:t>
            </w:r>
          </w:p>
        </w:tc>
        <w:tc>
          <w:tcPr>
            <w:tcW w:w="586" w:type="pct"/>
            <w:shd w:val="clear" w:color="auto" w:fill="auto"/>
            <w:noWrap/>
            <w:vAlign w:val="center"/>
          </w:tcPr>
          <w:p w14:paraId="0F0C58DE">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62A00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28" w:type="pct"/>
            <w:vMerge w:val="continue"/>
          </w:tcPr>
          <w:p w14:paraId="65689456">
            <w:pPr>
              <w:pStyle w:val="34"/>
              <w:rPr>
                <w:color w:val="000000" w:themeColor="text1"/>
                <w:szCs w:val="18"/>
                <w14:textFill>
                  <w14:solidFill>
                    <w14:schemeClr w14:val="tx1"/>
                  </w14:solidFill>
                </w14:textFill>
              </w:rPr>
            </w:pPr>
          </w:p>
        </w:tc>
        <w:tc>
          <w:tcPr>
            <w:tcW w:w="556" w:type="pct"/>
            <w:vMerge w:val="continue"/>
            <w:vAlign w:val="center"/>
          </w:tcPr>
          <w:p w14:paraId="780F8AE5">
            <w:pPr>
              <w:pStyle w:val="34"/>
              <w:rPr>
                <w:color w:val="000000" w:themeColor="text1"/>
                <w:szCs w:val="18"/>
                <w14:textFill>
                  <w14:solidFill>
                    <w14:schemeClr w14:val="tx1"/>
                  </w14:solidFill>
                </w14:textFill>
              </w:rPr>
            </w:pPr>
          </w:p>
        </w:tc>
        <w:tc>
          <w:tcPr>
            <w:tcW w:w="596" w:type="pct"/>
            <w:vMerge w:val="continue"/>
            <w:noWrap/>
            <w:vAlign w:val="center"/>
          </w:tcPr>
          <w:p w14:paraId="0750635D">
            <w:pPr>
              <w:pStyle w:val="34"/>
              <w:rPr>
                <w:color w:val="000000" w:themeColor="text1"/>
                <w:szCs w:val="18"/>
                <w14:textFill>
                  <w14:solidFill>
                    <w14:schemeClr w14:val="tx1"/>
                  </w14:solidFill>
                </w14:textFill>
              </w:rPr>
            </w:pPr>
          </w:p>
        </w:tc>
        <w:tc>
          <w:tcPr>
            <w:tcW w:w="946" w:type="pct"/>
            <w:shd w:val="clear" w:color="auto" w:fill="auto"/>
            <w:noWrap/>
            <w:vAlign w:val="center"/>
          </w:tcPr>
          <w:p w14:paraId="3200971D">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雨水蓄水池</w:t>
            </w:r>
          </w:p>
        </w:tc>
        <w:tc>
          <w:tcPr>
            <w:tcW w:w="374" w:type="pct"/>
            <w:shd w:val="clear" w:color="auto" w:fill="auto"/>
            <w:noWrap/>
            <w:vAlign w:val="center"/>
          </w:tcPr>
          <w:p w14:paraId="5BB21371">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个</w:t>
            </w:r>
          </w:p>
        </w:tc>
        <w:tc>
          <w:tcPr>
            <w:tcW w:w="515" w:type="pct"/>
            <w:shd w:val="clear" w:color="auto" w:fill="auto"/>
            <w:noWrap/>
            <w:vAlign w:val="center"/>
          </w:tcPr>
          <w:p w14:paraId="59A0C312">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w:t>
            </w:r>
          </w:p>
        </w:tc>
        <w:tc>
          <w:tcPr>
            <w:tcW w:w="443" w:type="pct"/>
            <w:shd w:val="clear" w:color="auto" w:fill="auto"/>
            <w:noWrap/>
            <w:vAlign w:val="center"/>
          </w:tcPr>
          <w:p w14:paraId="07686E65">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16000</w:t>
            </w:r>
          </w:p>
        </w:tc>
        <w:tc>
          <w:tcPr>
            <w:tcW w:w="554" w:type="pct"/>
            <w:shd w:val="clear" w:color="auto" w:fill="auto"/>
            <w:noWrap/>
            <w:vAlign w:val="center"/>
          </w:tcPr>
          <w:p w14:paraId="4C5FDEE6">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1.60 </w:t>
            </w:r>
          </w:p>
        </w:tc>
        <w:tc>
          <w:tcPr>
            <w:tcW w:w="586" w:type="pct"/>
            <w:shd w:val="clear" w:color="auto" w:fill="auto"/>
            <w:noWrap/>
            <w:vAlign w:val="center"/>
          </w:tcPr>
          <w:p w14:paraId="14F6FEF7">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62451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28" w:type="pct"/>
            <w:vMerge w:val="continue"/>
          </w:tcPr>
          <w:p w14:paraId="2F852322">
            <w:pPr>
              <w:pStyle w:val="34"/>
              <w:rPr>
                <w:color w:val="000000" w:themeColor="text1"/>
                <w:szCs w:val="18"/>
                <w14:textFill>
                  <w14:solidFill>
                    <w14:schemeClr w14:val="tx1"/>
                  </w14:solidFill>
                </w14:textFill>
              </w:rPr>
            </w:pPr>
          </w:p>
        </w:tc>
        <w:tc>
          <w:tcPr>
            <w:tcW w:w="556" w:type="pct"/>
            <w:vMerge w:val="continue"/>
            <w:vAlign w:val="center"/>
          </w:tcPr>
          <w:p w14:paraId="21A19D0E">
            <w:pPr>
              <w:pStyle w:val="34"/>
              <w:rPr>
                <w:color w:val="000000" w:themeColor="text1"/>
                <w:szCs w:val="18"/>
                <w14:textFill>
                  <w14:solidFill>
                    <w14:schemeClr w14:val="tx1"/>
                  </w14:solidFill>
                </w14:textFill>
              </w:rPr>
            </w:pPr>
          </w:p>
        </w:tc>
        <w:tc>
          <w:tcPr>
            <w:tcW w:w="596" w:type="pct"/>
            <w:vAlign w:val="center"/>
          </w:tcPr>
          <w:p w14:paraId="5012E36C">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临时措施</w:t>
            </w:r>
          </w:p>
        </w:tc>
        <w:tc>
          <w:tcPr>
            <w:tcW w:w="946" w:type="pct"/>
            <w:shd w:val="clear" w:color="auto" w:fill="auto"/>
            <w:noWrap/>
            <w:vAlign w:val="center"/>
          </w:tcPr>
          <w:p w14:paraId="7FAB8F0E">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洗车设施</w:t>
            </w:r>
          </w:p>
        </w:tc>
        <w:tc>
          <w:tcPr>
            <w:tcW w:w="374" w:type="pct"/>
            <w:shd w:val="clear" w:color="auto" w:fill="auto"/>
            <w:noWrap/>
            <w:vAlign w:val="center"/>
          </w:tcPr>
          <w:p w14:paraId="739C10B5">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套</w:t>
            </w:r>
          </w:p>
        </w:tc>
        <w:tc>
          <w:tcPr>
            <w:tcW w:w="515" w:type="pct"/>
            <w:shd w:val="clear" w:color="auto" w:fill="auto"/>
            <w:noWrap/>
            <w:vAlign w:val="center"/>
          </w:tcPr>
          <w:p w14:paraId="4539DD13">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w:t>
            </w:r>
          </w:p>
        </w:tc>
        <w:tc>
          <w:tcPr>
            <w:tcW w:w="443" w:type="pct"/>
            <w:shd w:val="clear" w:color="auto" w:fill="auto"/>
            <w:noWrap/>
            <w:vAlign w:val="center"/>
          </w:tcPr>
          <w:p w14:paraId="57E2FC57">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1000</w:t>
            </w:r>
          </w:p>
        </w:tc>
        <w:tc>
          <w:tcPr>
            <w:tcW w:w="554" w:type="pct"/>
            <w:shd w:val="clear" w:color="auto" w:fill="auto"/>
            <w:noWrap/>
            <w:vAlign w:val="center"/>
          </w:tcPr>
          <w:p w14:paraId="39F778A9">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1.10 </w:t>
            </w:r>
          </w:p>
        </w:tc>
        <w:tc>
          <w:tcPr>
            <w:tcW w:w="586" w:type="pct"/>
            <w:shd w:val="clear" w:color="auto" w:fill="auto"/>
            <w:noWrap/>
            <w:vAlign w:val="center"/>
          </w:tcPr>
          <w:p w14:paraId="65DCCA2D">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09FB7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0FB401C5">
            <w:pPr>
              <w:pStyle w:val="34"/>
              <w:rPr>
                <w:color w:val="000000" w:themeColor="text1"/>
                <w:szCs w:val="18"/>
                <w14:textFill>
                  <w14:solidFill>
                    <w14:schemeClr w14:val="tx1"/>
                  </w14:solidFill>
                </w14:textFill>
              </w:rPr>
            </w:pPr>
          </w:p>
        </w:tc>
        <w:tc>
          <w:tcPr>
            <w:tcW w:w="556" w:type="pct"/>
            <w:vMerge w:val="restart"/>
            <w:vAlign w:val="center"/>
          </w:tcPr>
          <w:p w14:paraId="07B4A32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绿化工程区</w:t>
            </w:r>
          </w:p>
        </w:tc>
        <w:tc>
          <w:tcPr>
            <w:tcW w:w="596" w:type="pct"/>
            <w:vAlign w:val="center"/>
          </w:tcPr>
          <w:p w14:paraId="37E3FF0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工程措施</w:t>
            </w:r>
          </w:p>
        </w:tc>
        <w:tc>
          <w:tcPr>
            <w:tcW w:w="946" w:type="pct"/>
            <w:shd w:val="clear" w:color="auto" w:fill="auto"/>
            <w:noWrap/>
            <w:vAlign w:val="center"/>
          </w:tcPr>
          <w:p w14:paraId="40BBDD60">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绿化覆土</w:t>
            </w:r>
          </w:p>
        </w:tc>
        <w:tc>
          <w:tcPr>
            <w:tcW w:w="374" w:type="pct"/>
            <w:shd w:val="clear" w:color="auto" w:fill="auto"/>
            <w:noWrap/>
            <w:vAlign w:val="center"/>
          </w:tcPr>
          <w:p w14:paraId="0228954E">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万</w:t>
            </w:r>
            <w:r>
              <w:rPr>
                <w:rFonts w:hint="eastAsia"/>
                <w:color w:val="000000" w:themeColor="text1"/>
                <w:szCs w:val="18"/>
                <w:lang w:val="en-US" w:eastAsia="zh-CN"/>
                <w14:textFill>
                  <w14:solidFill>
                    <w14:schemeClr w14:val="tx1"/>
                  </w14:solidFill>
                </w14:textFill>
              </w:rPr>
              <w:t>m</w:t>
            </w:r>
            <w:r>
              <w:rPr>
                <w:rFonts w:hint="eastAsia"/>
                <w:color w:val="000000" w:themeColor="text1"/>
                <w:szCs w:val="18"/>
                <w:vertAlign w:val="superscript"/>
                <w:lang w:val="en-US" w:eastAsia="zh-CN"/>
                <w14:textFill>
                  <w14:solidFill>
                    <w14:schemeClr w14:val="tx1"/>
                  </w14:solidFill>
                </w14:textFill>
              </w:rPr>
              <w:t>3</w:t>
            </w:r>
          </w:p>
        </w:tc>
        <w:tc>
          <w:tcPr>
            <w:tcW w:w="515" w:type="pct"/>
            <w:shd w:val="clear" w:color="auto" w:fill="auto"/>
            <w:noWrap/>
            <w:vAlign w:val="center"/>
          </w:tcPr>
          <w:p w14:paraId="69F47440">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0.10</w:t>
            </w:r>
          </w:p>
        </w:tc>
        <w:tc>
          <w:tcPr>
            <w:tcW w:w="443" w:type="pct"/>
            <w:shd w:val="clear" w:color="auto" w:fill="auto"/>
            <w:noWrap/>
            <w:vAlign w:val="center"/>
          </w:tcPr>
          <w:p w14:paraId="621CADD1">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89000</w:t>
            </w:r>
          </w:p>
        </w:tc>
        <w:tc>
          <w:tcPr>
            <w:tcW w:w="554" w:type="pct"/>
            <w:shd w:val="clear" w:color="auto" w:fill="auto"/>
            <w:noWrap/>
            <w:vAlign w:val="center"/>
          </w:tcPr>
          <w:p w14:paraId="0145115B">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0.89</w:t>
            </w:r>
          </w:p>
        </w:tc>
        <w:tc>
          <w:tcPr>
            <w:tcW w:w="586" w:type="pct"/>
            <w:shd w:val="clear" w:color="auto" w:fill="auto"/>
            <w:noWrap/>
            <w:vAlign w:val="top"/>
          </w:tcPr>
          <w:p w14:paraId="51B78F26">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未实施</w:t>
            </w:r>
          </w:p>
        </w:tc>
      </w:tr>
      <w:tr w14:paraId="2F8A2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0FE020F6">
            <w:pPr>
              <w:pStyle w:val="34"/>
              <w:rPr>
                <w:color w:val="000000" w:themeColor="text1"/>
                <w:szCs w:val="18"/>
                <w14:textFill>
                  <w14:solidFill>
                    <w14:schemeClr w14:val="tx1"/>
                  </w14:solidFill>
                </w14:textFill>
              </w:rPr>
            </w:pPr>
          </w:p>
        </w:tc>
        <w:tc>
          <w:tcPr>
            <w:tcW w:w="556" w:type="pct"/>
            <w:vMerge w:val="continue"/>
            <w:vAlign w:val="center"/>
          </w:tcPr>
          <w:p w14:paraId="15ED8AD1">
            <w:pPr>
              <w:pStyle w:val="34"/>
              <w:rPr>
                <w:color w:val="000000" w:themeColor="text1"/>
                <w:szCs w:val="18"/>
                <w14:textFill>
                  <w14:solidFill>
                    <w14:schemeClr w14:val="tx1"/>
                  </w14:solidFill>
                </w14:textFill>
              </w:rPr>
            </w:pPr>
          </w:p>
        </w:tc>
        <w:tc>
          <w:tcPr>
            <w:tcW w:w="596" w:type="pct"/>
            <w:vMerge w:val="restart"/>
            <w:vAlign w:val="center"/>
          </w:tcPr>
          <w:p w14:paraId="6CBB24C2">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植物措施</w:t>
            </w:r>
          </w:p>
        </w:tc>
        <w:tc>
          <w:tcPr>
            <w:tcW w:w="946" w:type="pct"/>
            <w:shd w:val="clear" w:color="auto" w:fill="auto"/>
            <w:noWrap/>
            <w:vAlign w:val="center"/>
          </w:tcPr>
          <w:p w14:paraId="064EB194">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景观</w:t>
            </w:r>
            <w:r>
              <w:rPr>
                <w:color w:val="000000" w:themeColor="text1"/>
                <w:szCs w:val="18"/>
                <w14:textFill>
                  <w14:solidFill>
                    <w14:schemeClr w14:val="tx1"/>
                  </w14:solidFill>
                </w14:textFill>
              </w:rPr>
              <w:t>绿化</w:t>
            </w:r>
          </w:p>
        </w:tc>
        <w:tc>
          <w:tcPr>
            <w:tcW w:w="374" w:type="pct"/>
            <w:shd w:val="clear" w:color="auto" w:fill="auto"/>
            <w:noWrap/>
            <w:vAlign w:val="center"/>
          </w:tcPr>
          <w:p w14:paraId="4EAD25D5">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m</w:t>
            </w:r>
            <w:r>
              <w:rPr>
                <w:rFonts w:hint="eastAsia"/>
                <w:color w:val="000000" w:themeColor="text1"/>
                <w:szCs w:val="18"/>
                <w:vertAlign w:val="superscript"/>
                <w14:textFill>
                  <w14:solidFill>
                    <w14:schemeClr w14:val="tx1"/>
                  </w14:solidFill>
                </w14:textFill>
              </w:rPr>
              <w:t>2</w:t>
            </w:r>
          </w:p>
        </w:tc>
        <w:tc>
          <w:tcPr>
            <w:tcW w:w="515" w:type="pct"/>
            <w:shd w:val="clear" w:color="auto" w:fill="auto"/>
            <w:noWrap/>
            <w:vAlign w:val="center"/>
          </w:tcPr>
          <w:p w14:paraId="631561B4">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1201.12</w:t>
            </w:r>
          </w:p>
        </w:tc>
        <w:tc>
          <w:tcPr>
            <w:tcW w:w="443" w:type="pct"/>
            <w:shd w:val="clear" w:color="auto" w:fill="auto"/>
            <w:noWrap/>
            <w:vAlign w:val="center"/>
          </w:tcPr>
          <w:p w14:paraId="35909106">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400</w:t>
            </w:r>
          </w:p>
        </w:tc>
        <w:tc>
          <w:tcPr>
            <w:tcW w:w="554" w:type="pct"/>
            <w:shd w:val="clear" w:color="auto" w:fill="auto"/>
            <w:noWrap/>
            <w:vAlign w:val="center"/>
          </w:tcPr>
          <w:p w14:paraId="3C3DD229">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48.04 </w:t>
            </w:r>
          </w:p>
        </w:tc>
        <w:tc>
          <w:tcPr>
            <w:tcW w:w="586" w:type="pct"/>
            <w:shd w:val="clear" w:color="auto" w:fill="auto"/>
            <w:noWrap/>
            <w:vAlign w:val="center"/>
          </w:tcPr>
          <w:p w14:paraId="0B73E395">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51FF3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751FDC5B">
            <w:pPr>
              <w:pStyle w:val="34"/>
              <w:rPr>
                <w:color w:val="000000" w:themeColor="text1"/>
                <w:szCs w:val="18"/>
                <w14:textFill>
                  <w14:solidFill>
                    <w14:schemeClr w14:val="tx1"/>
                  </w14:solidFill>
                </w14:textFill>
              </w:rPr>
            </w:pPr>
          </w:p>
        </w:tc>
        <w:tc>
          <w:tcPr>
            <w:tcW w:w="556" w:type="pct"/>
            <w:vMerge w:val="continue"/>
            <w:vAlign w:val="center"/>
          </w:tcPr>
          <w:p w14:paraId="42F0CE0E">
            <w:pPr>
              <w:pStyle w:val="34"/>
              <w:rPr>
                <w:color w:val="000000" w:themeColor="text1"/>
                <w:szCs w:val="18"/>
                <w14:textFill>
                  <w14:solidFill>
                    <w14:schemeClr w14:val="tx1"/>
                  </w14:solidFill>
                </w14:textFill>
              </w:rPr>
            </w:pPr>
          </w:p>
        </w:tc>
        <w:tc>
          <w:tcPr>
            <w:tcW w:w="596" w:type="pct"/>
            <w:vMerge w:val="continue"/>
            <w:vAlign w:val="center"/>
          </w:tcPr>
          <w:p w14:paraId="4A4C5140">
            <w:pPr>
              <w:pStyle w:val="34"/>
              <w:rPr>
                <w:color w:val="000000" w:themeColor="text1"/>
                <w:szCs w:val="18"/>
                <w14:textFill>
                  <w14:solidFill>
                    <w14:schemeClr w14:val="tx1"/>
                  </w14:solidFill>
                </w14:textFill>
              </w:rPr>
            </w:pPr>
          </w:p>
        </w:tc>
        <w:tc>
          <w:tcPr>
            <w:tcW w:w="946" w:type="pct"/>
            <w:shd w:val="clear" w:color="auto" w:fill="auto"/>
            <w:noWrap/>
            <w:vAlign w:val="center"/>
          </w:tcPr>
          <w:p w14:paraId="620D8605">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植草沟</w:t>
            </w:r>
          </w:p>
        </w:tc>
        <w:tc>
          <w:tcPr>
            <w:tcW w:w="374" w:type="pct"/>
            <w:shd w:val="clear" w:color="auto" w:fill="auto"/>
            <w:noWrap/>
            <w:vAlign w:val="center"/>
          </w:tcPr>
          <w:p w14:paraId="171936F9">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m</w:t>
            </w:r>
            <w:r>
              <w:rPr>
                <w:rFonts w:hint="eastAsia"/>
                <w:color w:val="000000" w:themeColor="text1"/>
                <w:szCs w:val="18"/>
                <w:vertAlign w:val="superscript"/>
                <w14:textFill>
                  <w14:solidFill>
                    <w14:schemeClr w14:val="tx1"/>
                  </w14:solidFill>
                </w14:textFill>
              </w:rPr>
              <w:t>2</w:t>
            </w:r>
          </w:p>
        </w:tc>
        <w:tc>
          <w:tcPr>
            <w:tcW w:w="515" w:type="pct"/>
            <w:shd w:val="clear" w:color="auto" w:fill="auto"/>
            <w:noWrap/>
            <w:vAlign w:val="center"/>
          </w:tcPr>
          <w:p w14:paraId="1630BA54">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173.04</w:t>
            </w:r>
          </w:p>
        </w:tc>
        <w:tc>
          <w:tcPr>
            <w:tcW w:w="443" w:type="pct"/>
            <w:shd w:val="clear" w:color="auto" w:fill="auto"/>
            <w:noWrap/>
            <w:vAlign w:val="center"/>
          </w:tcPr>
          <w:p w14:paraId="7E5C9FCC">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8</w:t>
            </w:r>
            <w:r>
              <w:rPr>
                <w:color w:val="000000" w:themeColor="text1"/>
                <w:szCs w:val="18"/>
                <w14:textFill>
                  <w14:solidFill>
                    <w14:schemeClr w14:val="tx1"/>
                  </w14:solidFill>
                </w14:textFill>
              </w:rPr>
              <w:t>0</w:t>
            </w:r>
          </w:p>
        </w:tc>
        <w:tc>
          <w:tcPr>
            <w:tcW w:w="554" w:type="pct"/>
            <w:shd w:val="clear" w:color="auto" w:fill="auto"/>
            <w:noWrap/>
            <w:vAlign w:val="center"/>
          </w:tcPr>
          <w:p w14:paraId="30EEEB7D">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1.38 </w:t>
            </w:r>
          </w:p>
        </w:tc>
        <w:tc>
          <w:tcPr>
            <w:tcW w:w="586" w:type="pct"/>
            <w:shd w:val="clear" w:color="auto" w:fill="auto"/>
            <w:noWrap/>
            <w:vAlign w:val="center"/>
          </w:tcPr>
          <w:p w14:paraId="427630B5">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23A9E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tcPr>
          <w:p w14:paraId="3BC61A7E">
            <w:pPr>
              <w:pStyle w:val="34"/>
              <w:rPr>
                <w:color w:val="000000" w:themeColor="text1"/>
                <w:szCs w:val="18"/>
                <w14:textFill>
                  <w14:solidFill>
                    <w14:schemeClr w14:val="tx1"/>
                  </w14:solidFill>
                </w14:textFill>
              </w:rPr>
            </w:pPr>
          </w:p>
        </w:tc>
        <w:tc>
          <w:tcPr>
            <w:tcW w:w="2098" w:type="pct"/>
            <w:gridSpan w:val="3"/>
            <w:vAlign w:val="center"/>
          </w:tcPr>
          <w:p w14:paraId="39F31E54">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合计</w:t>
            </w:r>
          </w:p>
        </w:tc>
        <w:tc>
          <w:tcPr>
            <w:tcW w:w="374" w:type="pct"/>
            <w:noWrap/>
            <w:vAlign w:val="center"/>
          </w:tcPr>
          <w:p w14:paraId="3EDF4C17">
            <w:pPr>
              <w:pStyle w:val="34"/>
              <w:rPr>
                <w:color w:val="000000" w:themeColor="text1"/>
                <w:szCs w:val="18"/>
                <w14:textFill>
                  <w14:solidFill>
                    <w14:schemeClr w14:val="tx1"/>
                  </w14:solidFill>
                </w14:textFill>
              </w:rPr>
            </w:pPr>
          </w:p>
        </w:tc>
        <w:tc>
          <w:tcPr>
            <w:tcW w:w="515" w:type="pct"/>
            <w:noWrap/>
            <w:vAlign w:val="center"/>
          </w:tcPr>
          <w:p w14:paraId="1776E473">
            <w:pPr>
              <w:pStyle w:val="34"/>
              <w:rPr>
                <w:color w:val="000000" w:themeColor="text1"/>
                <w:szCs w:val="18"/>
                <w14:textFill>
                  <w14:solidFill>
                    <w14:schemeClr w14:val="tx1"/>
                  </w14:solidFill>
                </w14:textFill>
              </w:rPr>
            </w:pPr>
          </w:p>
        </w:tc>
        <w:tc>
          <w:tcPr>
            <w:tcW w:w="443" w:type="pct"/>
            <w:noWrap/>
            <w:vAlign w:val="center"/>
          </w:tcPr>
          <w:p w14:paraId="4726DE4D">
            <w:pPr>
              <w:pStyle w:val="34"/>
              <w:rPr>
                <w:b/>
                <w:bCs/>
                <w:color w:val="000000" w:themeColor="text1"/>
                <w:szCs w:val="18"/>
                <w14:textFill>
                  <w14:solidFill>
                    <w14:schemeClr w14:val="tx1"/>
                  </w14:solidFill>
                </w14:textFill>
              </w:rPr>
            </w:pPr>
          </w:p>
        </w:tc>
        <w:tc>
          <w:tcPr>
            <w:tcW w:w="554" w:type="pct"/>
            <w:noWrap/>
            <w:vAlign w:val="center"/>
          </w:tcPr>
          <w:p w14:paraId="392B1799">
            <w:pPr>
              <w:widowControl/>
              <w:ind w:firstLine="0" w:firstLineChars="0"/>
              <w:jc w:val="center"/>
              <w:textAlignment w:val="center"/>
              <w:rPr>
                <w:rFonts w:hint="eastAsia" w:eastAsia="仿宋_GB2312"/>
                <w:b/>
                <w:bCs/>
                <w:color w:val="000000" w:themeColor="text1"/>
                <w:sz w:val="18"/>
                <w:szCs w:val="18"/>
                <w:lang w:eastAsia="zh-CN"/>
                <w14:textFill>
                  <w14:solidFill>
                    <w14:schemeClr w14:val="tx1"/>
                  </w14:solidFill>
                </w14:textFill>
              </w:rPr>
            </w:pPr>
            <w:r>
              <w:rPr>
                <w:rFonts w:hint="eastAsia" w:eastAsia="宋体" w:cs="Times New Roman"/>
                <w:b/>
                <w:bCs/>
                <w:color w:val="000000"/>
                <w:kern w:val="0"/>
                <w:sz w:val="18"/>
                <w:szCs w:val="18"/>
                <w:lang w:eastAsia="zh-CN" w:bidi="ar"/>
              </w:rPr>
              <w:t>83.03</w:t>
            </w:r>
          </w:p>
        </w:tc>
        <w:tc>
          <w:tcPr>
            <w:tcW w:w="586" w:type="pct"/>
            <w:noWrap/>
            <w:vAlign w:val="center"/>
          </w:tcPr>
          <w:p w14:paraId="45352A70">
            <w:pPr>
              <w:pStyle w:val="34"/>
              <w:rPr>
                <w:color w:val="000000" w:themeColor="text1"/>
                <w:szCs w:val="18"/>
                <w14:textFill>
                  <w14:solidFill>
                    <w14:schemeClr w14:val="tx1"/>
                  </w14:solidFill>
                </w14:textFill>
              </w:rPr>
            </w:pPr>
          </w:p>
        </w:tc>
      </w:tr>
      <w:bookmarkEnd w:id="91"/>
    </w:tbl>
    <w:p w14:paraId="48F891F9">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针对主体工程设计对水土保持措施考虑不足，本方案需补充</w:t>
      </w:r>
      <w:r>
        <w:rPr>
          <w:rFonts w:hint="eastAsia"/>
          <w:snapToGrid w:val="0"/>
          <w:color w:val="000000" w:themeColor="text1"/>
          <w14:textFill>
            <w14:solidFill>
              <w14:schemeClr w14:val="tx1"/>
            </w14:solidFill>
          </w14:textFill>
        </w:rPr>
        <w:t>抚育管理、密目网苫盖、土地整治等</w:t>
      </w:r>
      <w:r>
        <w:rPr>
          <w:snapToGrid w:val="0"/>
          <w:color w:val="000000" w:themeColor="text1"/>
          <w14:textFill>
            <w14:solidFill>
              <w14:schemeClr w14:val="tx1"/>
            </w14:solidFill>
          </w14:textFill>
        </w:rPr>
        <w:t>水土保持措施。</w:t>
      </w:r>
    </w:p>
    <w:p w14:paraId="0304CD69">
      <w:pPr>
        <w:pStyle w:val="4"/>
        <w:tabs>
          <w:tab w:val="left" w:pos="720"/>
        </w:tabs>
        <w:rPr>
          <w:color w:val="000000" w:themeColor="text1"/>
          <w:szCs w:val="22"/>
          <w14:textFill>
            <w14:solidFill>
              <w14:schemeClr w14:val="tx1"/>
            </w14:solidFill>
          </w14:textFill>
        </w:rPr>
      </w:pPr>
      <w:r>
        <w:rPr>
          <w:color w:val="000000" w:themeColor="text1"/>
          <w:szCs w:val="22"/>
          <w14:textFill>
            <w14:solidFill>
              <w14:schemeClr w14:val="tx1"/>
            </w14:solidFill>
          </w14:textFill>
        </w:rPr>
        <w:t>3.3.3结论</w:t>
      </w:r>
      <w:r>
        <w:rPr>
          <w:rFonts w:hint="eastAsia"/>
          <w:color w:val="000000" w:themeColor="text1"/>
          <w:szCs w:val="22"/>
          <w14:textFill>
            <w14:solidFill>
              <w14:schemeClr w14:val="tx1"/>
            </w14:solidFill>
          </w14:textFill>
        </w:rPr>
        <w:t>及建议</w:t>
      </w:r>
    </w:p>
    <w:p w14:paraId="6A48E15A">
      <w:pPr>
        <w:pStyle w:val="5"/>
        <w:tabs>
          <w:tab w:val="left" w:pos="864"/>
        </w:tabs>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.3.3.1</w:t>
      </w:r>
      <w:r>
        <w:rPr>
          <w:rFonts w:hint="eastAsia"/>
          <w:color w:val="000000" w:themeColor="text1"/>
          <w14:textFill>
            <w14:solidFill>
              <w14:schemeClr w14:val="tx1"/>
            </w14:solidFill>
          </w14:textFill>
        </w:rPr>
        <w:t>结论</w:t>
      </w:r>
    </w:p>
    <w:p w14:paraId="08FA19FC">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项目建设符合国家产业政策，不属于泥石流易发区、崩塌滑坡危险区及易引起严重水土流失和生态恶化的区域；不属于全国水土保持监测网络中的水土保持监测站点和重点试验区；不属于生态脆弱区、沙丘区；本项目建设不影响重要江河、湖泊水功能一级保护区和保留区内的水质，也不影响水功能二级区饮用水源区的水质；主体工程布置及施工布置上不占用国家基本农田保护区。</w:t>
      </w:r>
    </w:p>
    <w:p w14:paraId="7DC38C52">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通过对主体工程方案的总体布置、施工布置、施工组织设计、施工工艺的分析与评价，主体工程在设计和工程布置时将减少工程占地、减少扰动面积、维护生态环境等因素作为设计的重点之一。主体工程总体布置、施工布置等方面都充分考虑了水土保持的要求，并在工程设计中采取了一定的水土保持措施，从设计上体现了水土保持理念，从源头上减少了水土流失及其危害。</w:t>
      </w:r>
    </w:p>
    <w:p w14:paraId="51EB1355">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为保证工程建设，主体工程设计采取工程措施、植物措施</w:t>
      </w:r>
      <w:r>
        <w:rPr>
          <w:rFonts w:hint="eastAsia"/>
          <w:snapToGrid w:val="0"/>
          <w:color w:val="000000" w:themeColor="text1"/>
          <w14:textFill>
            <w14:solidFill>
              <w14:schemeClr w14:val="tx1"/>
            </w14:solidFill>
          </w14:textFill>
        </w:rPr>
        <w:t>、临时措施</w:t>
      </w:r>
      <w:r>
        <w:rPr>
          <w:snapToGrid w:val="0"/>
          <w:color w:val="000000" w:themeColor="text1"/>
          <w14:textFill>
            <w14:solidFill>
              <w14:schemeClr w14:val="tx1"/>
            </w14:solidFill>
          </w14:textFill>
        </w:rPr>
        <w:t>，虽然其主观目的是为工程建设服务，但客观上起到了防止施工过程中的水土流失和对其裸露迹地的覆盖、防护效果。</w:t>
      </w:r>
      <w:r>
        <w:rPr>
          <w:rFonts w:hint="eastAsia"/>
          <w:snapToGrid w:val="0"/>
          <w:color w:val="000000" w:themeColor="text1"/>
          <w14:textFill>
            <w14:solidFill>
              <w14:schemeClr w14:val="tx1"/>
            </w14:solidFill>
          </w14:textFill>
        </w:rPr>
        <w:t>例如，</w:t>
      </w:r>
      <w:r>
        <w:rPr>
          <w:snapToGrid w:val="0"/>
          <w:color w:val="000000" w:themeColor="text1"/>
          <w14:textFill>
            <w14:solidFill>
              <w14:schemeClr w14:val="tx1"/>
            </w14:solidFill>
          </w14:textFill>
        </w:rPr>
        <w:t>主体工程设计中</w:t>
      </w:r>
      <w:r>
        <w:rPr>
          <w:rFonts w:hint="eastAsia"/>
          <w:snapToGrid w:val="0"/>
          <w:color w:val="000000" w:themeColor="text1"/>
          <w14:textFill>
            <w14:solidFill>
              <w14:schemeClr w14:val="tx1"/>
            </w14:solidFill>
          </w14:textFill>
        </w:rPr>
        <w:t>的雨水管网、透水铺装、洗车设施、乔灌绿化等具有水土保持功能，</w:t>
      </w:r>
      <w:r>
        <w:rPr>
          <w:snapToGrid w:val="0"/>
          <w:color w:val="000000" w:themeColor="text1"/>
          <w14:textFill>
            <w14:solidFill>
              <w14:schemeClr w14:val="tx1"/>
            </w14:solidFill>
          </w14:textFill>
        </w:rPr>
        <w:t>满足水土保持规范要求，纳入水土保持方案总体布局中，能有效预防和防治水土流失。</w:t>
      </w:r>
    </w:p>
    <w:p w14:paraId="4251934C">
      <w:pPr>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根据现场调查和查阅主体设计资料，主体工程设计方案中采取了一定的水土保持措施，这些措施有效地降低了项目建设过程中的水土流失，本方案补充完善措施体系后，可满足水土保持要求。</w:t>
      </w:r>
    </w:p>
    <w:p w14:paraId="4E8CA845">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因此，从水土保持角度看，本项目建设是可行的。</w:t>
      </w:r>
    </w:p>
    <w:p w14:paraId="05203ADC">
      <w:pPr>
        <w:pStyle w:val="5"/>
        <w:tabs>
          <w:tab w:val="left" w:pos="864"/>
        </w:tabs>
        <w:spacing w:before="78"/>
        <w:rPr>
          <w:color w:val="000000" w:themeColor="text1"/>
          <w14:textFill>
            <w14:solidFill>
              <w14:schemeClr w14:val="tx1"/>
            </w14:solidFill>
          </w14:textFill>
        </w:rPr>
      </w:pPr>
      <w:r>
        <w:rPr>
          <w:color w:val="000000" w:themeColor="text1"/>
          <w14:textFill>
            <w14:solidFill>
              <w14:schemeClr w14:val="tx1"/>
            </w14:solidFill>
          </w14:textFill>
        </w:rPr>
        <w:t>3.3.3.2建议</w:t>
      </w:r>
    </w:p>
    <w:p w14:paraId="407EAA97">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为减少工程建设引起的水土流失，针对本项目主体设计中的不足之处提出以下要求：</w:t>
      </w:r>
    </w:p>
    <w:p w14:paraId="56634430">
      <w:pPr>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r>
        <w:rPr>
          <w:snapToGrid w:val="0"/>
          <w:color w:val="000000" w:themeColor="text1"/>
          <w14:textFill>
            <w14:solidFill>
              <w14:schemeClr w14:val="tx1"/>
            </w14:solidFill>
          </w14:textFill>
        </w:rPr>
        <w:t>合理安排施工时序，尽量避免雨天施工。如施工进度要求较紧，雨天施工难以避免的，应采取切实有效措施加强水土流失的防治工作；</w:t>
      </w:r>
    </w:p>
    <w:p w14:paraId="393BBD67">
      <w:pPr>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2、</w:t>
      </w:r>
      <w:r>
        <w:rPr>
          <w:snapToGrid w:val="0"/>
          <w:color w:val="000000" w:themeColor="text1"/>
          <w14:textFill>
            <w14:solidFill>
              <w14:schemeClr w14:val="tx1"/>
            </w14:solidFill>
          </w14:textFill>
        </w:rPr>
        <w:t>加强施工管理，在保证工程质量前进下，尽快加快施工进度，尤其是缩短土建施工期，减少地表裸露时间；</w:t>
      </w:r>
    </w:p>
    <w:p w14:paraId="43DDFBB3">
      <w:pPr>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3、</w:t>
      </w:r>
      <w:r>
        <w:rPr>
          <w:snapToGrid w:val="0"/>
          <w:color w:val="000000" w:themeColor="text1"/>
          <w14:textFill>
            <w14:solidFill>
              <w14:schemeClr w14:val="tx1"/>
            </w14:solidFill>
          </w14:textFill>
        </w:rPr>
        <w:t>根据工程建设实际，尽可能提前实施植物措施，让植物措施尽早发挥作用。</w:t>
      </w:r>
    </w:p>
    <w:p w14:paraId="360DCF5B">
      <w:pPr>
        <w:ind w:firstLine="480"/>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为落实工程中各项具有水土保持功能的措施，保证工程建设稳定、安全运行，减轻水土流失量，本方案建议主体工程在下一步的设计中，进一步完善工程建设的施工工艺及施工组织内容。建议及时对所采取的水土保持临时措施、工程措施及植物措施全面设计，形成综合的水土流失防治体系，全面防治新增的水土流失。</w:t>
      </w:r>
    </w:p>
    <w:p w14:paraId="7DBA11D8">
      <w:pPr>
        <w:ind w:firstLine="480"/>
        <w:jc w:val="left"/>
        <w:rPr>
          <w:snapToGrid w:val="0"/>
          <w:color w:val="000000" w:themeColor="text1"/>
          <w14:textFill>
            <w14:solidFill>
              <w14:schemeClr w14:val="tx1"/>
            </w14:solidFill>
          </w14:textFill>
        </w:rPr>
        <w:sectPr>
          <w:headerReference r:id="rId21" w:type="default"/>
          <w:headerReference r:id="rId22" w:type="even"/>
          <w:pgSz w:w="11906" w:h="16838"/>
          <w:pgMar w:top="1440" w:right="1800" w:bottom="1440" w:left="1800" w:header="851" w:footer="992" w:gutter="0"/>
          <w:cols w:space="425" w:num="1"/>
          <w:docGrid w:type="lines" w:linePitch="312" w:charSpace="0"/>
        </w:sectPr>
      </w:pPr>
      <w:r>
        <w:rPr>
          <w:snapToGrid w:val="0"/>
          <w:color w:val="000000" w:themeColor="text1"/>
          <w14:textFill>
            <w14:solidFill>
              <w14:schemeClr w14:val="tx1"/>
            </w14:solidFill>
          </w14:textFill>
        </w:rPr>
        <w:t>建议</w:t>
      </w:r>
      <w:r>
        <w:rPr>
          <w:rFonts w:hint="eastAsia"/>
          <w:snapToGrid w:val="0"/>
          <w:color w:val="000000" w:themeColor="text1"/>
          <w14:textFill>
            <w14:solidFill>
              <w14:schemeClr w14:val="tx1"/>
            </w14:solidFill>
          </w14:textFill>
        </w:rPr>
        <w:t>建设单位</w:t>
      </w:r>
      <w:r>
        <w:rPr>
          <w:snapToGrid w:val="0"/>
          <w:color w:val="000000" w:themeColor="text1"/>
          <w14:textFill>
            <w14:solidFill>
              <w14:schemeClr w14:val="tx1"/>
            </w14:solidFill>
          </w14:textFill>
        </w:rPr>
        <w:t>根据水行政主管部门批复的水土保持方案的要求，尽快介入水土保持监理和监测工作，施工单位严格按照方案实施水土保持工程措施，并对已实施水土保持措施进行巡查，查缺补漏，加强管护工作。</w:t>
      </w:r>
    </w:p>
    <w:p w14:paraId="72BC006F">
      <w:pPr>
        <w:pStyle w:val="2"/>
        <w:rPr>
          <w:color w:val="000000" w:themeColor="text1"/>
          <w14:textFill>
            <w14:solidFill>
              <w14:schemeClr w14:val="tx1"/>
            </w14:solidFill>
          </w14:textFill>
        </w:rPr>
      </w:pPr>
      <w:bookmarkStart w:id="92" w:name="_Toc25902"/>
      <w:r>
        <w:rPr>
          <w:rFonts w:hint="eastAsia"/>
          <w:color w:val="000000" w:themeColor="text1"/>
          <w14:textFill>
            <w14:solidFill>
              <w14:schemeClr w14:val="tx1"/>
            </w14:solidFill>
          </w14:textFill>
        </w:rPr>
        <w:t>4水土流失分析与调查预测</w:t>
      </w:r>
      <w:bookmarkEnd w:id="92"/>
    </w:p>
    <w:p w14:paraId="3169A513">
      <w:pPr>
        <w:pStyle w:val="3"/>
        <w:rPr>
          <w:color w:val="000000" w:themeColor="text1"/>
          <w14:textFill>
            <w14:solidFill>
              <w14:schemeClr w14:val="tx1"/>
            </w14:solidFill>
          </w14:textFill>
        </w:rPr>
      </w:pPr>
      <w:bookmarkStart w:id="93" w:name="_Toc2049"/>
      <w:r>
        <w:rPr>
          <w:rFonts w:hint="eastAsia"/>
          <w:color w:val="000000" w:themeColor="text1"/>
          <w14:textFill>
            <w14:solidFill>
              <w14:schemeClr w14:val="tx1"/>
            </w14:solidFill>
          </w14:textFill>
        </w:rPr>
        <w:t>4.1水土流失现状</w:t>
      </w:r>
      <w:bookmarkEnd w:id="93"/>
    </w:p>
    <w:p w14:paraId="3CEEA265">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4.1.1水土流失类型</w:t>
      </w:r>
    </w:p>
    <w:p w14:paraId="29D8C406">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本项目位于</w:t>
      </w:r>
      <w:r>
        <w:rPr>
          <w:rFonts w:hint="eastAsia" w:cs="Times New Roman"/>
          <w:color w:val="000000" w:themeColor="text1"/>
          <w14:textFill>
            <w14:solidFill>
              <w14:schemeClr w14:val="tx1"/>
            </w14:solidFill>
          </w14:textFill>
        </w:rPr>
        <w:t>四川省绵阳市高新区，按照《土壤侵蚀分类分级标准》（SL190-2007）关于全国土壤侵蚀类型区的划分，项目所在区域地处西南土石山区，水土流失类型主要为水力侵蚀，项目区夏季降雨集中，主要集中于5~9月，雨季降雨强度大，易发生</w:t>
      </w:r>
      <w:r>
        <w:rPr>
          <w:rFonts w:hint="eastAsia"/>
          <w:color w:val="000000" w:themeColor="text1"/>
          <w14:textFill>
            <w14:solidFill>
              <w14:schemeClr w14:val="tx1"/>
            </w14:solidFill>
          </w14:textFill>
        </w:rPr>
        <w:t>面蚀、片蚀、细沟侵蚀和浅沟侵蚀等。项目区容许土壤流失量为500t/km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·a。</w:t>
      </w:r>
    </w:p>
    <w:p w14:paraId="7BE4F105">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4.1.2 水土流失强度</w:t>
      </w:r>
    </w:p>
    <w:p w14:paraId="18FF3AAA">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4.1.2.1 区域水土流失现状</w:t>
      </w:r>
    </w:p>
    <w:p w14:paraId="127A4A53">
      <w:pPr>
        <w:ind w:firstLine="480"/>
        <w:rPr>
          <w:color w:val="000000" w:themeColor="text1"/>
          <w14:textFill>
            <w14:solidFill>
              <w14:schemeClr w14:val="tx1"/>
            </w14:solidFill>
          </w14:textFill>
        </w:rPr>
      </w:pPr>
      <w:r>
        <w:rPr>
          <w:rFonts w:hint="eastAsia"/>
          <w:color w:val="000000" w:themeColor="text1"/>
          <w:highlight w:val="none"/>
          <w14:textFill>
            <w14:solidFill>
              <w14:schemeClr w14:val="tx1"/>
            </w14:solidFill>
          </w14:textFill>
        </w:rPr>
        <w:t>项目所在区域高新区永兴镇原行</w:t>
      </w:r>
      <w:r>
        <w:rPr>
          <w:rFonts w:hint="eastAsia"/>
          <w:color w:val="000000" w:themeColor="text1"/>
          <w14:textFill>
            <w14:solidFill>
              <w14:schemeClr w14:val="tx1"/>
            </w14:solidFill>
          </w14:textFill>
        </w:rPr>
        <w:t>政区划属绵阳市涪城区，根据四川省2020年水土流失动态监测数据（涪城区），涪城区水土流失面积98.81km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，其中轻度流失面积为73.87km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、中度流失面积为18.97km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、强烈流失面积为4.51km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、极强烈流失面积为1.56km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，剧烈流失面积为0.05km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78821F5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土壤侵蚀强度以轻度为主，容许土壤流失量为</w:t>
      </w:r>
      <w:r>
        <w:rPr>
          <w:color w:val="000000" w:themeColor="text1"/>
          <w14:textFill>
            <w14:solidFill>
              <w14:schemeClr w14:val="tx1"/>
            </w14:solidFill>
          </w14:textFill>
        </w:rPr>
        <w:t>500t/km²·a</w:t>
      </w:r>
      <w:r>
        <w:rPr>
          <w:rFonts w:hint="eastAsia"/>
          <w:color w:val="000000" w:themeColor="text1"/>
          <w14:textFill>
            <w14:solidFill>
              <w14:schemeClr w14:val="tx1"/>
            </w14:solidFill>
          </w14:textFill>
        </w:rPr>
        <w:t>。</w:t>
      </w:r>
    </w:p>
    <w:p w14:paraId="32F8B6CD">
      <w:pPr>
        <w:pStyle w:val="33"/>
        <w:jc w:val="center"/>
        <w:rPr>
          <w:color w:val="000000" w:themeColor="text1"/>
          <w:vertAlign w:val="superscript"/>
          <w14:textFill>
            <w14:solidFill>
              <w14:schemeClr w14:val="tx1"/>
            </w14:solidFill>
          </w14:textFill>
        </w:rPr>
      </w:pPr>
      <w:r>
        <w:rPr>
          <w:rFonts w:hint="eastAsia"/>
          <w:color w:val="000000" w:themeColor="text1"/>
          <w14:textFill>
            <w14:solidFill>
              <w14:schemeClr w14:val="tx1"/>
            </w14:solidFill>
          </w14:textFill>
        </w:rPr>
        <w:t xml:space="preserve">表4.1-1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涪城区水土流失面积统计表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单位：km</w:t>
      </w:r>
      <w:r>
        <w:rPr>
          <w:rFonts w:hint="eastAsia"/>
          <w:color w:val="000000" w:themeColor="text1"/>
          <w:vertAlign w:val="superscript"/>
          <w14:textFill>
            <w14:solidFill>
              <w14:schemeClr w14:val="tx1"/>
            </w14:solidFill>
          </w14:textFill>
        </w:rPr>
        <w:t>2</w:t>
      </w:r>
    </w:p>
    <w:tbl>
      <w:tblPr>
        <w:tblStyle w:val="26"/>
        <w:tblW w:w="5013" w:type="pct"/>
        <w:jc w:val="center"/>
        <w:shd w:val="clear" w:color="auto" w:fill="FFFFFF" w:themeFill="background1"/>
        <w:tblLayout w:type="autofit"/>
        <w:tblCellMar>
          <w:top w:w="0" w:type="dxa"/>
          <w:left w:w="108" w:type="dxa"/>
          <w:bottom w:w="0" w:type="dxa"/>
          <w:right w:w="108" w:type="dxa"/>
        </w:tblCellMar>
      </w:tblPr>
      <w:tblGrid>
        <w:gridCol w:w="771"/>
        <w:gridCol w:w="711"/>
        <w:gridCol w:w="709"/>
        <w:gridCol w:w="779"/>
        <w:gridCol w:w="621"/>
        <w:gridCol w:w="772"/>
        <w:gridCol w:w="615"/>
        <w:gridCol w:w="726"/>
        <w:gridCol w:w="531"/>
        <w:gridCol w:w="971"/>
        <w:gridCol w:w="612"/>
        <w:gridCol w:w="726"/>
      </w:tblGrid>
      <w:tr w14:paraId="5F2C5047">
        <w:tblPrEx>
          <w:shd w:val="clear" w:color="auto" w:fill="FFFFFF" w:themeFill="background1"/>
          <w:tblCellMar>
            <w:top w:w="0" w:type="dxa"/>
            <w:left w:w="108" w:type="dxa"/>
            <w:bottom w:w="0" w:type="dxa"/>
            <w:right w:w="108" w:type="dxa"/>
          </w:tblCellMar>
        </w:tblPrEx>
        <w:trPr>
          <w:trHeight w:val="262" w:hRule="atLeast"/>
          <w:jc w:val="center"/>
        </w:trPr>
        <w:tc>
          <w:tcPr>
            <w:tcW w:w="452" w:type="pct"/>
            <w:vMerge w:val="restart"/>
            <w:tcBorders>
              <w:top w:val="single" w:color="000000" w:sz="4" w:space="0"/>
              <w:left w:val="single" w:color="000000" w:sz="4" w:space="0"/>
              <w:right w:val="single" w:color="000000" w:sz="4" w:space="0"/>
            </w:tcBorders>
            <w:shd w:val="clear" w:color="auto" w:fill="FFFFFF" w:themeFill="background1"/>
            <w:vAlign w:val="center"/>
          </w:tcPr>
          <w:p w14:paraId="0A89B5DC">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行政区</w:t>
            </w:r>
          </w:p>
        </w:tc>
        <w:tc>
          <w:tcPr>
            <w:tcW w:w="416" w:type="pct"/>
            <w:vMerge w:val="restart"/>
            <w:tcBorders>
              <w:top w:val="single" w:color="000000" w:sz="4" w:space="0"/>
              <w:left w:val="nil"/>
              <w:bottom w:val="single" w:color="000000" w:sz="4" w:space="0"/>
              <w:right w:val="single" w:color="000000" w:sz="4" w:space="0"/>
            </w:tcBorders>
            <w:shd w:val="clear" w:color="auto" w:fill="FFFFFF" w:themeFill="background1"/>
            <w:vAlign w:val="center"/>
          </w:tcPr>
          <w:p w14:paraId="6012752A">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合计</w:t>
            </w:r>
          </w:p>
        </w:tc>
        <w:tc>
          <w:tcPr>
            <w:tcW w:w="871" w:type="pct"/>
            <w:gridSpan w:val="2"/>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F25A799">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轻度水力侵蚀</w:t>
            </w:r>
          </w:p>
        </w:tc>
        <w:tc>
          <w:tcPr>
            <w:tcW w:w="815" w:type="pct"/>
            <w:gridSpan w:val="2"/>
            <w:tcBorders>
              <w:top w:val="single" w:color="000000" w:sz="4" w:space="0"/>
              <w:left w:val="nil"/>
              <w:bottom w:val="single" w:color="000000" w:sz="4" w:space="0"/>
              <w:right w:val="single" w:color="000000" w:sz="4" w:space="0"/>
            </w:tcBorders>
            <w:shd w:val="clear" w:color="auto" w:fill="FFFFFF" w:themeFill="background1"/>
            <w:vAlign w:val="center"/>
          </w:tcPr>
          <w:p w14:paraId="229B5C2B">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中度水力侵蚀</w:t>
            </w:r>
          </w:p>
        </w:tc>
        <w:tc>
          <w:tcPr>
            <w:tcW w:w="785" w:type="pct"/>
            <w:gridSpan w:val="2"/>
            <w:tcBorders>
              <w:top w:val="single" w:color="000000" w:sz="4" w:space="0"/>
              <w:left w:val="nil"/>
              <w:bottom w:val="single" w:color="000000" w:sz="4" w:space="0"/>
              <w:right w:val="single" w:color="000000" w:sz="4" w:space="0"/>
            </w:tcBorders>
            <w:shd w:val="clear" w:color="auto" w:fill="FFFFFF" w:themeFill="background1"/>
            <w:vAlign w:val="center"/>
          </w:tcPr>
          <w:p w14:paraId="3D2BB151">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强烈水力侵蚀</w:t>
            </w:r>
          </w:p>
        </w:tc>
        <w:tc>
          <w:tcPr>
            <w:tcW w:w="879" w:type="pct"/>
            <w:gridSpan w:val="2"/>
            <w:tcBorders>
              <w:top w:val="single" w:color="000000" w:sz="4" w:space="0"/>
              <w:left w:val="nil"/>
              <w:bottom w:val="single" w:color="000000" w:sz="4" w:space="0"/>
              <w:right w:val="single" w:color="000000" w:sz="4" w:space="0"/>
            </w:tcBorders>
            <w:shd w:val="clear" w:color="auto" w:fill="FFFFFF" w:themeFill="background1"/>
            <w:vAlign w:val="center"/>
          </w:tcPr>
          <w:p w14:paraId="503E4625">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极强烈水力侵蚀</w:t>
            </w:r>
          </w:p>
        </w:tc>
        <w:tc>
          <w:tcPr>
            <w:tcW w:w="782" w:type="pct"/>
            <w:gridSpan w:val="2"/>
            <w:tcBorders>
              <w:top w:val="single" w:color="000000" w:sz="4" w:space="0"/>
              <w:left w:val="nil"/>
              <w:bottom w:val="single" w:color="000000" w:sz="4" w:space="0"/>
              <w:right w:val="single" w:color="000000" w:sz="4" w:space="0"/>
            </w:tcBorders>
            <w:shd w:val="clear" w:color="auto" w:fill="FFFFFF" w:themeFill="background1"/>
            <w:vAlign w:val="center"/>
          </w:tcPr>
          <w:p w14:paraId="0015CB7E">
            <w:pPr>
              <w:widowControl/>
              <w:adjustRightInd/>
              <w:snapToGrid/>
              <w:spacing w:line="240" w:lineRule="auto"/>
              <w:ind w:firstLine="0" w:firstLineChars="0"/>
              <w:jc w:val="center"/>
              <w:rPr>
                <w:rFonts w:eastAsia="等线" w:cs="Times New Roman"/>
                <w:color w:val="000000" w:themeColor="text1"/>
                <w:kern w:val="0"/>
                <w:sz w:val="20"/>
                <w:szCs w:val="20"/>
                <w14:textFill>
                  <w14:solidFill>
                    <w14:schemeClr w14:val="tx1"/>
                  </w14:solidFill>
                </w14:textFill>
              </w:rPr>
            </w:pPr>
            <w:r>
              <w:rPr>
                <w:rFonts w:hint="eastAsia"/>
                <w:color w:val="000000" w:themeColor="text1"/>
                <w:sz w:val="18"/>
                <w:szCs w:val="18"/>
                <w14:textFill>
                  <w14:solidFill>
                    <w14:schemeClr w14:val="tx1"/>
                  </w14:solidFill>
                </w14:textFill>
              </w:rPr>
              <w:t>剧烈水力侵蚀</w:t>
            </w:r>
          </w:p>
        </w:tc>
      </w:tr>
      <w:tr w14:paraId="6FC37316">
        <w:tblPrEx>
          <w:tblCellMar>
            <w:top w:w="0" w:type="dxa"/>
            <w:left w:w="108" w:type="dxa"/>
            <w:bottom w:w="0" w:type="dxa"/>
            <w:right w:w="108" w:type="dxa"/>
          </w:tblCellMar>
        </w:tblPrEx>
        <w:trPr>
          <w:trHeight w:val="262" w:hRule="atLeast"/>
          <w:jc w:val="center"/>
        </w:trPr>
        <w:tc>
          <w:tcPr>
            <w:tcW w:w="452" w:type="pct"/>
            <w:vMerge w:val="continue"/>
            <w:tcBorders>
              <w:left w:val="single" w:color="000000" w:sz="4" w:space="0"/>
              <w:bottom w:val="single" w:color="000000" w:sz="4" w:space="0"/>
              <w:right w:val="single" w:color="000000" w:sz="4" w:space="0"/>
            </w:tcBorders>
            <w:shd w:val="clear" w:color="auto" w:fill="FFFFFF" w:themeFill="background1"/>
            <w:vAlign w:val="center"/>
          </w:tcPr>
          <w:p w14:paraId="421093C7">
            <w:pPr>
              <w:ind w:firstLine="0" w:firstLineChars="0"/>
              <w:jc w:val="center"/>
              <w:rPr>
                <w:color w:val="000000" w:themeColor="text1"/>
                <w:sz w:val="18"/>
                <w:szCs w:val="18"/>
                <w14:textFill>
                  <w14:solidFill>
                    <w14:schemeClr w14:val="tx1"/>
                  </w14:solidFill>
                </w14:textFill>
              </w:rPr>
            </w:pPr>
          </w:p>
        </w:tc>
        <w:tc>
          <w:tcPr>
            <w:tcW w:w="416" w:type="pct"/>
            <w:vMerge w:val="continue"/>
            <w:tcBorders>
              <w:top w:val="single" w:color="000000" w:sz="4" w:space="0"/>
              <w:left w:val="nil"/>
              <w:bottom w:val="single" w:color="000000" w:sz="4" w:space="0"/>
              <w:right w:val="single" w:color="000000" w:sz="4" w:space="0"/>
            </w:tcBorders>
            <w:shd w:val="clear" w:color="auto" w:fill="FFFFFF" w:themeFill="background1"/>
          </w:tcPr>
          <w:p w14:paraId="1102148F">
            <w:pPr>
              <w:ind w:firstLine="0" w:firstLineChars="0"/>
              <w:jc w:val="center"/>
              <w:rPr>
                <w:color w:val="000000" w:themeColor="text1"/>
                <w:sz w:val="18"/>
                <w:szCs w:val="18"/>
                <w14:textFill>
                  <w14:solidFill>
                    <w14:schemeClr w14:val="tx1"/>
                  </w14:solidFill>
                </w14:textFill>
              </w:rPr>
            </w:pPr>
          </w:p>
        </w:tc>
        <w:tc>
          <w:tcPr>
            <w:tcW w:w="41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7DB6E92">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面积</w:t>
            </w:r>
          </w:p>
        </w:tc>
        <w:tc>
          <w:tcPr>
            <w:tcW w:w="456" w:type="pct"/>
            <w:tcBorders>
              <w:top w:val="single" w:color="000000" w:sz="4" w:space="0"/>
              <w:left w:val="nil"/>
              <w:bottom w:val="single" w:color="000000" w:sz="4" w:space="0"/>
              <w:right w:val="single" w:color="000000" w:sz="4" w:space="0"/>
            </w:tcBorders>
            <w:shd w:val="clear" w:color="auto" w:fill="FFFFFF" w:themeFill="background1"/>
            <w:vAlign w:val="center"/>
          </w:tcPr>
          <w:p w14:paraId="582D887E">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比例（%）</w:t>
            </w:r>
          </w:p>
        </w:tc>
        <w:tc>
          <w:tcPr>
            <w:tcW w:w="363" w:type="pct"/>
            <w:tcBorders>
              <w:top w:val="single" w:color="000000" w:sz="4" w:space="0"/>
              <w:left w:val="nil"/>
              <w:bottom w:val="single" w:color="000000" w:sz="4" w:space="0"/>
              <w:right w:val="single" w:color="000000" w:sz="4" w:space="0"/>
            </w:tcBorders>
            <w:shd w:val="clear" w:color="auto" w:fill="FFFFFF" w:themeFill="background1"/>
            <w:vAlign w:val="center"/>
          </w:tcPr>
          <w:p w14:paraId="65DA1F1D">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面积</w:t>
            </w:r>
          </w:p>
        </w:tc>
        <w:tc>
          <w:tcPr>
            <w:tcW w:w="451" w:type="pct"/>
            <w:tcBorders>
              <w:top w:val="single" w:color="000000" w:sz="4" w:space="0"/>
              <w:left w:val="nil"/>
              <w:bottom w:val="single" w:color="000000" w:sz="4" w:space="0"/>
              <w:right w:val="single" w:color="000000" w:sz="4" w:space="0"/>
            </w:tcBorders>
            <w:shd w:val="clear" w:color="auto" w:fill="FFFFFF" w:themeFill="background1"/>
            <w:vAlign w:val="center"/>
          </w:tcPr>
          <w:p w14:paraId="7BE89777">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比例（%）</w:t>
            </w:r>
          </w:p>
        </w:tc>
        <w:tc>
          <w:tcPr>
            <w:tcW w:w="360" w:type="pct"/>
            <w:tcBorders>
              <w:top w:val="single" w:color="000000" w:sz="4" w:space="0"/>
              <w:left w:val="nil"/>
              <w:bottom w:val="single" w:color="000000" w:sz="4" w:space="0"/>
              <w:right w:val="single" w:color="000000" w:sz="4" w:space="0"/>
            </w:tcBorders>
            <w:shd w:val="clear" w:color="auto" w:fill="FFFFFF" w:themeFill="background1"/>
            <w:vAlign w:val="center"/>
          </w:tcPr>
          <w:p w14:paraId="25079AB5">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面积</w:t>
            </w:r>
          </w:p>
        </w:tc>
        <w:tc>
          <w:tcPr>
            <w:tcW w:w="425" w:type="pct"/>
            <w:tcBorders>
              <w:top w:val="single" w:color="000000" w:sz="4" w:space="0"/>
              <w:left w:val="nil"/>
              <w:bottom w:val="single" w:color="000000" w:sz="4" w:space="0"/>
              <w:right w:val="single" w:color="000000" w:sz="4" w:space="0"/>
            </w:tcBorders>
            <w:shd w:val="clear" w:color="auto" w:fill="FFFFFF" w:themeFill="background1"/>
            <w:vAlign w:val="center"/>
          </w:tcPr>
          <w:p w14:paraId="2FC6C994">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比例（%）</w:t>
            </w:r>
          </w:p>
        </w:tc>
        <w:tc>
          <w:tcPr>
            <w:tcW w:w="311" w:type="pct"/>
            <w:tcBorders>
              <w:top w:val="single" w:color="000000" w:sz="4" w:space="0"/>
              <w:left w:val="nil"/>
              <w:bottom w:val="single" w:color="000000" w:sz="4" w:space="0"/>
              <w:right w:val="single" w:color="000000" w:sz="4" w:space="0"/>
            </w:tcBorders>
            <w:shd w:val="clear" w:color="auto" w:fill="FFFFFF" w:themeFill="background1"/>
            <w:vAlign w:val="center"/>
          </w:tcPr>
          <w:p w14:paraId="782FF29A">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面积</w:t>
            </w:r>
          </w:p>
        </w:tc>
        <w:tc>
          <w:tcPr>
            <w:tcW w:w="568" w:type="pct"/>
            <w:tcBorders>
              <w:top w:val="single" w:color="000000" w:sz="4" w:space="0"/>
              <w:left w:val="nil"/>
              <w:bottom w:val="single" w:color="000000" w:sz="4" w:space="0"/>
              <w:right w:val="single" w:color="000000" w:sz="4" w:space="0"/>
            </w:tcBorders>
            <w:shd w:val="clear" w:color="auto" w:fill="FFFFFF" w:themeFill="background1"/>
            <w:vAlign w:val="center"/>
          </w:tcPr>
          <w:p w14:paraId="627AF4DB">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比例（%）</w:t>
            </w:r>
          </w:p>
        </w:tc>
        <w:tc>
          <w:tcPr>
            <w:tcW w:w="358" w:type="pct"/>
            <w:tcBorders>
              <w:top w:val="single" w:color="000000" w:sz="4" w:space="0"/>
              <w:left w:val="nil"/>
              <w:bottom w:val="single" w:color="000000" w:sz="4" w:space="0"/>
              <w:right w:val="single" w:color="000000" w:sz="4" w:space="0"/>
            </w:tcBorders>
            <w:shd w:val="clear" w:color="auto" w:fill="FFFFFF" w:themeFill="background1"/>
            <w:vAlign w:val="center"/>
          </w:tcPr>
          <w:p w14:paraId="22105997">
            <w:pPr>
              <w:widowControl/>
              <w:adjustRightInd/>
              <w:snapToGrid/>
              <w:spacing w:line="240" w:lineRule="auto"/>
              <w:ind w:firstLine="0" w:firstLineChars="0"/>
              <w:jc w:val="center"/>
              <w:rPr>
                <w:rFonts w:eastAsia="等线" w:cs="Times New Roman"/>
                <w:color w:val="000000" w:themeColor="text1"/>
                <w:kern w:val="0"/>
                <w:sz w:val="20"/>
                <w:szCs w:val="20"/>
                <w14:textFill>
                  <w14:solidFill>
                    <w14:schemeClr w14:val="tx1"/>
                  </w14:solidFill>
                </w14:textFill>
              </w:rPr>
            </w:pPr>
            <w:r>
              <w:rPr>
                <w:rFonts w:hint="eastAsia"/>
                <w:color w:val="000000" w:themeColor="text1"/>
                <w:sz w:val="18"/>
                <w:szCs w:val="18"/>
                <w14:textFill>
                  <w14:solidFill>
                    <w14:schemeClr w14:val="tx1"/>
                  </w14:solidFill>
                </w14:textFill>
              </w:rPr>
              <w:t>面积</w:t>
            </w:r>
          </w:p>
        </w:tc>
        <w:tc>
          <w:tcPr>
            <w:tcW w:w="425" w:type="pct"/>
            <w:tcBorders>
              <w:top w:val="single" w:color="000000" w:sz="4" w:space="0"/>
              <w:left w:val="nil"/>
              <w:bottom w:val="single" w:color="000000" w:sz="4" w:space="0"/>
              <w:right w:val="single" w:color="000000" w:sz="4" w:space="0"/>
            </w:tcBorders>
            <w:shd w:val="clear" w:color="auto" w:fill="FFFFFF" w:themeFill="background1"/>
            <w:vAlign w:val="center"/>
          </w:tcPr>
          <w:p w14:paraId="6849BC23">
            <w:pPr>
              <w:widowControl/>
              <w:adjustRightInd/>
              <w:snapToGrid/>
              <w:spacing w:line="240" w:lineRule="auto"/>
              <w:ind w:firstLine="0" w:firstLineChars="0"/>
              <w:jc w:val="center"/>
              <w:rPr>
                <w:rFonts w:eastAsia="等线" w:cs="Times New Roman"/>
                <w:color w:val="000000" w:themeColor="text1"/>
                <w:kern w:val="0"/>
                <w:sz w:val="20"/>
                <w:szCs w:val="20"/>
                <w14:textFill>
                  <w14:solidFill>
                    <w14:schemeClr w14:val="tx1"/>
                  </w14:solidFill>
                </w14:textFill>
              </w:rPr>
            </w:pPr>
            <w:r>
              <w:rPr>
                <w:rFonts w:hint="eastAsia"/>
                <w:color w:val="000000" w:themeColor="text1"/>
                <w:sz w:val="18"/>
                <w:szCs w:val="18"/>
                <w14:textFill>
                  <w14:solidFill>
                    <w14:schemeClr w14:val="tx1"/>
                  </w14:solidFill>
                </w14:textFill>
              </w:rPr>
              <w:t>比例（%）</w:t>
            </w:r>
          </w:p>
        </w:tc>
      </w:tr>
      <w:tr w14:paraId="46005BCD">
        <w:tblPrEx>
          <w:tblCellMar>
            <w:top w:w="0" w:type="dxa"/>
            <w:left w:w="108" w:type="dxa"/>
            <w:bottom w:w="0" w:type="dxa"/>
            <w:right w:w="108" w:type="dxa"/>
          </w:tblCellMar>
        </w:tblPrEx>
        <w:trPr>
          <w:trHeight w:val="262" w:hRule="atLeast"/>
          <w:jc w:val="center"/>
        </w:trPr>
        <w:tc>
          <w:tcPr>
            <w:tcW w:w="45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823142B">
            <w:pPr>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绵阳市</w:t>
            </w:r>
            <w:r>
              <w:rPr>
                <w:rFonts w:hint="eastAsia"/>
                <w:color w:val="000000" w:themeColor="text1"/>
                <w:sz w:val="18"/>
                <w:szCs w:val="18"/>
                <w14:textFill>
                  <w14:solidFill>
                    <w14:schemeClr w14:val="tx1"/>
                  </w14:solidFill>
                </w14:textFill>
              </w:rPr>
              <w:t>涪城区</w:t>
            </w:r>
          </w:p>
        </w:tc>
        <w:tc>
          <w:tcPr>
            <w:tcW w:w="416" w:type="pct"/>
            <w:tcBorders>
              <w:top w:val="single" w:color="000000" w:sz="4" w:space="0"/>
              <w:left w:val="nil"/>
              <w:bottom w:val="single" w:color="000000" w:sz="4" w:space="0"/>
              <w:right w:val="nil"/>
            </w:tcBorders>
            <w:shd w:val="clear" w:color="auto" w:fill="FFFFFF" w:themeFill="background1"/>
            <w:vAlign w:val="center"/>
          </w:tcPr>
          <w:p w14:paraId="34C99528">
            <w:pPr>
              <w:ind w:firstLine="0" w:firstLineChars="0"/>
              <w:jc w:val="center"/>
              <w:rPr>
                <w:b/>
                <w:bCs/>
                <w:color w:val="000000" w:themeColor="text1"/>
                <w:sz w:val="18"/>
                <w:szCs w:val="18"/>
                <w14:textFill>
                  <w14:solidFill>
                    <w14:schemeClr w14:val="tx1"/>
                  </w14:solidFill>
                </w14:textFill>
              </w:rPr>
            </w:pPr>
            <w:r>
              <w:rPr>
                <w:b/>
                <w:bCs/>
                <w:color w:val="000000" w:themeColor="text1"/>
                <w:sz w:val="18"/>
                <w:szCs w:val="18"/>
                <w14:textFill>
                  <w14:solidFill>
                    <w14:schemeClr w14:val="tx1"/>
                  </w14:solidFill>
                </w14:textFill>
              </w:rPr>
              <w:t>98.81</w:t>
            </w:r>
          </w:p>
        </w:tc>
        <w:tc>
          <w:tcPr>
            <w:tcW w:w="415" w:type="pct"/>
            <w:tcBorders>
              <w:top w:val="single" w:color="000000" w:sz="4" w:space="0"/>
              <w:left w:val="single" w:color="000000" w:sz="4" w:space="0"/>
              <w:bottom w:val="single" w:color="000000" w:sz="4" w:space="0"/>
              <w:right w:val="single" w:color="000000" w:sz="4" w:space="0"/>
            </w:tcBorders>
            <w:shd w:val="clear" w:color="000000" w:fill="FFFFFF" w:themeFill="background1"/>
            <w:vAlign w:val="center"/>
          </w:tcPr>
          <w:p w14:paraId="346BE9B6">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73.87</w:t>
            </w:r>
          </w:p>
        </w:tc>
        <w:tc>
          <w:tcPr>
            <w:tcW w:w="456" w:type="pct"/>
            <w:tcBorders>
              <w:top w:val="single" w:color="000000" w:sz="4" w:space="0"/>
              <w:left w:val="nil"/>
              <w:bottom w:val="single" w:color="000000" w:sz="4" w:space="0"/>
              <w:right w:val="single" w:color="000000" w:sz="4" w:space="0"/>
            </w:tcBorders>
            <w:shd w:val="clear" w:color="000000" w:fill="FFFFFF" w:themeFill="background1"/>
            <w:vAlign w:val="center"/>
          </w:tcPr>
          <w:p w14:paraId="2AF1BE37">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74.76%</w:t>
            </w:r>
          </w:p>
        </w:tc>
        <w:tc>
          <w:tcPr>
            <w:tcW w:w="363" w:type="pct"/>
            <w:tcBorders>
              <w:top w:val="single" w:color="000000" w:sz="4" w:space="0"/>
              <w:left w:val="single" w:color="000000" w:sz="4" w:space="0"/>
              <w:bottom w:val="single" w:color="000000" w:sz="4" w:space="0"/>
              <w:right w:val="single" w:color="000000" w:sz="4" w:space="0"/>
            </w:tcBorders>
            <w:shd w:val="clear" w:color="000000" w:fill="FFFFFF" w:themeFill="background1"/>
            <w:vAlign w:val="center"/>
          </w:tcPr>
          <w:p w14:paraId="171B0851">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18.97</w:t>
            </w:r>
          </w:p>
        </w:tc>
        <w:tc>
          <w:tcPr>
            <w:tcW w:w="451" w:type="pct"/>
            <w:tcBorders>
              <w:top w:val="single" w:color="000000" w:sz="4" w:space="0"/>
              <w:left w:val="nil"/>
              <w:bottom w:val="single" w:color="000000" w:sz="4" w:space="0"/>
              <w:right w:val="single" w:color="000000" w:sz="4" w:space="0"/>
            </w:tcBorders>
            <w:shd w:val="clear" w:color="000000" w:fill="FFFFFF" w:themeFill="background1"/>
            <w:vAlign w:val="center"/>
          </w:tcPr>
          <w:p w14:paraId="031AD815">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19.05%</w:t>
            </w:r>
          </w:p>
        </w:tc>
        <w:tc>
          <w:tcPr>
            <w:tcW w:w="360" w:type="pct"/>
            <w:tcBorders>
              <w:top w:val="single" w:color="000000" w:sz="4" w:space="0"/>
              <w:left w:val="single" w:color="000000" w:sz="4" w:space="0"/>
              <w:bottom w:val="single" w:color="000000" w:sz="4" w:space="0"/>
              <w:right w:val="single" w:color="000000" w:sz="4" w:space="0"/>
            </w:tcBorders>
            <w:shd w:val="clear" w:color="000000" w:fill="FFFFFF" w:themeFill="background1"/>
            <w:vAlign w:val="center"/>
          </w:tcPr>
          <w:p w14:paraId="37E04A23">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4.51</w:t>
            </w:r>
          </w:p>
        </w:tc>
        <w:tc>
          <w:tcPr>
            <w:tcW w:w="425" w:type="pct"/>
            <w:tcBorders>
              <w:top w:val="single" w:color="000000" w:sz="4" w:space="0"/>
              <w:left w:val="nil"/>
              <w:bottom w:val="single" w:color="000000" w:sz="4" w:space="0"/>
              <w:right w:val="single" w:color="000000" w:sz="4" w:space="0"/>
            </w:tcBorders>
            <w:shd w:val="clear" w:color="000000" w:fill="FFFFFF" w:themeFill="background1"/>
            <w:vAlign w:val="center"/>
          </w:tcPr>
          <w:p w14:paraId="3288F683">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4.56%</w:t>
            </w:r>
          </w:p>
        </w:tc>
        <w:tc>
          <w:tcPr>
            <w:tcW w:w="311" w:type="pct"/>
            <w:tcBorders>
              <w:top w:val="single" w:color="000000" w:sz="4" w:space="0"/>
              <w:left w:val="single" w:color="000000" w:sz="4" w:space="0"/>
              <w:bottom w:val="single" w:color="000000" w:sz="4" w:space="0"/>
              <w:right w:val="single" w:color="000000" w:sz="4" w:space="0"/>
            </w:tcBorders>
            <w:shd w:val="clear" w:color="000000" w:fill="FFFFFF" w:themeFill="background1"/>
            <w:vAlign w:val="center"/>
          </w:tcPr>
          <w:p w14:paraId="4B65C93E">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1.56</w:t>
            </w:r>
          </w:p>
        </w:tc>
        <w:tc>
          <w:tcPr>
            <w:tcW w:w="568" w:type="pct"/>
            <w:tcBorders>
              <w:top w:val="single" w:color="000000" w:sz="4" w:space="0"/>
              <w:left w:val="nil"/>
              <w:bottom w:val="single" w:color="000000" w:sz="4" w:space="0"/>
              <w:right w:val="single" w:color="000000" w:sz="4" w:space="0"/>
            </w:tcBorders>
            <w:shd w:val="clear" w:color="000000" w:fill="FFFFFF" w:themeFill="background1"/>
            <w:vAlign w:val="center"/>
          </w:tcPr>
          <w:p w14:paraId="1AE63E92">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1.58%</w:t>
            </w:r>
          </w:p>
        </w:tc>
        <w:tc>
          <w:tcPr>
            <w:tcW w:w="358" w:type="pct"/>
            <w:tcBorders>
              <w:top w:val="single" w:color="000000" w:sz="4" w:space="0"/>
              <w:left w:val="single" w:color="000000" w:sz="4" w:space="0"/>
              <w:bottom w:val="single" w:color="000000" w:sz="4" w:space="0"/>
              <w:right w:val="single" w:color="000000" w:sz="4" w:space="0"/>
            </w:tcBorders>
            <w:shd w:val="clear" w:color="000000" w:fill="FFFFFF" w:themeFill="background1"/>
            <w:vAlign w:val="center"/>
          </w:tcPr>
          <w:p w14:paraId="0DFB21DC">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0.05</w:t>
            </w:r>
          </w:p>
        </w:tc>
        <w:tc>
          <w:tcPr>
            <w:tcW w:w="425" w:type="pct"/>
            <w:tcBorders>
              <w:top w:val="single" w:color="000000" w:sz="4" w:space="0"/>
              <w:left w:val="nil"/>
              <w:bottom w:val="single" w:color="000000" w:sz="4" w:space="0"/>
              <w:right w:val="single" w:color="000000" w:sz="4" w:space="0"/>
            </w:tcBorders>
            <w:shd w:val="clear" w:color="000000" w:fill="FFFFFF" w:themeFill="background1"/>
            <w:vAlign w:val="center"/>
          </w:tcPr>
          <w:p w14:paraId="764EBEF3">
            <w:pPr>
              <w:widowControl/>
              <w:adjustRightInd/>
              <w:snapToGri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0.05%</w:t>
            </w:r>
          </w:p>
        </w:tc>
      </w:tr>
    </w:tbl>
    <w:p w14:paraId="16CE9421">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4.1.2.2 项目区水土流失现状</w:t>
      </w:r>
    </w:p>
    <w:p w14:paraId="0E1562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本项目占地区域场地稍有起伏，地形坡度均小于等于</w:t>
      </w:r>
      <w:r>
        <w:rPr>
          <w:color w:val="000000" w:themeColor="text1"/>
          <w14:textFill>
            <w14:solidFill>
              <w14:schemeClr w14:val="tx1"/>
            </w14:solidFill>
          </w14:textFill>
        </w:rPr>
        <w:t>10º</w:t>
      </w:r>
      <w:r>
        <w:rPr>
          <w:rFonts w:hint="eastAsia"/>
          <w:color w:val="000000" w:themeColor="text1"/>
          <w14:textFill>
            <w14:solidFill>
              <w14:schemeClr w14:val="tx1"/>
            </w14:solidFill>
          </w14:textFill>
        </w:rPr>
        <w:t>，占地内的植被以野生杂草和灌木为主。根据现场调查，参考《土壤侵蚀分类分级标准》（SL190-2007），经测算项目占地范围内土壤侵蚀模数背景值为</w:t>
      </w:r>
      <w:r>
        <w:rPr>
          <w:color w:val="000000" w:themeColor="text1"/>
          <w14:textFill>
            <w14:solidFill>
              <w14:schemeClr w14:val="tx1"/>
            </w14:solidFill>
          </w14:textFill>
        </w:rPr>
        <w:t>500</w:t>
      </w:r>
      <w:r>
        <w:rPr>
          <w:rFonts w:hint="eastAsia"/>
          <w:color w:val="000000" w:themeColor="text1"/>
          <w14:textFill>
            <w14:solidFill>
              <w14:schemeClr w14:val="tx1"/>
            </w14:solidFill>
          </w14:textFill>
        </w:rPr>
        <w:t>t/km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.a，以微度侵蚀为主。</w:t>
      </w:r>
    </w:p>
    <w:p w14:paraId="657077ED">
      <w:pPr>
        <w:pStyle w:val="3"/>
        <w:rPr>
          <w:color w:val="000000" w:themeColor="text1"/>
          <w14:textFill>
            <w14:solidFill>
              <w14:schemeClr w14:val="tx1"/>
            </w14:solidFill>
          </w14:textFill>
        </w:rPr>
      </w:pPr>
      <w:bookmarkStart w:id="94" w:name="_Toc20116"/>
      <w:r>
        <w:rPr>
          <w:rFonts w:hint="eastAsia"/>
          <w:color w:val="000000" w:themeColor="text1"/>
          <w14:textFill>
            <w14:solidFill>
              <w14:schemeClr w14:val="tx1"/>
            </w14:solidFill>
          </w14:textFill>
        </w:rPr>
        <w:t>4.2水土流失影响因素分析</w:t>
      </w:r>
      <w:bookmarkEnd w:id="94"/>
    </w:p>
    <w:p w14:paraId="26B5BE7A">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4.2.1工程建设对水土流失的影响</w:t>
      </w:r>
    </w:p>
    <w:p w14:paraId="25592012">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项目区水土流失的形成与项目区地形地貌、岩性、土壤、植被、气候等自然因素和人为因素密切相关。</w:t>
      </w:r>
    </w:p>
    <w:p w14:paraId="67300C8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自然因素：项目区自然因素如土壤、气候、植被和耕作制度等各种因素的综合作用成为水土流失客观存在的基础。特别是区域降雨量集中、强度大，成为造成水土流失的最大自然因素。</w:t>
      </w:r>
    </w:p>
    <w:p w14:paraId="395DADE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人为因素：本项目建设对当地水土流失的影响主要是由于工程建设过程中场地平整、土石方开挖、填筑等所产生的，这不仅破坏了原有地表地貌，还使原来相对稳定的下垫面受到不同程度的扰动。对项目建设过程中造成的新增水土流失的时空分布、数量和危害进行预测和分析，有利于明确方案防治重点，编制出科学合理、切实可行的水土保持方案。</w:t>
      </w:r>
    </w:p>
    <w:p w14:paraId="59E436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水土流失危害主要表现在：在暴雨过程中，因大量的泥沙被雨水冲刷随水进入城市雨水管网和水系，沉积于管网及河道中，造成淤塞，严重影响了排水系统的通畅；遇到大风天气项目区内裸露地表及临时堆土会产生扬尘，降低城市空气质量。</w:t>
      </w:r>
    </w:p>
    <w:p w14:paraId="230BBB52">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扰动地表面积</w:t>
      </w:r>
    </w:p>
    <w:p w14:paraId="141E051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施工将改变原有地貌，损害或压埋原有植被，不同程度地对原有具有水土保持功能的设施造成破坏，造成项目区水土流失量的增加。根据业主提供的工程设计文件、技术资料和当地土地利用类型，结合实地勘察的复核，项目总占地面积0.95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，建设过程中全部产生扰动，故扰动地表面积0.95hm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5EB53391">
      <w:pPr>
        <w:widowControl/>
        <w:autoSpaceDE w:val="0"/>
        <w:autoSpaceDN w:val="0"/>
        <w:spacing w:line="384" w:lineRule="auto"/>
        <w:ind w:firstLine="904" w:firstLineChars="45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ascii="仿宋" w:hAnsi="仿宋" w:eastAsia="仿宋" w:cs="仿宋"/>
          <w:b/>
          <w:bCs/>
          <w:snapToGrid w:val="0"/>
          <w:color w:val="000000" w:themeColor="text1"/>
          <w:spacing w:val="-5"/>
          <w:kern w:val="0"/>
          <w:sz w:val="21"/>
          <w:szCs w:val="21"/>
          <w14:textFill>
            <w14:solidFill>
              <w14:schemeClr w14:val="tx1"/>
            </w14:solidFill>
          </w14:textFill>
        </w:rPr>
        <w:t>表</w:t>
      </w:r>
      <w:r>
        <w:rPr>
          <w:rFonts w:eastAsia="仿宋" w:cs="仿宋"/>
          <w:b/>
          <w:bCs/>
          <w:snapToGrid w:val="0"/>
          <w:color w:val="000000" w:themeColor="text1"/>
          <w:spacing w:val="-5"/>
          <w:kern w:val="0"/>
          <w:sz w:val="21"/>
          <w:szCs w:val="21"/>
          <w14:textFill>
            <w14:solidFill>
              <w14:schemeClr w14:val="tx1"/>
            </w14:solidFill>
          </w14:textFill>
        </w:rPr>
        <w:t>4</w:t>
      </w:r>
      <w:r>
        <w:rPr>
          <w:rFonts w:ascii="仿宋" w:hAnsi="仿宋" w:eastAsia="仿宋" w:cs="仿宋"/>
          <w:b/>
          <w:bCs/>
          <w:snapToGrid w:val="0"/>
          <w:color w:val="000000" w:themeColor="text1"/>
          <w:spacing w:val="-5"/>
          <w:kern w:val="0"/>
          <w:sz w:val="21"/>
          <w:szCs w:val="21"/>
          <w14:textFill>
            <w14:solidFill>
              <w14:schemeClr w14:val="tx1"/>
            </w14:solidFill>
          </w14:textFill>
        </w:rPr>
        <w:t>.</w:t>
      </w:r>
      <w:r>
        <w:rPr>
          <w:rFonts w:eastAsia="仿宋" w:cs="仿宋"/>
          <w:b/>
          <w:bCs/>
          <w:snapToGrid w:val="0"/>
          <w:color w:val="000000" w:themeColor="text1"/>
          <w:spacing w:val="-5"/>
          <w:kern w:val="0"/>
          <w:sz w:val="21"/>
          <w:szCs w:val="21"/>
          <w14:textFill>
            <w14:solidFill>
              <w14:schemeClr w14:val="tx1"/>
            </w14:solidFill>
          </w14:textFill>
        </w:rPr>
        <w:t>2</w:t>
      </w:r>
      <w:r>
        <w:rPr>
          <w:rFonts w:hint="eastAsia" w:ascii="仿宋" w:hAnsi="仿宋" w:eastAsia="仿宋" w:cs="仿宋"/>
          <w:b/>
          <w:bCs/>
          <w:snapToGrid w:val="0"/>
          <w:color w:val="000000" w:themeColor="text1"/>
          <w:spacing w:val="-5"/>
          <w:kern w:val="0"/>
          <w:sz w:val="21"/>
          <w:szCs w:val="21"/>
          <w14:textFill>
            <w14:solidFill>
              <w14:schemeClr w14:val="tx1"/>
            </w14:solidFill>
          </w14:textFill>
        </w:rPr>
        <w:t>-</w:t>
      </w:r>
      <w:r>
        <w:rPr>
          <w:rFonts w:eastAsia="仿宋" w:cs="仿宋"/>
          <w:b/>
          <w:bCs/>
          <w:snapToGrid w:val="0"/>
          <w:color w:val="000000" w:themeColor="text1"/>
          <w:spacing w:val="-5"/>
          <w:kern w:val="0"/>
          <w:sz w:val="21"/>
          <w:szCs w:val="21"/>
          <w14:textFill>
            <w14:solidFill>
              <w14:schemeClr w14:val="tx1"/>
            </w14:solidFill>
          </w14:textFill>
        </w:rPr>
        <w:t>1</w:t>
      </w:r>
      <w:r>
        <w:rPr>
          <w:rFonts w:ascii="仿宋" w:hAnsi="仿宋" w:eastAsia="仿宋" w:cs="仿宋"/>
          <w:b/>
          <w:bCs/>
          <w:snapToGrid w:val="0"/>
          <w:color w:val="000000" w:themeColor="text1"/>
          <w:spacing w:val="-5"/>
          <w:kern w:val="0"/>
          <w:sz w:val="21"/>
          <w:szCs w:val="21"/>
          <w14:textFill>
            <w14:solidFill>
              <w14:schemeClr w14:val="tx1"/>
            </w14:solidFill>
          </w14:textFill>
        </w:rPr>
        <w:t xml:space="preserve">      </w:t>
      </w:r>
      <w:r>
        <w:rPr>
          <w:rFonts w:hint="eastAsia" w:ascii="仿宋" w:hAnsi="仿宋" w:eastAsia="仿宋" w:cs="仿宋"/>
          <w:b/>
          <w:bCs/>
          <w:snapToGrid w:val="0"/>
          <w:color w:val="000000" w:themeColor="text1"/>
          <w:spacing w:val="-5"/>
          <w:kern w:val="0"/>
          <w:sz w:val="21"/>
          <w:szCs w:val="21"/>
          <w14:textFill>
            <w14:solidFill>
              <w14:schemeClr w14:val="tx1"/>
            </w14:solidFill>
          </w14:textFill>
        </w:rPr>
        <w:t>扰动地表面积统计表</w:t>
      </w:r>
    </w:p>
    <w:tbl>
      <w:tblPr>
        <w:tblStyle w:val="27"/>
        <w:tblW w:w="89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1911"/>
        <w:gridCol w:w="1053"/>
        <w:gridCol w:w="1180"/>
        <w:gridCol w:w="677"/>
        <w:gridCol w:w="664"/>
        <w:gridCol w:w="915"/>
        <w:gridCol w:w="860"/>
        <w:gridCol w:w="889"/>
      </w:tblGrid>
      <w:tr w14:paraId="4F922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70" w:type="dxa"/>
            <w:vMerge w:val="restart"/>
            <w:vAlign w:val="center"/>
          </w:tcPr>
          <w:p w14:paraId="68882C12">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序号</w:t>
            </w:r>
          </w:p>
        </w:tc>
        <w:tc>
          <w:tcPr>
            <w:tcW w:w="1911" w:type="dxa"/>
            <w:vMerge w:val="restart"/>
            <w:vAlign w:val="center"/>
          </w:tcPr>
          <w:p w14:paraId="4B0FAC0B">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项目组成</w:t>
            </w:r>
          </w:p>
        </w:tc>
        <w:tc>
          <w:tcPr>
            <w:tcW w:w="1053" w:type="dxa"/>
            <w:vMerge w:val="restart"/>
            <w:vAlign w:val="center"/>
          </w:tcPr>
          <w:p w14:paraId="3348055A">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扰动地面积(hm</w:t>
            </w:r>
            <w:r>
              <w:rPr>
                <w:snapToGrid w:val="0"/>
                <w:color w:val="000000" w:themeColor="text1"/>
                <w:sz w:val="21"/>
                <w:szCs w:val="21"/>
                <w14:textFill>
                  <w14:solidFill>
                    <w14:schemeClr w14:val="tx1"/>
                  </w14:solidFill>
                </w14:textFill>
              </w:rPr>
              <w:t>²</w:t>
            </w:r>
            <w:r>
              <w:rPr>
                <w:rFonts w:hint="eastAsia"/>
                <w:snapToGrid w:val="0"/>
                <w:color w:val="000000" w:themeColor="text1"/>
                <w:sz w:val="21"/>
                <w:szCs w:val="21"/>
                <w14:textFill>
                  <w14:solidFill>
                    <w14:schemeClr w14:val="tx1"/>
                  </w14:solidFill>
                </w14:textFill>
              </w:rPr>
              <w:t>)</w:t>
            </w:r>
          </w:p>
        </w:tc>
        <w:tc>
          <w:tcPr>
            <w:tcW w:w="4296" w:type="dxa"/>
            <w:gridSpan w:val="5"/>
          </w:tcPr>
          <w:p w14:paraId="6D0221FD">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扰动类型（hm</w:t>
            </w:r>
            <w:r>
              <w:rPr>
                <w:snapToGrid w:val="0"/>
                <w:color w:val="000000" w:themeColor="text1"/>
                <w:sz w:val="21"/>
                <w:szCs w:val="21"/>
                <w14:textFill>
                  <w14:solidFill>
                    <w14:schemeClr w14:val="tx1"/>
                  </w14:solidFill>
                </w14:textFill>
              </w:rPr>
              <w:t>²</w:t>
            </w:r>
            <w:r>
              <w:rPr>
                <w:rFonts w:hint="eastAsia"/>
                <w:snapToGrid w:val="0"/>
                <w:color w:val="000000" w:themeColor="text1"/>
                <w:sz w:val="21"/>
                <w:szCs w:val="21"/>
                <w14:textFill>
                  <w14:solidFill>
                    <w14:schemeClr w14:val="tx1"/>
                  </w14:solidFill>
                </w14:textFill>
              </w:rPr>
              <w:t>）</w:t>
            </w:r>
          </w:p>
        </w:tc>
        <w:tc>
          <w:tcPr>
            <w:tcW w:w="889" w:type="dxa"/>
          </w:tcPr>
          <w:p w14:paraId="05DECE04">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ascii="仿宋" w:hAnsi="仿宋" w:eastAsia="仿宋" w:cs="仿宋"/>
                <w:b/>
                <w:bCs/>
                <w:snapToGrid w:val="0"/>
                <w:color w:val="000000" w:themeColor="text1"/>
                <w:spacing w:val="-5"/>
                <w:kern w:val="0"/>
                <w:sz w:val="21"/>
                <w:szCs w:val="21"/>
                <w14:textFill>
                  <w14:solidFill>
                    <w14:schemeClr w14:val="tx1"/>
                  </w14:solidFill>
                </w14:textFill>
              </w:rPr>
              <w:t>备注</w:t>
            </w:r>
          </w:p>
        </w:tc>
      </w:tr>
      <w:tr w14:paraId="32ECB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770" w:type="dxa"/>
            <w:vMerge w:val="continue"/>
          </w:tcPr>
          <w:p w14:paraId="33F6DA46">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c>
          <w:tcPr>
            <w:tcW w:w="1911" w:type="dxa"/>
            <w:vMerge w:val="continue"/>
          </w:tcPr>
          <w:p w14:paraId="2020733E">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c>
          <w:tcPr>
            <w:tcW w:w="1053" w:type="dxa"/>
            <w:vMerge w:val="continue"/>
          </w:tcPr>
          <w:p w14:paraId="17F1D3C3">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c>
          <w:tcPr>
            <w:tcW w:w="1180" w:type="dxa"/>
            <w:vAlign w:val="center"/>
          </w:tcPr>
          <w:p w14:paraId="3355A932">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工业用地</w:t>
            </w:r>
          </w:p>
        </w:tc>
        <w:tc>
          <w:tcPr>
            <w:tcW w:w="677" w:type="dxa"/>
            <w:vAlign w:val="center"/>
          </w:tcPr>
          <w:p w14:paraId="7848B655">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耕地</w:t>
            </w:r>
          </w:p>
        </w:tc>
        <w:tc>
          <w:tcPr>
            <w:tcW w:w="664" w:type="dxa"/>
            <w:vAlign w:val="center"/>
          </w:tcPr>
          <w:p w14:paraId="1887CC8C">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林地</w:t>
            </w:r>
          </w:p>
        </w:tc>
        <w:tc>
          <w:tcPr>
            <w:tcW w:w="915" w:type="dxa"/>
            <w:tcBorders>
              <w:right w:val="single" w:color="000000" w:sz="4" w:space="0"/>
            </w:tcBorders>
            <w:vAlign w:val="center"/>
          </w:tcPr>
          <w:p w14:paraId="2CBEDF77">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水利设施用地</w:t>
            </w:r>
          </w:p>
        </w:tc>
        <w:tc>
          <w:tcPr>
            <w:tcW w:w="860" w:type="dxa"/>
            <w:vAlign w:val="center"/>
          </w:tcPr>
          <w:p w14:paraId="318FB272">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其他</w:t>
            </w:r>
          </w:p>
        </w:tc>
        <w:tc>
          <w:tcPr>
            <w:tcW w:w="889" w:type="dxa"/>
          </w:tcPr>
          <w:p w14:paraId="70BD8D90">
            <w:pPr>
              <w:widowControl/>
              <w:autoSpaceDE w:val="0"/>
              <w:autoSpaceDN w:val="0"/>
              <w:spacing w:line="384" w:lineRule="auto"/>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17D93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770" w:type="dxa"/>
            <w:vAlign w:val="center"/>
          </w:tcPr>
          <w:p w14:paraId="3E6D571E">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ascii="仿宋" w:hAnsi="仿宋" w:eastAsia="仿宋" w:cs="仿宋"/>
                <w:b/>
                <w:bCs/>
                <w:snapToGrid w:val="0"/>
                <w:color w:val="000000" w:themeColor="text1"/>
                <w:spacing w:val="-5"/>
                <w:kern w:val="0"/>
                <w:sz w:val="21"/>
                <w:szCs w:val="21"/>
                <w14:textFill>
                  <w14:solidFill>
                    <w14:schemeClr w14:val="tx1"/>
                  </w14:solidFill>
                </w14:textFill>
              </w:rPr>
              <w:t>1</w:t>
            </w:r>
          </w:p>
        </w:tc>
        <w:tc>
          <w:tcPr>
            <w:tcW w:w="1911" w:type="dxa"/>
            <w:vAlign w:val="center"/>
          </w:tcPr>
          <w:p w14:paraId="03B3E1FC">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地下工程区</w:t>
            </w:r>
          </w:p>
        </w:tc>
        <w:tc>
          <w:tcPr>
            <w:tcW w:w="1053" w:type="dxa"/>
            <w:vAlign w:val="center"/>
          </w:tcPr>
          <w:p w14:paraId="26F129FC">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 xml:space="preserve">  </w:t>
            </w:r>
            <w:r>
              <w:rPr>
                <w:snapToGrid w:val="0"/>
                <w:color w:val="000000" w:themeColor="text1"/>
                <w:sz w:val="21"/>
                <w:szCs w:val="21"/>
                <w14:textFill>
                  <w14:solidFill>
                    <w14:schemeClr w14:val="tx1"/>
                  </w14:solidFill>
                </w14:textFill>
              </w:rPr>
              <w:t>0.</w:t>
            </w:r>
            <w:r>
              <w:rPr>
                <w:rFonts w:hint="eastAsia"/>
                <w:snapToGrid w:val="0"/>
                <w:color w:val="000000" w:themeColor="text1"/>
                <w:sz w:val="21"/>
                <w:szCs w:val="21"/>
                <w14:textFill>
                  <w14:solidFill>
                    <w14:schemeClr w14:val="tx1"/>
                  </w14:solidFill>
                </w14:textFill>
              </w:rPr>
              <w:t>44*</w:t>
            </w:r>
          </w:p>
        </w:tc>
        <w:tc>
          <w:tcPr>
            <w:tcW w:w="1180" w:type="dxa"/>
            <w:vAlign w:val="center"/>
          </w:tcPr>
          <w:p w14:paraId="0CE46D2F">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 xml:space="preserve"> </w:t>
            </w:r>
            <w:r>
              <w:rPr>
                <w:snapToGrid w:val="0"/>
                <w:color w:val="000000" w:themeColor="text1"/>
                <w:sz w:val="21"/>
                <w:szCs w:val="21"/>
                <w14:textFill>
                  <w14:solidFill>
                    <w14:schemeClr w14:val="tx1"/>
                  </w14:solidFill>
                </w14:textFill>
              </w:rPr>
              <w:t>0.</w:t>
            </w:r>
            <w:r>
              <w:rPr>
                <w:rFonts w:hint="eastAsia"/>
                <w:snapToGrid w:val="0"/>
                <w:color w:val="000000" w:themeColor="text1"/>
                <w:sz w:val="21"/>
                <w:szCs w:val="21"/>
                <w14:textFill>
                  <w14:solidFill>
                    <w14:schemeClr w14:val="tx1"/>
                  </w14:solidFill>
                </w14:textFill>
              </w:rPr>
              <w:t>44*</w:t>
            </w:r>
          </w:p>
        </w:tc>
        <w:tc>
          <w:tcPr>
            <w:tcW w:w="677" w:type="dxa"/>
            <w:vAlign w:val="center"/>
          </w:tcPr>
          <w:p w14:paraId="323D663D">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64" w:type="dxa"/>
            <w:vAlign w:val="center"/>
          </w:tcPr>
          <w:p w14:paraId="7887F48B">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915" w:type="dxa"/>
            <w:tcBorders>
              <w:right w:val="single" w:color="000000" w:sz="4" w:space="0"/>
            </w:tcBorders>
            <w:vAlign w:val="center"/>
          </w:tcPr>
          <w:p w14:paraId="12BD7627">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vAlign w:val="center"/>
          </w:tcPr>
          <w:p w14:paraId="096A812D">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89" w:type="dxa"/>
            <w:vAlign w:val="center"/>
          </w:tcPr>
          <w:p w14:paraId="55EA4801">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0F60E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70" w:type="dxa"/>
            <w:vAlign w:val="center"/>
          </w:tcPr>
          <w:p w14:paraId="0263937F">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2</w:t>
            </w:r>
          </w:p>
        </w:tc>
        <w:tc>
          <w:tcPr>
            <w:tcW w:w="1911" w:type="dxa"/>
            <w:vAlign w:val="center"/>
          </w:tcPr>
          <w:p w14:paraId="411E1B45">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建构筑物工程区</w:t>
            </w:r>
          </w:p>
        </w:tc>
        <w:tc>
          <w:tcPr>
            <w:tcW w:w="1053" w:type="dxa"/>
            <w:vAlign w:val="center"/>
          </w:tcPr>
          <w:p w14:paraId="3B08FF62">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0.45</w:t>
            </w:r>
          </w:p>
        </w:tc>
        <w:tc>
          <w:tcPr>
            <w:tcW w:w="1180" w:type="dxa"/>
            <w:vAlign w:val="center"/>
          </w:tcPr>
          <w:p w14:paraId="633A30DC">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0.45</w:t>
            </w:r>
          </w:p>
        </w:tc>
        <w:tc>
          <w:tcPr>
            <w:tcW w:w="677" w:type="dxa"/>
            <w:vAlign w:val="center"/>
          </w:tcPr>
          <w:p w14:paraId="4A715518">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64" w:type="dxa"/>
            <w:vAlign w:val="center"/>
          </w:tcPr>
          <w:p w14:paraId="78DA4624">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915" w:type="dxa"/>
            <w:vAlign w:val="center"/>
          </w:tcPr>
          <w:p w14:paraId="68C1DDC5">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vAlign w:val="center"/>
          </w:tcPr>
          <w:p w14:paraId="7065B0CB">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89" w:type="dxa"/>
            <w:vAlign w:val="center"/>
          </w:tcPr>
          <w:p w14:paraId="083C60F9">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3725D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70" w:type="dxa"/>
            <w:vAlign w:val="center"/>
          </w:tcPr>
          <w:p w14:paraId="12DB9C16">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3</w:t>
            </w:r>
          </w:p>
        </w:tc>
        <w:tc>
          <w:tcPr>
            <w:tcW w:w="1911" w:type="dxa"/>
            <w:vAlign w:val="center"/>
          </w:tcPr>
          <w:p w14:paraId="0DFFB0B7">
            <w:pPr>
              <w:widowControl/>
              <w:autoSpaceDE w:val="0"/>
              <w:autoSpaceDN w:val="0"/>
              <w:spacing w:line="240"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场内道路广场及硬化工程区</w:t>
            </w:r>
          </w:p>
        </w:tc>
        <w:tc>
          <w:tcPr>
            <w:tcW w:w="1053" w:type="dxa"/>
            <w:vAlign w:val="center"/>
          </w:tcPr>
          <w:p w14:paraId="252B2337">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0.38</w:t>
            </w:r>
          </w:p>
        </w:tc>
        <w:tc>
          <w:tcPr>
            <w:tcW w:w="1180" w:type="dxa"/>
            <w:vAlign w:val="center"/>
          </w:tcPr>
          <w:p w14:paraId="02F2BA71">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0.38</w:t>
            </w:r>
          </w:p>
        </w:tc>
        <w:tc>
          <w:tcPr>
            <w:tcW w:w="677" w:type="dxa"/>
            <w:vAlign w:val="center"/>
          </w:tcPr>
          <w:p w14:paraId="34E74323">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64" w:type="dxa"/>
            <w:vAlign w:val="center"/>
          </w:tcPr>
          <w:p w14:paraId="27077780">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915" w:type="dxa"/>
            <w:vAlign w:val="center"/>
          </w:tcPr>
          <w:p w14:paraId="6480358D">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vAlign w:val="center"/>
          </w:tcPr>
          <w:p w14:paraId="25934A13">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89" w:type="dxa"/>
            <w:vAlign w:val="center"/>
          </w:tcPr>
          <w:p w14:paraId="1E8D8B4E">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78D2C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70" w:type="dxa"/>
            <w:vAlign w:val="center"/>
          </w:tcPr>
          <w:p w14:paraId="42E87DD5">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4</w:t>
            </w:r>
          </w:p>
        </w:tc>
        <w:tc>
          <w:tcPr>
            <w:tcW w:w="1911" w:type="dxa"/>
            <w:vAlign w:val="center"/>
          </w:tcPr>
          <w:p w14:paraId="6C3019C3">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景观绿化工程区</w:t>
            </w:r>
          </w:p>
        </w:tc>
        <w:tc>
          <w:tcPr>
            <w:tcW w:w="1053" w:type="dxa"/>
            <w:vAlign w:val="center"/>
          </w:tcPr>
          <w:p w14:paraId="0C592F53">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0.12</w:t>
            </w:r>
          </w:p>
        </w:tc>
        <w:tc>
          <w:tcPr>
            <w:tcW w:w="1180" w:type="dxa"/>
            <w:vAlign w:val="center"/>
          </w:tcPr>
          <w:p w14:paraId="547942C4">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0.12</w:t>
            </w:r>
          </w:p>
        </w:tc>
        <w:tc>
          <w:tcPr>
            <w:tcW w:w="677" w:type="dxa"/>
            <w:vAlign w:val="center"/>
          </w:tcPr>
          <w:p w14:paraId="4B033B35">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64" w:type="dxa"/>
            <w:vAlign w:val="center"/>
          </w:tcPr>
          <w:p w14:paraId="56035092">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915" w:type="dxa"/>
            <w:vAlign w:val="center"/>
          </w:tcPr>
          <w:p w14:paraId="5836D597">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vAlign w:val="center"/>
          </w:tcPr>
          <w:p w14:paraId="4AACF8EB">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89" w:type="dxa"/>
            <w:vAlign w:val="center"/>
          </w:tcPr>
          <w:p w14:paraId="68D61AE6">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0E786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2681" w:type="dxa"/>
            <w:gridSpan w:val="2"/>
            <w:vAlign w:val="center"/>
          </w:tcPr>
          <w:p w14:paraId="4928C528">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合计</w:t>
            </w:r>
          </w:p>
        </w:tc>
        <w:tc>
          <w:tcPr>
            <w:tcW w:w="1053" w:type="dxa"/>
            <w:vAlign w:val="center"/>
          </w:tcPr>
          <w:p w14:paraId="3C206314">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0.95</w:t>
            </w:r>
          </w:p>
        </w:tc>
        <w:tc>
          <w:tcPr>
            <w:tcW w:w="1180" w:type="dxa"/>
            <w:vAlign w:val="center"/>
          </w:tcPr>
          <w:p w14:paraId="4185BE0C">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0.95</w:t>
            </w:r>
          </w:p>
        </w:tc>
        <w:tc>
          <w:tcPr>
            <w:tcW w:w="677" w:type="dxa"/>
            <w:vAlign w:val="center"/>
          </w:tcPr>
          <w:p w14:paraId="42D8ACA6">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664" w:type="dxa"/>
            <w:vAlign w:val="center"/>
          </w:tcPr>
          <w:p w14:paraId="0D64316D">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915" w:type="dxa"/>
            <w:vAlign w:val="center"/>
          </w:tcPr>
          <w:p w14:paraId="57C8E342">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60" w:type="dxa"/>
            <w:vAlign w:val="center"/>
          </w:tcPr>
          <w:p w14:paraId="50C351D0">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p>
        </w:tc>
        <w:tc>
          <w:tcPr>
            <w:tcW w:w="889" w:type="dxa"/>
            <w:vAlign w:val="center"/>
          </w:tcPr>
          <w:p w14:paraId="7026758C">
            <w:pPr>
              <w:widowControl/>
              <w:autoSpaceDE w:val="0"/>
              <w:autoSpaceDN w:val="0"/>
              <w:spacing w:line="384" w:lineRule="auto"/>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bl>
    <w:p w14:paraId="3BE0CA2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备注： *表示该区域占地位于主体工程占地范围内，不重复计算其面积。</w:t>
      </w:r>
    </w:p>
    <w:p w14:paraId="39B8182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损毁植被面积</w:t>
      </w:r>
    </w:p>
    <w:p w14:paraId="66827B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据项目设计资料，项目占地区域内没有水土保持专项设施，损坏水土保持功能主要为具有一定水土保持功能的征占地范围内的植被，本项目场内原地面植被以自然植被为主，林草覆盖率约26%，项目建设过程中损毁植被面积约为0.25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36C07C6E">
      <w:pPr>
        <w:widowControl/>
        <w:autoSpaceDE w:val="0"/>
        <w:autoSpaceDN w:val="0"/>
        <w:ind w:firstLine="412"/>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ascii="仿宋" w:hAnsi="仿宋" w:eastAsia="仿宋" w:cs="仿宋"/>
          <w:b/>
          <w:bCs/>
          <w:snapToGrid w:val="0"/>
          <w:color w:val="000000" w:themeColor="text1"/>
          <w:spacing w:val="-5"/>
          <w:kern w:val="0"/>
          <w:sz w:val="21"/>
          <w:szCs w:val="21"/>
          <w14:textFill>
            <w14:solidFill>
              <w14:schemeClr w14:val="tx1"/>
            </w14:solidFill>
          </w14:textFill>
        </w:rPr>
        <w:t>表</w:t>
      </w:r>
      <w:r>
        <w:rPr>
          <w:rFonts w:eastAsia="仿宋" w:cs="仿宋"/>
          <w:b/>
          <w:bCs/>
          <w:snapToGrid w:val="0"/>
          <w:color w:val="000000" w:themeColor="text1"/>
          <w:spacing w:val="-5"/>
          <w:kern w:val="0"/>
          <w:sz w:val="21"/>
          <w:szCs w:val="21"/>
          <w14:textFill>
            <w14:solidFill>
              <w14:schemeClr w14:val="tx1"/>
            </w14:solidFill>
          </w14:textFill>
        </w:rPr>
        <w:t>4</w:t>
      </w:r>
      <w:r>
        <w:rPr>
          <w:rFonts w:hint="eastAsia" w:ascii="仿宋" w:hAnsi="仿宋" w:eastAsia="仿宋" w:cs="仿宋"/>
          <w:b/>
          <w:bCs/>
          <w:snapToGrid w:val="0"/>
          <w:color w:val="000000" w:themeColor="text1"/>
          <w:spacing w:val="-5"/>
          <w:kern w:val="0"/>
          <w:sz w:val="21"/>
          <w:szCs w:val="21"/>
          <w14:textFill>
            <w14:solidFill>
              <w14:schemeClr w14:val="tx1"/>
            </w14:solidFill>
          </w14:textFill>
        </w:rPr>
        <w:t>.</w:t>
      </w:r>
      <w:r>
        <w:rPr>
          <w:rFonts w:hint="eastAsia" w:eastAsia="仿宋" w:cs="仿宋"/>
          <w:b/>
          <w:bCs/>
          <w:snapToGrid w:val="0"/>
          <w:color w:val="000000" w:themeColor="text1"/>
          <w:spacing w:val="-5"/>
          <w:kern w:val="0"/>
          <w:sz w:val="21"/>
          <w:szCs w:val="21"/>
          <w14:textFill>
            <w14:solidFill>
              <w14:schemeClr w14:val="tx1"/>
            </w14:solidFill>
          </w14:textFill>
        </w:rPr>
        <w:t>2</w:t>
      </w:r>
      <w:r>
        <w:rPr>
          <w:rFonts w:hint="eastAsia" w:ascii="仿宋" w:hAnsi="仿宋" w:eastAsia="仿宋" w:cs="仿宋"/>
          <w:b/>
          <w:bCs/>
          <w:snapToGrid w:val="0"/>
          <w:color w:val="000000" w:themeColor="text1"/>
          <w:spacing w:val="-5"/>
          <w:kern w:val="0"/>
          <w:sz w:val="21"/>
          <w:szCs w:val="21"/>
          <w14:textFill>
            <w14:solidFill>
              <w14:schemeClr w14:val="tx1"/>
            </w14:solidFill>
          </w14:textFill>
        </w:rPr>
        <w:t>-</w:t>
      </w:r>
      <w:r>
        <w:rPr>
          <w:rFonts w:eastAsia="仿宋" w:cs="仿宋"/>
          <w:b/>
          <w:bCs/>
          <w:snapToGrid w:val="0"/>
          <w:color w:val="000000" w:themeColor="text1"/>
          <w:spacing w:val="-5"/>
          <w:kern w:val="0"/>
          <w:sz w:val="21"/>
          <w:szCs w:val="21"/>
          <w14:textFill>
            <w14:solidFill>
              <w14:schemeClr w14:val="tx1"/>
            </w14:solidFill>
          </w14:textFill>
        </w:rPr>
        <w:t>2</w:t>
      </w:r>
      <w:r>
        <w:rPr>
          <w:rFonts w:hint="eastAsia" w:ascii="仿宋" w:hAnsi="仿宋" w:eastAsia="仿宋" w:cs="仿宋"/>
          <w:b/>
          <w:bCs/>
          <w:snapToGrid w:val="0"/>
          <w:color w:val="000000" w:themeColor="text1"/>
          <w:spacing w:val="-5"/>
          <w:kern w:val="0"/>
          <w:sz w:val="21"/>
          <w:szCs w:val="21"/>
          <w14:textFill>
            <w14:solidFill>
              <w14:schemeClr w14:val="tx1"/>
            </w14:solidFill>
          </w14:textFill>
        </w:rPr>
        <w:t xml:space="preserve"> </w:t>
      </w:r>
      <w:r>
        <w:rPr>
          <w:rFonts w:ascii="仿宋" w:hAnsi="仿宋" w:eastAsia="仿宋" w:cs="仿宋"/>
          <w:b/>
          <w:bCs/>
          <w:snapToGrid w:val="0"/>
          <w:color w:val="000000" w:themeColor="text1"/>
          <w:spacing w:val="-5"/>
          <w:kern w:val="0"/>
          <w:sz w:val="21"/>
          <w:szCs w:val="21"/>
          <w14:textFill>
            <w14:solidFill>
              <w14:schemeClr w14:val="tx1"/>
            </w14:solidFill>
          </w14:textFill>
        </w:rPr>
        <w:t xml:space="preserve">     </w:t>
      </w:r>
      <w:r>
        <w:rPr>
          <w:rFonts w:hint="eastAsia" w:ascii="仿宋" w:hAnsi="仿宋" w:eastAsia="仿宋" w:cs="仿宋"/>
          <w:b/>
          <w:bCs/>
          <w:snapToGrid w:val="0"/>
          <w:color w:val="000000" w:themeColor="text1"/>
          <w:spacing w:val="-5"/>
          <w:kern w:val="0"/>
          <w:sz w:val="21"/>
          <w:szCs w:val="21"/>
          <w14:textFill>
            <w14:solidFill>
              <w14:schemeClr w14:val="tx1"/>
            </w14:solidFill>
          </w14:textFill>
        </w:rPr>
        <w:t>损坏植被面积统计表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8"/>
        <w:gridCol w:w="2054"/>
        <w:gridCol w:w="1959"/>
        <w:gridCol w:w="2018"/>
      </w:tblGrid>
      <w:tr w14:paraId="57977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8" w:type="dxa"/>
            <w:vMerge w:val="restart"/>
            <w:vAlign w:val="center"/>
          </w:tcPr>
          <w:p w14:paraId="11726ACB">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ascii="仿宋" w:hAnsi="仿宋" w:eastAsia="仿宋" w:cs="仿宋"/>
                <w:color w:val="000000" w:themeColor="text1"/>
                <w:spacing w:val="-4"/>
                <w:sz w:val="21"/>
                <w:szCs w:val="21"/>
                <w14:textFill>
                  <w14:solidFill>
                    <w14:schemeClr w14:val="tx1"/>
                  </w14:solidFill>
                </w14:textFill>
              </w:rPr>
              <w:t>项目组成</w:t>
            </w:r>
          </w:p>
        </w:tc>
        <w:tc>
          <w:tcPr>
            <w:tcW w:w="2054" w:type="dxa"/>
            <w:vMerge w:val="restart"/>
            <w:vAlign w:val="center"/>
          </w:tcPr>
          <w:p w14:paraId="6D77B79F">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ascii="仿宋" w:hAnsi="仿宋" w:eastAsia="仿宋" w:cs="仿宋"/>
                <w:color w:val="000000" w:themeColor="text1"/>
                <w:spacing w:val="-1"/>
                <w:sz w:val="21"/>
                <w:szCs w:val="21"/>
                <w14:textFill>
                  <w14:solidFill>
                    <w14:schemeClr w14:val="tx1"/>
                  </w14:solidFill>
                </w14:textFill>
              </w:rPr>
              <w:t>损坏植被面积</w:t>
            </w:r>
            <w:r>
              <w:rPr>
                <w:rFonts w:ascii="仿宋" w:hAnsi="仿宋" w:eastAsia="仿宋" w:cs="Times New Roman"/>
                <w:color w:val="000000" w:themeColor="text1"/>
                <w:spacing w:val="-1"/>
                <w:sz w:val="21"/>
                <w:szCs w:val="21"/>
                <w14:textFill>
                  <w14:solidFill>
                    <w14:schemeClr w14:val="tx1"/>
                  </w14:solidFill>
                </w14:textFill>
              </w:rPr>
              <w:t>(</w:t>
            </w:r>
            <w:r>
              <w:rPr>
                <w:rFonts w:eastAsia="仿宋" w:cs="Times New Roman"/>
                <w:color w:val="000000" w:themeColor="text1"/>
                <w:spacing w:val="-5"/>
                <w:sz w:val="21"/>
                <w:szCs w:val="21"/>
                <w14:textFill>
                  <w14:solidFill>
                    <w14:schemeClr w14:val="tx1"/>
                  </w14:solidFill>
                </w14:textFill>
              </w:rPr>
              <w:t>hm</w:t>
            </w:r>
            <w:r>
              <w:rPr>
                <w:rFonts w:eastAsia="仿宋" w:cs="Times New Roman"/>
                <w:color w:val="000000" w:themeColor="text1"/>
                <w:spacing w:val="-5"/>
                <w:sz w:val="21"/>
                <w:szCs w:val="21"/>
                <w:vertAlign w:val="superscript"/>
                <w14:textFill>
                  <w14:solidFill>
                    <w14:schemeClr w14:val="tx1"/>
                  </w14:solidFill>
                </w14:textFill>
              </w:rPr>
              <w:t>2</w:t>
            </w:r>
            <w:r>
              <w:rPr>
                <w:rFonts w:ascii="仿宋" w:hAnsi="仿宋" w:eastAsia="仿宋" w:cs="Times New Roman"/>
                <w:color w:val="000000" w:themeColor="text1"/>
                <w:spacing w:val="-1"/>
                <w:sz w:val="21"/>
                <w:szCs w:val="21"/>
                <w14:textFill>
                  <w14:solidFill>
                    <w14:schemeClr w14:val="tx1"/>
                  </w14:solidFill>
                </w14:textFill>
              </w:rPr>
              <w:t>)</w:t>
            </w:r>
          </w:p>
        </w:tc>
        <w:tc>
          <w:tcPr>
            <w:tcW w:w="1959" w:type="dxa"/>
            <w:vAlign w:val="center"/>
          </w:tcPr>
          <w:p w14:paraId="24CC52B6">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ascii="仿宋" w:hAnsi="仿宋" w:eastAsia="仿宋" w:cs="Times New Roman"/>
                <w:color w:val="000000" w:themeColor="text1"/>
                <w:sz w:val="21"/>
                <w:szCs w:val="21"/>
                <w14:textFill>
                  <w14:solidFill>
                    <w14:schemeClr w14:val="tx1"/>
                  </w14:solidFill>
                </w14:textFill>
              </w:rPr>
              <w:t>损坏类型</w:t>
            </w:r>
            <w:r>
              <w:rPr>
                <w:rFonts w:ascii="仿宋" w:hAnsi="仿宋" w:eastAsia="仿宋" w:cs="Times New Roman"/>
                <w:color w:val="000000" w:themeColor="text1"/>
                <w:spacing w:val="-1"/>
                <w:sz w:val="21"/>
                <w:szCs w:val="21"/>
                <w14:textFill>
                  <w14:solidFill>
                    <w14:schemeClr w14:val="tx1"/>
                  </w14:solidFill>
                </w14:textFill>
              </w:rPr>
              <w:t>(</w:t>
            </w:r>
            <w:r>
              <w:rPr>
                <w:rFonts w:eastAsia="仿宋" w:cs="Times New Roman"/>
                <w:color w:val="000000" w:themeColor="text1"/>
                <w:spacing w:val="-5"/>
                <w:sz w:val="21"/>
                <w:szCs w:val="21"/>
                <w14:textFill>
                  <w14:solidFill>
                    <w14:schemeClr w14:val="tx1"/>
                  </w14:solidFill>
                </w14:textFill>
              </w:rPr>
              <w:t>hm</w:t>
            </w:r>
            <w:r>
              <w:rPr>
                <w:rFonts w:eastAsia="仿宋" w:cs="Times New Roman"/>
                <w:color w:val="000000" w:themeColor="text1"/>
                <w:spacing w:val="-5"/>
                <w:sz w:val="21"/>
                <w:szCs w:val="21"/>
                <w:vertAlign w:val="superscript"/>
                <w14:textFill>
                  <w14:solidFill>
                    <w14:schemeClr w14:val="tx1"/>
                  </w14:solidFill>
                </w14:textFill>
              </w:rPr>
              <w:t>2</w:t>
            </w:r>
            <w:r>
              <w:rPr>
                <w:rFonts w:ascii="仿宋" w:hAnsi="仿宋" w:eastAsia="仿宋" w:cs="Times New Roman"/>
                <w:color w:val="000000" w:themeColor="text1"/>
                <w:spacing w:val="-1"/>
                <w:sz w:val="21"/>
                <w:szCs w:val="21"/>
                <w14:textFill>
                  <w14:solidFill>
                    <w14:schemeClr w14:val="tx1"/>
                  </w14:solidFill>
                </w14:textFill>
              </w:rPr>
              <w:t>)</w:t>
            </w:r>
          </w:p>
        </w:tc>
        <w:tc>
          <w:tcPr>
            <w:tcW w:w="2018" w:type="dxa"/>
          </w:tcPr>
          <w:p w14:paraId="4D8DE503">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ascii="仿宋" w:hAnsi="仿宋" w:eastAsia="仿宋" w:cs="仿宋"/>
                <w:color w:val="000000" w:themeColor="text1"/>
                <w:spacing w:val="-7"/>
                <w:sz w:val="21"/>
                <w:szCs w:val="21"/>
                <w14:textFill>
                  <w14:solidFill>
                    <w14:schemeClr w14:val="tx1"/>
                  </w14:solidFill>
                </w14:textFill>
              </w:rPr>
              <w:t>备注</w:t>
            </w:r>
          </w:p>
        </w:tc>
      </w:tr>
      <w:tr w14:paraId="19B56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8" w:type="dxa"/>
            <w:vMerge w:val="continue"/>
          </w:tcPr>
          <w:p w14:paraId="689ED274">
            <w:pPr>
              <w:widowControl/>
              <w:autoSpaceDE w:val="0"/>
              <w:autoSpaceDN w:val="0"/>
              <w:ind w:firstLine="0" w:firstLineChars="0"/>
              <w:jc w:val="center"/>
              <w:textAlignment w:val="baseline"/>
              <w:rPr>
                <w:rFonts w:hint="eastAsia" w:ascii="仿宋" w:hAnsi="仿宋" w:eastAsia="仿宋" w:cs="仿宋"/>
                <w:color w:val="000000" w:themeColor="text1"/>
                <w:spacing w:val="-4"/>
                <w:sz w:val="21"/>
                <w:szCs w:val="21"/>
                <w14:textFill>
                  <w14:solidFill>
                    <w14:schemeClr w14:val="tx1"/>
                  </w14:solidFill>
                </w14:textFill>
              </w:rPr>
            </w:pPr>
          </w:p>
        </w:tc>
        <w:tc>
          <w:tcPr>
            <w:tcW w:w="2054" w:type="dxa"/>
            <w:vMerge w:val="continue"/>
          </w:tcPr>
          <w:p w14:paraId="2FFC8801">
            <w:pPr>
              <w:widowControl/>
              <w:autoSpaceDE w:val="0"/>
              <w:autoSpaceDN w:val="0"/>
              <w:ind w:firstLine="0" w:firstLineChars="0"/>
              <w:jc w:val="center"/>
              <w:textAlignment w:val="baseline"/>
              <w:rPr>
                <w:rFonts w:hint="eastAsia" w:ascii="仿宋" w:hAnsi="仿宋" w:eastAsia="仿宋" w:cs="仿宋"/>
                <w:color w:val="000000" w:themeColor="text1"/>
                <w:spacing w:val="-1"/>
                <w:sz w:val="21"/>
                <w:szCs w:val="21"/>
                <w14:textFill>
                  <w14:solidFill>
                    <w14:schemeClr w14:val="tx1"/>
                  </w14:solidFill>
                </w14:textFill>
              </w:rPr>
            </w:pPr>
          </w:p>
        </w:tc>
        <w:tc>
          <w:tcPr>
            <w:tcW w:w="1959" w:type="dxa"/>
            <w:tcBorders>
              <w:right w:val="single" w:color="000000" w:sz="4" w:space="0"/>
            </w:tcBorders>
            <w:vAlign w:val="center"/>
          </w:tcPr>
          <w:p w14:paraId="05FA5C5E">
            <w:pPr>
              <w:widowControl/>
              <w:autoSpaceDE w:val="0"/>
              <w:autoSpaceDN w:val="0"/>
              <w:ind w:firstLine="0" w:firstLineChars="0"/>
              <w:jc w:val="center"/>
              <w:textAlignment w:val="baseline"/>
              <w:rPr>
                <w:rFonts w:hint="eastAsia" w:ascii="仿宋" w:hAnsi="仿宋" w:eastAsia="仿宋" w:cs="Times New Roman"/>
                <w:color w:val="000000" w:themeColor="text1"/>
                <w:sz w:val="21"/>
                <w:szCs w:val="21"/>
                <w14:textFill>
                  <w14:solidFill>
                    <w14:schemeClr w14:val="tx1"/>
                  </w14:solidFill>
                </w14:textFill>
              </w:rPr>
            </w:pPr>
            <w:r>
              <w:rPr>
                <w:rFonts w:hint="eastAsia" w:ascii="仿宋" w:hAnsi="仿宋" w:eastAsia="仿宋" w:cs="Times New Roman"/>
                <w:color w:val="000000" w:themeColor="text1"/>
                <w:sz w:val="21"/>
                <w:szCs w:val="21"/>
                <w14:textFill>
                  <w14:solidFill>
                    <w14:schemeClr w14:val="tx1"/>
                  </w14:solidFill>
                </w14:textFill>
              </w:rPr>
              <w:t>工业用地</w:t>
            </w:r>
          </w:p>
        </w:tc>
        <w:tc>
          <w:tcPr>
            <w:tcW w:w="2018" w:type="dxa"/>
            <w:vMerge w:val="restart"/>
            <w:vAlign w:val="center"/>
          </w:tcPr>
          <w:p w14:paraId="70B638FE">
            <w:pPr>
              <w:widowControl/>
              <w:autoSpaceDE w:val="0"/>
              <w:autoSpaceDN w:val="0"/>
              <w:ind w:firstLine="0" w:firstLineChars="0"/>
              <w:jc w:val="center"/>
              <w:textAlignment w:val="baseline"/>
              <w:rPr>
                <w:rFonts w:hint="eastAsia" w:ascii="仿宋" w:hAnsi="仿宋" w:eastAsia="仿宋" w:cs="仿宋"/>
                <w:color w:val="000000" w:themeColor="text1"/>
                <w:spacing w:val="-7"/>
                <w:sz w:val="21"/>
                <w:szCs w:val="21"/>
                <w14:textFill>
                  <w14:solidFill>
                    <w14:schemeClr w14:val="tx1"/>
                  </w14:solidFill>
                </w14:textFill>
              </w:rPr>
            </w:pPr>
            <w:r>
              <w:rPr>
                <w:rFonts w:hint="eastAsia" w:ascii="仿宋_GB2312" w:hAnsi="仿宋" w:cs="仿宋"/>
                <w:color w:val="000000" w:themeColor="text1"/>
                <w:spacing w:val="-7"/>
                <w:sz w:val="21"/>
                <w:szCs w:val="21"/>
                <w14:textFill>
                  <w14:solidFill>
                    <w14:schemeClr w14:val="tx1"/>
                  </w14:solidFill>
                </w14:textFill>
              </w:rPr>
              <w:t>地面植被主要是项目地块上的野生灌草自然植被</w:t>
            </w:r>
          </w:p>
        </w:tc>
      </w:tr>
      <w:tr w14:paraId="3E96E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8" w:type="dxa"/>
            <w:vAlign w:val="center"/>
          </w:tcPr>
          <w:p w14:paraId="5F3C64A7">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建构筑物工程区</w:t>
            </w:r>
          </w:p>
        </w:tc>
        <w:tc>
          <w:tcPr>
            <w:tcW w:w="2054" w:type="dxa"/>
            <w:vAlign w:val="center"/>
          </w:tcPr>
          <w:p w14:paraId="2AEE40B9">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0.12</w:t>
            </w:r>
          </w:p>
        </w:tc>
        <w:tc>
          <w:tcPr>
            <w:tcW w:w="1959" w:type="dxa"/>
            <w:tcBorders>
              <w:right w:val="single" w:color="000000" w:sz="4" w:space="0"/>
            </w:tcBorders>
            <w:vAlign w:val="center"/>
          </w:tcPr>
          <w:p w14:paraId="1135BBD2">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0.12</w:t>
            </w:r>
          </w:p>
        </w:tc>
        <w:tc>
          <w:tcPr>
            <w:tcW w:w="2018" w:type="dxa"/>
            <w:vMerge w:val="continue"/>
          </w:tcPr>
          <w:p w14:paraId="55732D1F">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6C7FC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8" w:type="dxa"/>
            <w:vAlign w:val="center"/>
          </w:tcPr>
          <w:p w14:paraId="3D969BFA">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场内道路广场及硬化工程区</w:t>
            </w:r>
          </w:p>
        </w:tc>
        <w:tc>
          <w:tcPr>
            <w:tcW w:w="2054" w:type="dxa"/>
            <w:vAlign w:val="center"/>
          </w:tcPr>
          <w:p w14:paraId="55EAA31B">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0.10</w:t>
            </w:r>
          </w:p>
        </w:tc>
        <w:tc>
          <w:tcPr>
            <w:tcW w:w="1959" w:type="dxa"/>
            <w:vAlign w:val="center"/>
          </w:tcPr>
          <w:p w14:paraId="2580221F">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0.10</w:t>
            </w:r>
          </w:p>
        </w:tc>
        <w:tc>
          <w:tcPr>
            <w:tcW w:w="2018" w:type="dxa"/>
            <w:vMerge w:val="continue"/>
          </w:tcPr>
          <w:p w14:paraId="3FA9B489">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3854C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8" w:type="dxa"/>
            <w:vAlign w:val="center"/>
          </w:tcPr>
          <w:p w14:paraId="7DA459A4">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景观绿化工程区</w:t>
            </w:r>
          </w:p>
        </w:tc>
        <w:tc>
          <w:tcPr>
            <w:tcW w:w="2054" w:type="dxa"/>
            <w:vAlign w:val="center"/>
          </w:tcPr>
          <w:p w14:paraId="250FE63C">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0.03</w:t>
            </w:r>
          </w:p>
        </w:tc>
        <w:tc>
          <w:tcPr>
            <w:tcW w:w="1959" w:type="dxa"/>
            <w:vAlign w:val="center"/>
          </w:tcPr>
          <w:p w14:paraId="6E0056CC">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0.03</w:t>
            </w:r>
          </w:p>
        </w:tc>
        <w:tc>
          <w:tcPr>
            <w:tcW w:w="2018" w:type="dxa"/>
            <w:vMerge w:val="continue"/>
          </w:tcPr>
          <w:p w14:paraId="1E0EC97F">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r w14:paraId="5DB61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8" w:type="dxa"/>
            <w:vAlign w:val="center"/>
          </w:tcPr>
          <w:p w14:paraId="27E987A3">
            <w:pPr>
              <w:widowControl/>
              <w:autoSpaceDE w:val="0"/>
              <w:autoSpaceDN w:val="0"/>
              <w:ind w:firstLine="0" w:firstLineChars="0"/>
              <w:jc w:val="center"/>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r>
              <w:rPr>
                <w:rFonts w:hint="eastAsia" w:ascii="仿宋" w:hAnsi="仿宋" w:eastAsia="仿宋" w:cs="仿宋"/>
                <w:b/>
                <w:bCs/>
                <w:snapToGrid w:val="0"/>
                <w:color w:val="000000" w:themeColor="text1"/>
                <w:spacing w:val="-5"/>
                <w:kern w:val="0"/>
                <w:sz w:val="21"/>
                <w:szCs w:val="21"/>
                <w14:textFill>
                  <w14:solidFill>
                    <w14:schemeClr w14:val="tx1"/>
                  </w14:solidFill>
                </w14:textFill>
              </w:rPr>
              <w:t>合计</w:t>
            </w:r>
          </w:p>
        </w:tc>
        <w:tc>
          <w:tcPr>
            <w:tcW w:w="2054" w:type="dxa"/>
            <w:vAlign w:val="center"/>
          </w:tcPr>
          <w:p w14:paraId="45054AB6">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0.25</w:t>
            </w:r>
          </w:p>
        </w:tc>
        <w:tc>
          <w:tcPr>
            <w:tcW w:w="1959" w:type="dxa"/>
            <w:vAlign w:val="center"/>
          </w:tcPr>
          <w:p w14:paraId="7710016E">
            <w:pPr>
              <w:widowControl/>
              <w:autoSpaceDE w:val="0"/>
              <w:autoSpaceDN w:val="0"/>
              <w:spacing w:line="384" w:lineRule="auto"/>
              <w:ind w:firstLine="0" w:firstLineChars="0"/>
              <w:jc w:val="center"/>
              <w:textAlignment w:val="baseline"/>
              <w:rPr>
                <w:snapToGrid w:val="0"/>
                <w:color w:val="000000" w:themeColor="text1"/>
                <w:sz w:val="21"/>
                <w:szCs w:val="21"/>
                <w14:textFill>
                  <w14:solidFill>
                    <w14:schemeClr w14:val="tx1"/>
                  </w14:solidFill>
                </w14:textFill>
              </w:rPr>
            </w:pPr>
            <w:r>
              <w:rPr>
                <w:rFonts w:hint="eastAsia"/>
                <w:snapToGrid w:val="0"/>
                <w:color w:val="000000" w:themeColor="text1"/>
                <w:sz w:val="21"/>
                <w:szCs w:val="21"/>
                <w14:textFill>
                  <w14:solidFill>
                    <w14:schemeClr w14:val="tx1"/>
                  </w14:solidFill>
                </w14:textFill>
              </w:rPr>
              <w:t>0.25</w:t>
            </w:r>
          </w:p>
        </w:tc>
        <w:tc>
          <w:tcPr>
            <w:tcW w:w="2018" w:type="dxa"/>
            <w:vMerge w:val="continue"/>
          </w:tcPr>
          <w:p w14:paraId="3C13C695">
            <w:pPr>
              <w:widowControl/>
              <w:autoSpaceDE w:val="0"/>
              <w:autoSpaceDN w:val="0"/>
              <w:ind w:firstLine="0" w:firstLineChars="0"/>
              <w:textAlignment w:val="baseline"/>
              <w:rPr>
                <w:rFonts w:hint="eastAsia" w:ascii="仿宋" w:hAnsi="仿宋" w:eastAsia="仿宋" w:cs="仿宋"/>
                <w:b/>
                <w:bCs/>
                <w:snapToGrid w:val="0"/>
                <w:color w:val="000000" w:themeColor="text1"/>
                <w:spacing w:val="-5"/>
                <w:kern w:val="0"/>
                <w:sz w:val="21"/>
                <w:szCs w:val="21"/>
                <w14:textFill>
                  <w14:solidFill>
                    <w14:schemeClr w14:val="tx1"/>
                  </w14:solidFill>
                </w14:textFill>
              </w:rPr>
            </w:pPr>
          </w:p>
        </w:tc>
      </w:tr>
    </w:tbl>
    <w:p w14:paraId="2CE05BD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 xml:space="preserve"> 废弃土石方量</w:t>
      </w:r>
    </w:p>
    <w:p w14:paraId="36300107">
      <w:pPr>
        <w:ind w:firstLine="480"/>
        <w:rPr>
          <w:rFonts w:hint="eastAsia" w:eastAsia="仿宋_GB2312"/>
          <w:color w:val="000000" w:themeColor="text1"/>
          <w:spacing w:val="-4"/>
          <w:highlight w:val="none"/>
          <w:lang w:eastAsia="zh-CN"/>
          <w14:textFill>
            <w14:solidFill>
              <w14:schemeClr w14:val="tx1"/>
            </w14:solidFill>
          </w14:textFill>
        </w:rPr>
      </w:pPr>
      <w:r>
        <w:rPr>
          <w:rFonts w:hint="eastAsia"/>
          <w:color w:val="000000" w:themeColor="text1"/>
          <w14:textFill>
            <w14:solidFill>
              <w14:schemeClr w14:val="tx1"/>
            </w14:solidFill>
          </w14:textFill>
        </w:rPr>
        <w:t>项目土石方开挖总量为3.41万</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含表土剥离0.10万</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），土石方回填量为0.37万</w:t>
      </w:r>
      <w:r>
        <w:rPr>
          <w:color w:val="000000" w:themeColor="text1"/>
          <w14:textFill>
            <w14:solidFill>
              <w14:schemeClr w14:val="tx1"/>
            </w14:solidFill>
          </w14:textFill>
        </w:rPr>
        <w:t>m³</w:t>
      </w:r>
      <w:r>
        <w:rPr>
          <w:rFonts w:hint="eastAsia"/>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含表土剥离0.10万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），余方3.04万</w:t>
      </w:r>
      <w:r>
        <w:rPr>
          <w:color w:val="000000" w:themeColor="text1"/>
          <w:highlight w:val="none"/>
          <w14:textFill>
            <w14:solidFill>
              <w14:schemeClr w14:val="tx1"/>
            </w14:solidFill>
          </w14:textFill>
        </w:rPr>
        <w:t>m³</w:t>
      </w:r>
      <w:r>
        <w:rPr>
          <w:rFonts w:hint="eastAsia"/>
          <w:color w:val="000000" w:themeColor="text1"/>
          <w:highlight w:val="none"/>
          <w14:textFill>
            <w14:solidFill>
              <w14:schemeClr w14:val="tx1"/>
            </w14:solidFill>
          </w14:textFill>
        </w:rPr>
        <w:t>，</w:t>
      </w:r>
      <w:r>
        <w:rPr>
          <w:rFonts w:hint="eastAsia"/>
          <w:color w:val="000000" w:themeColor="text1"/>
          <w:highlight w:val="none"/>
          <w:lang w:eastAsia="zh-CN"/>
          <w14:textFill>
            <w14:solidFill>
              <w14:schemeClr w14:val="tx1"/>
            </w14:solidFill>
          </w14:textFill>
        </w:rPr>
        <w:t>余方运送至距离项目4.5公里的绵阳会展中心综合体项目周边道路建设项目（三期）回填后综合利用。</w:t>
      </w:r>
    </w:p>
    <w:p w14:paraId="6AA42CAD">
      <w:pPr>
        <w:ind w:firstLine="472"/>
        <w:rPr>
          <w:rFonts w:ascii="仿宋_GB2312" w:cs="Times New Roman"/>
          <w:color w:val="000000" w:themeColor="text1"/>
          <w:spacing w:val="-4"/>
          <w:highlight w:val="none"/>
          <w14:textFill>
            <w14:solidFill>
              <w14:schemeClr w14:val="tx1"/>
            </w14:solidFill>
          </w14:textFill>
        </w:rPr>
      </w:pPr>
      <w:r>
        <w:rPr>
          <w:rFonts w:hint="eastAsia" w:ascii="仿宋_GB2312" w:cs="Times New Roman"/>
          <w:color w:val="000000" w:themeColor="text1"/>
          <w:spacing w:val="-4"/>
          <w:highlight w:val="none"/>
          <w14:textFill>
            <w14:solidFill>
              <w14:schemeClr w14:val="tx1"/>
            </w14:solidFill>
          </w14:textFill>
        </w:rPr>
        <w:t>主体设计尽可能考虑了土石方综合利用，以达到减少工程弃土数量的目的，本项目开挖产生的土石方一部分用作场内建构筑物基础、道路广场以及景观绿化区的回填，一部分运送至</w:t>
      </w:r>
      <w:r>
        <w:rPr>
          <w:rFonts w:hint="eastAsia"/>
          <w:color w:val="000000" w:themeColor="text1"/>
          <w:highlight w:val="none"/>
          <w:lang w:eastAsia="zh-CN"/>
          <w14:textFill>
            <w14:solidFill>
              <w14:schemeClr w14:val="tx1"/>
            </w14:solidFill>
          </w14:textFill>
        </w:rPr>
        <w:t>绵阳会展中心综合体项目周边道路建设项目（三期）</w:t>
      </w:r>
      <w:r>
        <w:rPr>
          <w:rFonts w:hint="eastAsia" w:ascii="仿宋_GB2312" w:cs="Times New Roman"/>
          <w:color w:val="000000" w:themeColor="text1"/>
          <w:spacing w:val="-4"/>
          <w:highlight w:val="none"/>
          <w14:textFill>
            <w14:solidFill>
              <w14:schemeClr w14:val="tx1"/>
            </w14:solidFill>
          </w14:textFill>
        </w:rPr>
        <w:t>回填后综合利用，同时通过合理调运来满足工程、保护土地资源等方面的要求。</w:t>
      </w:r>
    </w:p>
    <w:p w14:paraId="3752DF7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项目不再单独不设置弃渣场，减少了因弃渣场设置造成的占地和水土流失。</w:t>
      </w:r>
    </w:p>
    <w:p w14:paraId="015379F4">
      <w:pPr>
        <w:pStyle w:val="3"/>
        <w:rPr>
          <w:color w:val="000000" w:themeColor="text1"/>
          <w14:textFill>
            <w14:solidFill>
              <w14:schemeClr w14:val="tx1"/>
            </w14:solidFill>
          </w14:textFill>
        </w:rPr>
      </w:pPr>
      <w:bookmarkStart w:id="95" w:name="_Toc30284"/>
      <w:bookmarkStart w:id="96" w:name="_Toc24356"/>
      <w:r>
        <w:rPr>
          <w:rFonts w:hint="eastAsia"/>
          <w:color w:val="000000" w:themeColor="text1"/>
          <w14:textFill>
            <w14:solidFill>
              <w14:schemeClr w14:val="tx1"/>
            </w14:solidFill>
          </w14:textFill>
        </w:rPr>
        <w:t>4.3土壤流失量调查与预测</w:t>
      </w:r>
      <w:bookmarkEnd w:id="95"/>
      <w:bookmarkEnd w:id="96"/>
    </w:p>
    <w:p w14:paraId="7A7A2F13">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4.3.1调查/预测单元</w:t>
      </w:r>
    </w:p>
    <w:p w14:paraId="3C6CD6E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根据《生产建设项目土壤流失量测算导则》 (SL773-2018)相关计算方法。划分一般扰动地表土壤流失量计算单元应符合下列要求：</w:t>
      </w:r>
    </w:p>
    <w:p w14:paraId="367D299F">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)同一计算单元扰动前地形地貌和土地利用情况基本一致。</w:t>
      </w:r>
    </w:p>
    <w:p w14:paraId="7AB27A19">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)同一计算单元的扰动方式相同。</w:t>
      </w:r>
    </w:p>
    <w:p w14:paraId="2C02F9E9">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)同一计算单元扰动后植被覆盖、土壤物理性状等相近。</w:t>
      </w:r>
    </w:p>
    <w:p w14:paraId="093A179F">
      <w:pPr>
        <w:ind w:firstLine="480"/>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)计算单元的划分应反映施工进度的变化。当同一扰动下垫面地形条件、土地利用、植被覆盖等条件发生较大变化时，应视为多个计算单元，分别计算相应测算期的土壤流失量。</w:t>
      </w:r>
    </w:p>
    <w:p w14:paraId="14A8D6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按照施工工艺和方法相似、新增水土流失类型和形式相近的原则确定本工程水土流失预测单元。结合工程组成，确定本工程水土流失预测单元分为地上工程区、地下工程区2个一级分区，地上工程区又分为建构筑物工程区、场内道路及硬化工程区、景观绿化工程区3个二级分区。</w:t>
      </w:r>
    </w:p>
    <w:p w14:paraId="2C2D44A8">
      <w:pPr>
        <w:ind w:firstLine="0" w:firstLineChars="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 xml:space="preserve">表4.3-1 </w:t>
      </w:r>
      <w:r>
        <w:rPr>
          <w:b/>
          <w:bCs/>
          <w:color w:val="000000" w:themeColor="text1"/>
          <w:sz w:val="21"/>
          <w:szCs w:val="21"/>
          <w14:textFill>
            <w14:solidFill>
              <w14:schemeClr w14:val="tx1"/>
            </w14:solidFill>
          </w14:textFill>
        </w:rPr>
        <w:t xml:space="preserve">                        </w:t>
      </w:r>
      <w:r>
        <w:rPr>
          <w:rFonts w:hint="eastAsia"/>
          <w:b/>
          <w:bCs/>
          <w:color w:val="000000" w:themeColor="text1"/>
          <w:sz w:val="21"/>
          <w:szCs w:val="21"/>
          <w14:textFill>
            <w14:solidFill>
              <w14:schemeClr w14:val="tx1"/>
            </w14:solidFill>
          </w14:textFill>
        </w:rPr>
        <w:t>水土流失预测单元划分表</w:t>
      </w:r>
    </w:p>
    <w:tbl>
      <w:tblPr>
        <w:tblStyle w:val="72"/>
        <w:tblW w:w="94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76"/>
        <w:gridCol w:w="2127"/>
        <w:gridCol w:w="1984"/>
        <w:gridCol w:w="1843"/>
        <w:gridCol w:w="2251"/>
      </w:tblGrid>
      <w:tr w14:paraId="3E001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76" w:type="dxa"/>
            <w:vMerge w:val="restart"/>
            <w:vAlign w:val="center"/>
          </w:tcPr>
          <w:p w14:paraId="5FAF9F5F">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调查/预测单元（一级分区）</w:t>
            </w:r>
          </w:p>
        </w:tc>
        <w:tc>
          <w:tcPr>
            <w:tcW w:w="2127" w:type="dxa"/>
            <w:vMerge w:val="restart"/>
            <w:vAlign w:val="center"/>
          </w:tcPr>
          <w:p w14:paraId="6F81DE25">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调查/预测单元（二级分区）</w:t>
            </w:r>
          </w:p>
        </w:tc>
        <w:tc>
          <w:tcPr>
            <w:tcW w:w="6078" w:type="dxa"/>
            <w:gridSpan w:val="3"/>
            <w:vAlign w:val="center"/>
          </w:tcPr>
          <w:p w14:paraId="64341B17">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土壤流失类型</w:t>
            </w:r>
          </w:p>
        </w:tc>
      </w:tr>
      <w:tr w14:paraId="21C55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76" w:type="dxa"/>
            <w:vMerge w:val="continue"/>
          </w:tcPr>
          <w:p w14:paraId="25CC9714">
            <w:pPr>
              <w:widowControl/>
              <w:autoSpaceDE w:val="0"/>
              <w:autoSpaceDN w:val="0"/>
              <w:spacing w:line="240" w:lineRule="auto"/>
              <w:ind w:firstLine="0" w:firstLineChars="0"/>
              <w:jc w:val="left"/>
              <w:textAlignment w:val="baseline"/>
              <w:rPr>
                <w:rFonts w:hint="eastAsia" w:ascii="仿宋_GB2312" w:hAnsi="仿宋" w:cs="Arial"/>
                <w:snapToGrid w:val="0"/>
                <w:color w:val="000000" w:themeColor="text1"/>
                <w:kern w:val="0"/>
                <w:sz w:val="18"/>
                <w:szCs w:val="18"/>
                <w14:textFill>
                  <w14:solidFill>
                    <w14:schemeClr w14:val="tx1"/>
                  </w14:solidFill>
                </w14:textFill>
              </w:rPr>
            </w:pPr>
          </w:p>
        </w:tc>
        <w:tc>
          <w:tcPr>
            <w:tcW w:w="2127" w:type="dxa"/>
            <w:vMerge w:val="continue"/>
          </w:tcPr>
          <w:p w14:paraId="34CCA293">
            <w:pPr>
              <w:widowControl/>
              <w:autoSpaceDE w:val="0"/>
              <w:autoSpaceDN w:val="0"/>
              <w:spacing w:line="240" w:lineRule="auto"/>
              <w:ind w:firstLine="0" w:firstLineChars="0"/>
              <w:jc w:val="left"/>
              <w:textAlignment w:val="baseline"/>
              <w:rPr>
                <w:rFonts w:hint="eastAsia" w:ascii="仿宋_GB2312" w:hAnsi="仿宋" w:cs="Arial"/>
                <w:snapToGrid w:val="0"/>
                <w:color w:val="000000" w:themeColor="text1"/>
                <w:kern w:val="0"/>
                <w:sz w:val="18"/>
                <w:szCs w:val="18"/>
                <w14:textFill>
                  <w14:solidFill>
                    <w14:schemeClr w14:val="tx1"/>
                  </w14:solidFill>
                </w14:textFill>
              </w:rPr>
            </w:pPr>
          </w:p>
        </w:tc>
        <w:tc>
          <w:tcPr>
            <w:tcW w:w="1984" w:type="dxa"/>
            <w:vAlign w:val="center"/>
          </w:tcPr>
          <w:p w14:paraId="29859FBF">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一级分类</w:t>
            </w:r>
          </w:p>
        </w:tc>
        <w:tc>
          <w:tcPr>
            <w:tcW w:w="1843" w:type="dxa"/>
            <w:vAlign w:val="center"/>
          </w:tcPr>
          <w:p w14:paraId="064E1AA9">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二级分类</w:t>
            </w:r>
          </w:p>
        </w:tc>
        <w:tc>
          <w:tcPr>
            <w:tcW w:w="2251" w:type="dxa"/>
            <w:vAlign w:val="center"/>
          </w:tcPr>
          <w:p w14:paraId="7D6188AD">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三级分类</w:t>
            </w:r>
          </w:p>
        </w:tc>
      </w:tr>
      <w:tr w14:paraId="040DB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76" w:type="dxa"/>
            <w:vAlign w:val="center"/>
          </w:tcPr>
          <w:p w14:paraId="2B035DF8">
            <w:pPr>
              <w:widowControl/>
              <w:autoSpaceDE w:val="0"/>
              <w:autoSpaceDN w:val="0"/>
              <w:spacing w:line="240" w:lineRule="auto"/>
              <w:ind w:firstLine="0" w:firstLineChars="0"/>
              <w:jc w:val="center"/>
              <w:textAlignment w:val="baseline"/>
              <w:rPr>
                <w:rFonts w:hint="eastAsia" w:ascii="仿宋_GB2312" w:hAnsi="仿宋" w:cs="Arial"/>
                <w:snapToGrid w:val="0"/>
                <w:color w:val="000000" w:themeColor="text1"/>
                <w:kern w:val="0"/>
                <w:sz w:val="18"/>
                <w:szCs w:val="18"/>
                <w14:textFill>
                  <w14:solidFill>
                    <w14:schemeClr w14:val="tx1"/>
                  </w14:solidFill>
                </w14:textFill>
              </w:rPr>
            </w:pPr>
            <w:r>
              <w:rPr>
                <w:rFonts w:hint="eastAsia" w:ascii="仿宋_GB2312" w:hAnsi="仿宋" w:cs="Arial"/>
                <w:snapToGrid w:val="0"/>
                <w:color w:val="000000" w:themeColor="text1"/>
                <w:kern w:val="0"/>
                <w:sz w:val="18"/>
                <w:szCs w:val="18"/>
                <w14:textFill>
                  <w14:solidFill>
                    <w14:schemeClr w14:val="tx1"/>
                  </w14:solidFill>
                </w14:textFill>
              </w:rPr>
              <w:t>地下工程区</w:t>
            </w:r>
          </w:p>
        </w:tc>
        <w:tc>
          <w:tcPr>
            <w:tcW w:w="2127" w:type="dxa"/>
            <w:vAlign w:val="center"/>
          </w:tcPr>
          <w:p w14:paraId="3B38CA9C">
            <w:pPr>
              <w:widowControl/>
              <w:autoSpaceDE w:val="0"/>
              <w:autoSpaceDN w:val="0"/>
              <w:spacing w:line="240" w:lineRule="auto"/>
              <w:ind w:firstLine="0" w:firstLineChars="0"/>
              <w:jc w:val="center"/>
              <w:textAlignment w:val="baseline"/>
              <w:rPr>
                <w:rFonts w:hint="eastAsia" w:ascii="仿宋_GB2312" w:hAnsi="仿宋" w:cs="Arial"/>
                <w:snapToGrid w:val="0"/>
                <w:color w:val="000000" w:themeColor="text1"/>
                <w:kern w:val="0"/>
                <w:sz w:val="18"/>
                <w:szCs w:val="18"/>
                <w14:textFill>
                  <w14:solidFill>
                    <w14:schemeClr w14:val="tx1"/>
                  </w14:solidFill>
                </w14:textFill>
              </w:rPr>
            </w:pPr>
            <w:r>
              <w:rPr>
                <w:rFonts w:hint="eastAsia" w:ascii="仿宋_GB2312" w:hAnsi="仿宋" w:cs="Arial"/>
                <w:snapToGrid w:val="0"/>
                <w:color w:val="000000" w:themeColor="text1"/>
                <w:kern w:val="0"/>
                <w:sz w:val="18"/>
                <w:szCs w:val="18"/>
                <w14:textFill>
                  <w14:solidFill>
                    <w14:schemeClr w14:val="tx1"/>
                  </w14:solidFill>
                </w14:textFill>
              </w:rPr>
              <w:t>地下建筑工程区</w:t>
            </w:r>
          </w:p>
        </w:tc>
        <w:tc>
          <w:tcPr>
            <w:tcW w:w="1984" w:type="dxa"/>
            <w:vAlign w:val="center"/>
          </w:tcPr>
          <w:p w14:paraId="0CC1A282">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水力作用下的土壤流失</w:t>
            </w:r>
          </w:p>
        </w:tc>
        <w:tc>
          <w:tcPr>
            <w:tcW w:w="1843" w:type="dxa"/>
            <w:vAlign w:val="center"/>
          </w:tcPr>
          <w:p w14:paraId="7B8414EA">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工程开挖面</w:t>
            </w:r>
          </w:p>
        </w:tc>
        <w:tc>
          <w:tcPr>
            <w:tcW w:w="2251" w:type="dxa"/>
            <w:vAlign w:val="center"/>
          </w:tcPr>
          <w:p w14:paraId="15233DFC">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上方无来水工程开挖面</w:t>
            </w:r>
          </w:p>
        </w:tc>
      </w:tr>
      <w:tr w14:paraId="543B2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76" w:type="dxa"/>
            <w:vMerge w:val="restart"/>
            <w:vAlign w:val="center"/>
          </w:tcPr>
          <w:p w14:paraId="1C83F80A">
            <w:pPr>
              <w:autoSpaceDE w:val="0"/>
              <w:autoSpaceDN w:val="0"/>
              <w:spacing w:before="67" w:line="189" w:lineRule="auto"/>
              <w:ind w:firstLine="176" w:firstLineChars="100"/>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地上工程区</w:t>
            </w:r>
          </w:p>
        </w:tc>
        <w:tc>
          <w:tcPr>
            <w:tcW w:w="2127" w:type="dxa"/>
            <w:vAlign w:val="center"/>
          </w:tcPr>
          <w:p w14:paraId="0DCF60B1">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建构筑物工程区</w:t>
            </w:r>
          </w:p>
        </w:tc>
        <w:tc>
          <w:tcPr>
            <w:tcW w:w="1984" w:type="dxa"/>
            <w:vAlign w:val="center"/>
          </w:tcPr>
          <w:p w14:paraId="67BD1D99">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水力作用下的土壤流失</w:t>
            </w:r>
          </w:p>
        </w:tc>
        <w:tc>
          <w:tcPr>
            <w:tcW w:w="1843" w:type="dxa"/>
            <w:vAlign w:val="center"/>
          </w:tcPr>
          <w:p w14:paraId="5D25525E">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一般扰动地表</w:t>
            </w:r>
          </w:p>
        </w:tc>
        <w:tc>
          <w:tcPr>
            <w:tcW w:w="2251" w:type="dxa"/>
            <w:vAlign w:val="center"/>
          </w:tcPr>
          <w:p w14:paraId="7BD5CD8A">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地表翻扰型一般扰动地表</w:t>
            </w:r>
          </w:p>
        </w:tc>
      </w:tr>
      <w:tr w14:paraId="5057B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76" w:type="dxa"/>
            <w:vMerge w:val="continue"/>
          </w:tcPr>
          <w:p w14:paraId="7D80530E">
            <w:pPr>
              <w:widowControl/>
              <w:autoSpaceDE w:val="0"/>
              <w:autoSpaceDN w:val="0"/>
              <w:spacing w:before="215"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p>
        </w:tc>
        <w:tc>
          <w:tcPr>
            <w:tcW w:w="2127" w:type="dxa"/>
            <w:vAlign w:val="center"/>
          </w:tcPr>
          <w:p w14:paraId="3EFF2A56">
            <w:pPr>
              <w:widowControl/>
              <w:autoSpaceDE w:val="0"/>
              <w:autoSpaceDN w:val="0"/>
              <w:spacing w:before="215" w:line="189" w:lineRule="auto"/>
              <w:ind w:firstLine="0" w:firstLineChars="0"/>
              <w:jc w:val="center"/>
              <w:textAlignment w:val="baseline"/>
              <w:rPr>
                <w:rFonts w:hint="eastAsia" w:ascii="仿宋_GB2312" w:hAnsi="仿宋" w:cs="仿宋"/>
                <w:snapToGrid w:val="0"/>
                <w:color w:val="000000" w:themeColor="text1"/>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场内道路及硬化工程区</w:t>
            </w:r>
          </w:p>
        </w:tc>
        <w:tc>
          <w:tcPr>
            <w:tcW w:w="1984" w:type="dxa"/>
            <w:vAlign w:val="center"/>
          </w:tcPr>
          <w:p w14:paraId="5E07EE98">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水力作用下的土壤流失</w:t>
            </w:r>
          </w:p>
        </w:tc>
        <w:tc>
          <w:tcPr>
            <w:tcW w:w="1843" w:type="dxa"/>
            <w:vAlign w:val="center"/>
          </w:tcPr>
          <w:p w14:paraId="715936C0">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一般扰动地表</w:t>
            </w:r>
          </w:p>
        </w:tc>
        <w:tc>
          <w:tcPr>
            <w:tcW w:w="2251" w:type="dxa"/>
            <w:vAlign w:val="center"/>
          </w:tcPr>
          <w:p w14:paraId="0696556C">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地表翻扰型一般扰动地表</w:t>
            </w:r>
          </w:p>
        </w:tc>
      </w:tr>
      <w:tr w14:paraId="74526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76" w:type="dxa"/>
            <w:vMerge w:val="continue"/>
          </w:tcPr>
          <w:p w14:paraId="4F66CC89">
            <w:pPr>
              <w:widowControl/>
              <w:autoSpaceDE w:val="0"/>
              <w:autoSpaceDN w:val="0"/>
              <w:spacing w:before="221"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p>
        </w:tc>
        <w:tc>
          <w:tcPr>
            <w:tcW w:w="2127" w:type="dxa"/>
            <w:vMerge w:val="restart"/>
            <w:vAlign w:val="center"/>
          </w:tcPr>
          <w:p w14:paraId="35C171EC">
            <w:pPr>
              <w:widowControl/>
              <w:autoSpaceDE w:val="0"/>
              <w:autoSpaceDN w:val="0"/>
              <w:spacing w:before="221" w:line="189" w:lineRule="auto"/>
              <w:ind w:firstLine="0" w:firstLineChars="0"/>
              <w:jc w:val="center"/>
              <w:textAlignment w:val="baseline"/>
              <w:rPr>
                <w:rFonts w:hint="eastAsia" w:ascii="仿宋_GB2312" w:hAnsi="仿宋" w:cs="仿宋"/>
                <w:snapToGrid w:val="0"/>
                <w:color w:val="000000" w:themeColor="text1"/>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景观绿化工程区</w:t>
            </w:r>
          </w:p>
        </w:tc>
        <w:tc>
          <w:tcPr>
            <w:tcW w:w="1984" w:type="dxa"/>
            <w:vMerge w:val="restart"/>
            <w:vAlign w:val="center"/>
          </w:tcPr>
          <w:p w14:paraId="593C2F84">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水力作用下的土壤流失</w:t>
            </w:r>
          </w:p>
        </w:tc>
        <w:tc>
          <w:tcPr>
            <w:tcW w:w="1843" w:type="dxa"/>
            <w:vAlign w:val="center"/>
          </w:tcPr>
          <w:p w14:paraId="74F7D169">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一般扰动地表</w:t>
            </w:r>
          </w:p>
        </w:tc>
        <w:tc>
          <w:tcPr>
            <w:tcW w:w="2251" w:type="dxa"/>
            <w:vAlign w:val="center"/>
          </w:tcPr>
          <w:p w14:paraId="6229B004">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地表翻扰型一般扰动地表</w:t>
            </w:r>
          </w:p>
        </w:tc>
      </w:tr>
      <w:tr w14:paraId="55D25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76" w:type="dxa"/>
            <w:vMerge w:val="continue"/>
          </w:tcPr>
          <w:p w14:paraId="17730906">
            <w:pPr>
              <w:widowControl/>
              <w:autoSpaceDE w:val="0"/>
              <w:autoSpaceDN w:val="0"/>
              <w:spacing w:line="240" w:lineRule="auto"/>
              <w:ind w:firstLine="0" w:firstLineChars="0"/>
              <w:jc w:val="center"/>
              <w:textAlignment w:val="baseline"/>
              <w:rPr>
                <w:rFonts w:hint="eastAsia" w:ascii="仿宋_GB2312" w:hAnsi="仿宋" w:cs="Arial"/>
                <w:snapToGrid w:val="0"/>
                <w:color w:val="000000" w:themeColor="text1"/>
                <w:kern w:val="0"/>
                <w:sz w:val="18"/>
                <w:szCs w:val="18"/>
                <w14:textFill>
                  <w14:solidFill>
                    <w14:schemeClr w14:val="tx1"/>
                  </w14:solidFill>
                </w14:textFill>
              </w:rPr>
            </w:pPr>
          </w:p>
        </w:tc>
        <w:tc>
          <w:tcPr>
            <w:tcW w:w="2127" w:type="dxa"/>
            <w:vMerge w:val="continue"/>
            <w:vAlign w:val="center"/>
          </w:tcPr>
          <w:p w14:paraId="332DF489">
            <w:pPr>
              <w:widowControl/>
              <w:autoSpaceDE w:val="0"/>
              <w:autoSpaceDN w:val="0"/>
              <w:spacing w:line="240" w:lineRule="auto"/>
              <w:ind w:firstLine="0" w:firstLineChars="0"/>
              <w:jc w:val="center"/>
              <w:textAlignment w:val="baseline"/>
              <w:rPr>
                <w:rFonts w:hint="eastAsia" w:ascii="仿宋_GB2312" w:hAnsi="仿宋" w:cs="Arial"/>
                <w:snapToGrid w:val="0"/>
                <w:color w:val="000000" w:themeColor="text1"/>
                <w:kern w:val="0"/>
                <w:sz w:val="18"/>
                <w:szCs w:val="18"/>
                <w14:textFill>
                  <w14:solidFill>
                    <w14:schemeClr w14:val="tx1"/>
                  </w14:solidFill>
                </w14:textFill>
              </w:rPr>
            </w:pPr>
          </w:p>
        </w:tc>
        <w:tc>
          <w:tcPr>
            <w:tcW w:w="1984" w:type="dxa"/>
            <w:vMerge w:val="continue"/>
            <w:vAlign w:val="center"/>
          </w:tcPr>
          <w:p w14:paraId="050AFEF2">
            <w:pPr>
              <w:widowControl/>
              <w:autoSpaceDE w:val="0"/>
              <w:autoSpaceDN w:val="0"/>
              <w:spacing w:before="67" w:line="189" w:lineRule="auto"/>
              <w:ind w:firstLine="0" w:firstLineChars="0"/>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p>
        </w:tc>
        <w:tc>
          <w:tcPr>
            <w:tcW w:w="1843" w:type="dxa"/>
            <w:vAlign w:val="center"/>
          </w:tcPr>
          <w:p w14:paraId="11E32EDB">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一般扰动地表（自然恢复期）</w:t>
            </w:r>
          </w:p>
        </w:tc>
        <w:tc>
          <w:tcPr>
            <w:tcW w:w="2251" w:type="dxa"/>
            <w:vAlign w:val="center"/>
          </w:tcPr>
          <w:p w14:paraId="53895017">
            <w:pPr>
              <w:widowControl/>
              <w:autoSpaceDE w:val="0"/>
              <w:autoSpaceDN w:val="0"/>
              <w:spacing w:before="67" w:line="189" w:lineRule="auto"/>
              <w:ind w:firstLine="0" w:firstLineChars="0"/>
              <w:jc w:val="center"/>
              <w:textAlignment w:val="baseline"/>
              <w:rPr>
                <w:rFonts w:hint="eastAsia" w:ascii="仿宋_GB2312" w:hAnsi="仿宋" w:cs="仿宋"/>
                <w:snapToGrid w:val="0"/>
                <w:color w:val="000000" w:themeColor="text1"/>
                <w:spacing w:val="-2"/>
                <w:kern w:val="0"/>
                <w:sz w:val="18"/>
                <w:szCs w:val="18"/>
                <w14:textFill>
                  <w14:solidFill>
                    <w14:schemeClr w14:val="tx1"/>
                  </w14:solidFill>
                </w14:textFill>
              </w:rPr>
            </w:pPr>
            <w:r>
              <w:rPr>
                <w:rFonts w:hint="eastAsia" w:ascii="仿宋_GB2312" w:hAnsi="仿宋" w:cs="仿宋"/>
                <w:snapToGrid w:val="0"/>
                <w:color w:val="000000" w:themeColor="text1"/>
                <w:spacing w:val="-2"/>
                <w:kern w:val="0"/>
                <w:sz w:val="18"/>
                <w:szCs w:val="18"/>
                <w14:textFill>
                  <w14:solidFill>
                    <w14:schemeClr w14:val="tx1"/>
                  </w14:solidFill>
                </w14:textFill>
              </w:rPr>
              <w:t>植被破坏型一般扰动地表</w:t>
            </w:r>
          </w:p>
        </w:tc>
      </w:tr>
    </w:tbl>
    <w:p w14:paraId="012AC739">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4.3.2调查/预测时段</w:t>
      </w:r>
    </w:p>
    <w:p w14:paraId="612973C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本工程属于建设类工程项目，项目已开工建设，根据《生产建设项目水土保持技术标准》（GB 50433-2018），水土流失预测时段分为后续施工期和自然恢复期。本项目后续施工期为2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4年5月至2</w:t>
      </w:r>
      <w:r>
        <w:rPr>
          <w:color w:val="000000" w:themeColor="text1"/>
          <w14:textFill>
            <w14:solidFill>
              <w14:schemeClr w14:val="tx1"/>
            </w14:solidFill>
          </w14:textFill>
        </w:rPr>
        <w:t>024</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 xml:space="preserve">月底，后续施工期水土流失预测时段为 </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年。</w:t>
      </w:r>
    </w:p>
    <w:p w14:paraId="0E4A86B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1、调查时段</w:t>
      </w:r>
    </w:p>
    <w:p w14:paraId="5C1FB4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本项目已于</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3年6月开工，预计2</w:t>
      </w:r>
      <w:r>
        <w:rPr>
          <w:color w:val="000000" w:themeColor="text1"/>
          <w14:textFill>
            <w14:solidFill>
              <w14:schemeClr w14:val="tx1"/>
            </w14:solidFill>
          </w14:textFill>
        </w:rPr>
        <w:t>024</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底月完工，</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3年6月至2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4年</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月采取水土流失调查，调查时间取</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年。</w:t>
      </w:r>
    </w:p>
    <w:p w14:paraId="475CD3B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2、预测时段</w:t>
      </w:r>
    </w:p>
    <w:p w14:paraId="4F33E4C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4年6月至</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4年</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月底采取水土流失预测，预测时间取0.</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年，预测范围为0.95</w:t>
      </w:r>
      <w:r>
        <w:rPr>
          <w:color w:val="000000" w:themeColor="text1"/>
          <w14:textFill>
            <w14:solidFill>
              <w14:schemeClr w14:val="tx1"/>
            </w14:solidFill>
          </w14:textFill>
        </w:rPr>
        <w:t>hm²</w:t>
      </w:r>
      <w:r>
        <w:rPr>
          <w:rFonts w:hint="eastAsia"/>
          <w:color w:val="000000" w:themeColor="text1"/>
          <w14:textFill>
            <w14:solidFill>
              <w14:schemeClr w14:val="tx1"/>
            </w14:solidFill>
          </w14:textFill>
        </w:rPr>
        <w:t>。</w:t>
      </w:r>
    </w:p>
    <w:p w14:paraId="14DDA94D">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、自然恢复期</w:t>
      </w:r>
    </w:p>
    <w:p w14:paraId="16B4A91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施工结束后，因施工引起水土流失的各项因素逐渐消失，地表扰动基本停止，植被得到逐步恢复，松散裸露面逐步趋于稳定，水土流失将逐步减小，但自然恢复期仍有一定量的水土流失。自然恢复期结合当地降雨量及植被情况，自然恢复期按</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年进行预测。自然恢复期预测面积即本项目绿化面积，共计0.25</w:t>
      </w:r>
      <w:r>
        <w:rPr>
          <w:color w:val="000000" w:themeColor="text1"/>
          <w14:textFill>
            <w14:solidFill>
              <w14:schemeClr w14:val="tx1"/>
            </w14:solidFill>
          </w14:textFill>
        </w:rPr>
        <w:t>hm²</w:t>
      </w:r>
      <w:r>
        <w:rPr>
          <w:rFonts w:hint="eastAsia"/>
          <w:color w:val="000000" w:themeColor="text1"/>
          <w14:textFill>
            <w14:solidFill>
              <w14:schemeClr w14:val="tx1"/>
            </w14:solidFill>
          </w14:textFill>
        </w:rPr>
        <w:t>。</w:t>
      </w:r>
    </w:p>
    <w:p w14:paraId="2BC8BBF1">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本项目各</w:t>
      </w:r>
      <w:r>
        <w:rPr>
          <w:rFonts w:hint="eastAsia"/>
          <w:color w:val="000000" w:themeColor="text1"/>
          <w14:textFill>
            <w14:solidFill>
              <w14:schemeClr w14:val="tx1"/>
            </w14:solidFill>
          </w14:textFill>
        </w:rPr>
        <w:t>调查/</w:t>
      </w:r>
      <w:r>
        <w:rPr>
          <w:color w:val="000000" w:themeColor="text1"/>
          <w14:textFill>
            <w14:solidFill>
              <w14:schemeClr w14:val="tx1"/>
            </w14:solidFill>
          </w14:textFill>
        </w:rPr>
        <w:t>预测单元预测时段见表</w:t>
      </w:r>
      <w:r>
        <w:rPr>
          <w:rFonts w:hint="eastAsia"/>
          <w:color w:val="000000" w:themeColor="text1"/>
          <w14:textFill>
            <w14:solidFill>
              <w14:schemeClr w14:val="tx1"/>
            </w14:solidFill>
          </w14:textFill>
        </w:rPr>
        <w:t>4.3-</w:t>
      </w:r>
      <w:r>
        <w:rPr>
          <w:color w:val="000000" w:themeColor="text1"/>
          <w14:textFill>
            <w14:solidFill>
              <w14:schemeClr w14:val="tx1"/>
            </w14:solidFill>
          </w14:textFill>
        </w:rPr>
        <w:t>2。</w:t>
      </w:r>
    </w:p>
    <w:p w14:paraId="4EDED06F">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表4.3-</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水土流失预测单元和预测时段划分表</w:t>
      </w:r>
    </w:p>
    <w:tbl>
      <w:tblPr>
        <w:tblStyle w:val="73"/>
        <w:tblW w:w="5444" w:type="pct"/>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6"/>
        <w:gridCol w:w="1020"/>
        <w:gridCol w:w="1187"/>
        <w:gridCol w:w="2033"/>
        <w:gridCol w:w="1134"/>
        <w:gridCol w:w="924"/>
        <w:gridCol w:w="866"/>
        <w:gridCol w:w="1054"/>
      </w:tblGrid>
      <w:tr w14:paraId="503CB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9" w:hRule="atLeast"/>
          <w:jc w:val="right"/>
        </w:trPr>
        <w:tc>
          <w:tcPr>
            <w:tcW w:w="462" w:type="pct"/>
            <w:vAlign w:val="center"/>
          </w:tcPr>
          <w:p w14:paraId="54EF21E4">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项目组成</w:t>
            </w:r>
          </w:p>
        </w:tc>
        <w:tc>
          <w:tcPr>
            <w:tcW w:w="2340" w:type="pct"/>
            <w:gridSpan w:val="3"/>
            <w:vAlign w:val="center"/>
          </w:tcPr>
          <w:p w14:paraId="74F4136C">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kern w:val="0"/>
                <w:sz w:val="18"/>
                <w:szCs w:val="18"/>
                <w14:textFill>
                  <w14:solidFill>
                    <w14:schemeClr w14:val="tx1"/>
                  </w14:solidFill>
                </w14:textFill>
              </w:rPr>
            </w:pPr>
            <w:r>
              <w:rPr>
                <w:rFonts w:hint="default" w:ascii="Times New Roman" w:hAnsi="Times New Roman" w:cs="Times New Roman"/>
                <w:snapToGrid w:val="0"/>
                <w:color w:val="000000" w:themeColor="text1"/>
                <w:spacing w:val="-3"/>
                <w:kern w:val="0"/>
                <w:sz w:val="18"/>
                <w:szCs w:val="18"/>
                <w14:textFill>
                  <w14:solidFill>
                    <w14:schemeClr w14:val="tx1"/>
                  </w14:solidFill>
                </w14:textFill>
              </w:rPr>
              <w:t>土壤流失类型</w:t>
            </w:r>
          </w:p>
        </w:tc>
        <w:tc>
          <w:tcPr>
            <w:tcW w:w="626" w:type="pct"/>
            <w:vAlign w:val="center"/>
          </w:tcPr>
          <w:p w14:paraId="529A1024">
            <w:pPr>
              <w:widowControl/>
              <w:autoSpaceDE w:val="0"/>
              <w:autoSpaceDN w:val="0"/>
              <w:spacing w:before="41" w:line="218" w:lineRule="auto"/>
              <w:ind w:right="172"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扰动面积</w:t>
            </w:r>
          </w:p>
          <w:p w14:paraId="7B6A234B">
            <w:pPr>
              <w:widowControl/>
              <w:autoSpaceDE w:val="0"/>
              <w:autoSpaceDN w:val="0"/>
              <w:spacing w:before="41" w:line="218" w:lineRule="auto"/>
              <w:ind w:right="172"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（hm²）</w:t>
            </w:r>
          </w:p>
        </w:tc>
        <w:tc>
          <w:tcPr>
            <w:tcW w:w="510" w:type="pct"/>
            <w:vAlign w:val="center"/>
          </w:tcPr>
          <w:p w14:paraId="31D8FBDE">
            <w:pPr>
              <w:widowControl/>
              <w:autoSpaceDE w:val="0"/>
              <w:autoSpaceDN w:val="0"/>
              <w:spacing w:before="41" w:line="218" w:lineRule="auto"/>
              <w:ind w:right="172"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调查时间（a）</w:t>
            </w:r>
          </w:p>
        </w:tc>
        <w:tc>
          <w:tcPr>
            <w:tcW w:w="478" w:type="pct"/>
            <w:vAlign w:val="center"/>
          </w:tcPr>
          <w:p w14:paraId="6C4344CB">
            <w:pPr>
              <w:widowControl/>
              <w:autoSpaceDE w:val="0"/>
              <w:autoSpaceDN w:val="0"/>
              <w:spacing w:before="41" w:line="218" w:lineRule="auto"/>
              <w:ind w:right="172"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预测时间（a）</w:t>
            </w:r>
          </w:p>
        </w:tc>
        <w:tc>
          <w:tcPr>
            <w:tcW w:w="582" w:type="pct"/>
            <w:vAlign w:val="center"/>
          </w:tcPr>
          <w:p w14:paraId="6BB31515">
            <w:pPr>
              <w:widowControl/>
              <w:autoSpaceDE w:val="0"/>
              <w:autoSpaceDN w:val="0"/>
              <w:spacing w:before="41" w:line="218" w:lineRule="auto"/>
              <w:ind w:right="172"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自然恢复期（a）</w:t>
            </w:r>
          </w:p>
        </w:tc>
      </w:tr>
      <w:tr w14:paraId="69B62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9" w:hRule="atLeast"/>
          <w:jc w:val="right"/>
        </w:trPr>
        <w:tc>
          <w:tcPr>
            <w:tcW w:w="462" w:type="pct"/>
            <w:vAlign w:val="center"/>
          </w:tcPr>
          <w:p w14:paraId="437FCF56">
            <w:pPr>
              <w:widowControl/>
              <w:autoSpaceDE w:val="0"/>
              <w:autoSpaceDN w:val="0"/>
              <w:spacing w:line="240" w:lineRule="auto"/>
              <w:ind w:firstLine="0" w:firstLineChars="0"/>
              <w:jc w:val="center"/>
              <w:textAlignment w:val="baseline"/>
              <w:rPr>
                <w:rFonts w:hint="default" w:ascii="Times New Roman" w:hAnsi="Times New Roman" w:cs="Times New Roman"/>
                <w:snapToGrid w:val="0"/>
                <w:color w:val="000000" w:themeColor="text1"/>
                <w:kern w:val="0"/>
                <w:sz w:val="18"/>
                <w:szCs w:val="18"/>
                <w14:textFill>
                  <w14:solidFill>
                    <w14:schemeClr w14:val="tx1"/>
                  </w14:solidFill>
                </w14:textFill>
              </w:rPr>
            </w:pPr>
            <w:r>
              <w:rPr>
                <w:rFonts w:hint="default" w:ascii="Times New Roman" w:hAnsi="Times New Roman" w:cs="Times New Roman"/>
                <w:snapToGrid w:val="0"/>
                <w:color w:val="000000" w:themeColor="text1"/>
                <w:kern w:val="0"/>
                <w:sz w:val="18"/>
                <w:szCs w:val="18"/>
                <w14:textFill>
                  <w14:solidFill>
                    <w14:schemeClr w14:val="tx1"/>
                  </w14:solidFill>
                </w14:textFill>
              </w:rPr>
              <w:t>地下工程区</w:t>
            </w:r>
          </w:p>
        </w:tc>
        <w:tc>
          <w:tcPr>
            <w:tcW w:w="563" w:type="pct"/>
            <w:vAlign w:val="center"/>
          </w:tcPr>
          <w:p w14:paraId="1941F99A">
            <w:pPr>
              <w:widowControl/>
              <w:autoSpaceDE w:val="0"/>
              <w:autoSpaceDN w:val="0"/>
              <w:spacing w:line="240" w:lineRule="auto"/>
              <w:ind w:firstLine="0" w:firstLineChars="0"/>
              <w:jc w:val="center"/>
              <w:textAlignment w:val="baseline"/>
              <w:rPr>
                <w:rFonts w:hint="default" w:ascii="Times New Roman" w:hAnsi="Times New Roman" w:cs="Times New Roman"/>
                <w:snapToGrid w:val="0"/>
                <w:color w:val="000000" w:themeColor="text1"/>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水力作用下的土壤流失</w:t>
            </w:r>
          </w:p>
        </w:tc>
        <w:tc>
          <w:tcPr>
            <w:tcW w:w="655" w:type="pct"/>
            <w:vAlign w:val="center"/>
          </w:tcPr>
          <w:p w14:paraId="131136E1">
            <w:pPr>
              <w:widowControl/>
              <w:autoSpaceDE w:val="0"/>
              <w:autoSpaceDN w:val="0"/>
              <w:spacing w:line="240" w:lineRule="auto"/>
              <w:ind w:firstLine="0" w:firstLineChars="0"/>
              <w:jc w:val="center"/>
              <w:textAlignment w:val="baseline"/>
              <w:rPr>
                <w:rFonts w:hint="default" w:ascii="Times New Roman" w:hAnsi="Times New Roman" w:cs="Times New Roman"/>
                <w:snapToGrid w:val="0"/>
                <w:color w:val="000000" w:themeColor="text1"/>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工程开挖面</w:t>
            </w:r>
          </w:p>
        </w:tc>
        <w:tc>
          <w:tcPr>
            <w:tcW w:w="1121" w:type="pct"/>
            <w:vAlign w:val="center"/>
          </w:tcPr>
          <w:p w14:paraId="1673167B">
            <w:pPr>
              <w:widowControl/>
              <w:autoSpaceDE w:val="0"/>
              <w:autoSpaceDN w:val="0"/>
              <w:spacing w:line="240" w:lineRule="auto"/>
              <w:ind w:firstLine="0" w:firstLineChars="0"/>
              <w:jc w:val="center"/>
              <w:textAlignment w:val="baseline"/>
              <w:rPr>
                <w:rFonts w:hint="default" w:ascii="Times New Roman" w:hAnsi="Times New Roman" w:cs="Times New Roman"/>
                <w:snapToGrid w:val="0"/>
                <w:color w:val="000000" w:themeColor="text1"/>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上方无来水工程开挖面</w:t>
            </w:r>
          </w:p>
        </w:tc>
        <w:tc>
          <w:tcPr>
            <w:tcW w:w="626" w:type="pct"/>
            <w:vAlign w:val="center"/>
          </w:tcPr>
          <w:p w14:paraId="58321DC3">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0.44*</w:t>
            </w:r>
          </w:p>
        </w:tc>
        <w:tc>
          <w:tcPr>
            <w:tcW w:w="510" w:type="pct"/>
            <w:vAlign w:val="center"/>
          </w:tcPr>
          <w:p w14:paraId="15AC9AB5">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0.5</w:t>
            </w:r>
          </w:p>
        </w:tc>
        <w:tc>
          <w:tcPr>
            <w:tcW w:w="478" w:type="pct"/>
            <w:shd w:val="clear" w:color="auto" w:fill="auto"/>
            <w:vAlign w:val="center"/>
          </w:tcPr>
          <w:p w14:paraId="19B7D591">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c>
          <w:tcPr>
            <w:tcW w:w="582" w:type="pct"/>
            <w:vAlign w:val="center"/>
          </w:tcPr>
          <w:p w14:paraId="3C88DDEA">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r>
      <w:tr w14:paraId="0E2E7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4" w:hRule="atLeast"/>
          <w:jc w:val="right"/>
        </w:trPr>
        <w:tc>
          <w:tcPr>
            <w:tcW w:w="462" w:type="pct"/>
            <w:vAlign w:val="center"/>
          </w:tcPr>
          <w:p w14:paraId="0B7779F6">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bookmarkStart w:id="97" w:name="_Hlk101291974"/>
            <w:r>
              <w:rPr>
                <w:rFonts w:hint="default" w:ascii="Times New Roman" w:hAnsi="Times New Roman" w:cs="Times New Roman"/>
                <w:snapToGrid w:val="0"/>
                <w:color w:val="000000" w:themeColor="text1"/>
                <w:spacing w:val="-2"/>
                <w:kern w:val="0"/>
                <w:sz w:val="18"/>
                <w:szCs w:val="18"/>
                <w14:textFill>
                  <w14:solidFill>
                    <w14:schemeClr w14:val="tx1"/>
                  </w14:solidFill>
                </w14:textFill>
              </w:rPr>
              <w:t>建构筑物工程区</w:t>
            </w:r>
            <w:bookmarkEnd w:id="97"/>
          </w:p>
        </w:tc>
        <w:tc>
          <w:tcPr>
            <w:tcW w:w="563" w:type="pct"/>
            <w:vAlign w:val="center"/>
          </w:tcPr>
          <w:p w14:paraId="018E7750">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水力作用下的土壤流失</w:t>
            </w:r>
          </w:p>
        </w:tc>
        <w:tc>
          <w:tcPr>
            <w:tcW w:w="655" w:type="pct"/>
            <w:vAlign w:val="center"/>
          </w:tcPr>
          <w:p w14:paraId="5183DA3B">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一般扰动地表</w:t>
            </w:r>
          </w:p>
        </w:tc>
        <w:tc>
          <w:tcPr>
            <w:tcW w:w="1121" w:type="pct"/>
            <w:vAlign w:val="center"/>
          </w:tcPr>
          <w:p w14:paraId="4A57DCAE">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地表翻扰型一般扰动地表</w:t>
            </w:r>
          </w:p>
        </w:tc>
        <w:tc>
          <w:tcPr>
            <w:tcW w:w="626" w:type="pct"/>
            <w:vAlign w:val="center"/>
          </w:tcPr>
          <w:p w14:paraId="27B9DCF3">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0.45</w:t>
            </w:r>
          </w:p>
        </w:tc>
        <w:tc>
          <w:tcPr>
            <w:tcW w:w="510" w:type="pct"/>
            <w:vAlign w:val="center"/>
          </w:tcPr>
          <w:p w14:paraId="205E12AC">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1.0</w:t>
            </w:r>
          </w:p>
        </w:tc>
        <w:tc>
          <w:tcPr>
            <w:tcW w:w="478" w:type="pct"/>
            <w:shd w:val="clear" w:color="auto" w:fill="auto"/>
            <w:vAlign w:val="center"/>
          </w:tcPr>
          <w:p w14:paraId="53FF1365">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highlight w:val="green"/>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0.5</w:t>
            </w:r>
          </w:p>
        </w:tc>
        <w:tc>
          <w:tcPr>
            <w:tcW w:w="582" w:type="pct"/>
            <w:vAlign w:val="center"/>
          </w:tcPr>
          <w:p w14:paraId="7B97EB65">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r>
      <w:tr w14:paraId="3818F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right"/>
        </w:trPr>
        <w:tc>
          <w:tcPr>
            <w:tcW w:w="462" w:type="pct"/>
            <w:vAlign w:val="center"/>
          </w:tcPr>
          <w:p w14:paraId="286B0940">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场内道路及硬化工程区</w:t>
            </w:r>
          </w:p>
        </w:tc>
        <w:tc>
          <w:tcPr>
            <w:tcW w:w="563" w:type="pct"/>
            <w:vAlign w:val="center"/>
          </w:tcPr>
          <w:p w14:paraId="2D4EB26B">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水力作用下的土壤流失</w:t>
            </w:r>
          </w:p>
        </w:tc>
        <w:tc>
          <w:tcPr>
            <w:tcW w:w="655" w:type="pct"/>
            <w:vAlign w:val="center"/>
          </w:tcPr>
          <w:p w14:paraId="3F1F885D">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一般扰动地表</w:t>
            </w:r>
          </w:p>
        </w:tc>
        <w:tc>
          <w:tcPr>
            <w:tcW w:w="1121" w:type="pct"/>
            <w:vAlign w:val="center"/>
          </w:tcPr>
          <w:p w14:paraId="37BF3B4A">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地表翻扰型一般扰动地表</w:t>
            </w:r>
          </w:p>
        </w:tc>
        <w:tc>
          <w:tcPr>
            <w:tcW w:w="626" w:type="pct"/>
            <w:vAlign w:val="center"/>
          </w:tcPr>
          <w:p w14:paraId="3E52681D">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0.38</w:t>
            </w:r>
          </w:p>
        </w:tc>
        <w:tc>
          <w:tcPr>
            <w:tcW w:w="510" w:type="pct"/>
            <w:vAlign w:val="center"/>
          </w:tcPr>
          <w:p w14:paraId="7A70FF64">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1.0</w:t>
            </w:r>
          </w:p>
        </w:tc>
        <w:tc>
          <w:tcPr>
            <w:tcW w:w="478" w:type="pct"/>
            <w:shd w:val="clear" w:color="auto" w:fill="auto"/>
            <w:vAlign w:val="center"/>
          </w:tcPr>
          <w:p w14:paraId="5C029DE1">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highlight w:val="green"/>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0.5</w:t>
            </w:r>
          </w:p>
        </w:tc>
        <w:tc>
          <w:tcPr>
            <w:tcW w:w="582" w:type="pct"/>
            <w:vAlign w:val="center"/>
          </w:tcPr>
          <w:p w14:paraId="6B6FB8FF">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r>
      <w:tr w14:paraId="1C735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right"/>
        </w:trPr>
        <w:tc>
          <w:tcPr>
            <w:tcW w:w="462" w:type="pct"/>
            <w:vMerge w:val="restart"/>
            <w:vAlign w:val="center"/>
          </w:tcPr>
          <w:p w14:paraId="31AC1EB0">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景观绿化工程区</w:t>
            </w:r>
          </w:p>
        </w:tc>
        <w:tc>
          <w:tcPr>
            <w:tcW w:w="563" w:type="pct"/>
            <w:vMerge w:val="restart"/>
            <w:vAlign w:val="center"/>
          </w:tcPr>
          <w:p w14:paraId="332212D1">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水力作用下的土壤流失</w:t>
            </w:r>
          </w:p>
        </w:tc>
        <w:tc>
          <w:tcPr>
            <w:tcW w:w="655" w:type="pct"/>
            <w:vAlign w:val="center"/>
          </w:tcPr>
          <w:p w14:paraId="3D389D57">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一般扰动地表</w:t>
            </w:r>
          </w:p>
        </w:tc>
        <w:tc>
          <w:tcPr>
            <w:tcW w:w="1121" w:type="pct"/>
            <w:vAlign w:val="center"/>
          </w:tcPr>
          <w:p w14:paraId="3FF8DC09">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地表翻扰型一般扰动地表</w:t>
            </w:r>
          </w:p>
        </w:tc>
        <w:tc>
          <w:tcPr>
            <w:tcW w:w="626" w:type="pct"/>
            <w:vAlign w:val="center"/>
          </w:tcPr>
          <w:p w14:paraId="491E1F68">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0.12</w:t>
            </w:r>
          </w:p>
        </w:tc>
        <w:tc>
          <w:tcPr>
            <w:tcW w:w="510" w:type="pct"/>
            <w:vAlign w:val="center"/>
          </w:tcPr>
          <w:p w14:paraId="23A7C654">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1.0</w:t>
            </w:r>
          </w:p>
        </w:tc>
        <w:tc>
          <w:tcPr>
            <w:tcW w:w="478" w:type="pct"/>
            <w:shd w:val="clear" w:color="auto" w:fill="auto"/>
            <w:vAlign w:val="center"/>
          </w:tcPr>
          <w:p w14:paraId="76704D6B">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highlight w:val="green"/>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0.5</w:t>
            </w:r>
          </w:p>
        </w:tc>
        <w:tc>
          <w:tcPr>
            <w:tcW w:w="582" w:type="pct"/>
            <w:vAlign w:val="center"/>
          </w:tcPr>
          <w:p w14:paraId="4D56F7F5">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r>
      <w:tr w14:paraId="507F3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right"/>
        </w:trPr>
        <w:tc>
          <w:tcPr>
            <w:tcW w:w="462" w:type="pct"/>
            <w:vMerge w:val="continue"/>
            <w:vAlign w:val="center"/>
          </w:tcPr>
          <w:p w14:paraId="0FB85D8E">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p>
        </w:tc>
        <w:tc>
          <w:tcPr>
            <w:tcW w:w="563" w:type="pct"/>
            <w:vMerge w:val="continue"/>
            <w:vAlign w:val="center"/>
          </w:tcPr>
          <w:p w14:paraId="2EE9D299">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p>
        </w:tc>
        <w:tc>
          <w:tcPr>
            <w:tcW w:w="655" w:type="pct"/>
            <w:vAlign w:val="center"/>
          </w:tcPr>
          <w:p w14:paraId="5B411265">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一般扰动地表（自然恢复期）</w:t>
            </w:r>
          </w:p>
        </w:tc>
        <w:tc>
          <w:tcPr>
            <w:tcW w:w="1121" w:type="pct"/>
            <w:vAlign w:val="center"/>
          </w:tcPr>
          <w:p w14:paraId="6A6B8C39">
            <w:pPr>
              <w:widowControl/>
              <w:autoSpaceDE w:val="0"/>
              <w:autoSpaceDN w:val="0"/>
              <w:spacing w:before="165" w:line="189" w:lineRule="auto"/>
              <w:ind w:firstLine="0" w:firstLineChars="0"/>
              <w:jc w:val="center"/>
              <w:textAlignment w:val="baseline"/>
              <w:rPr>
                <w:rFonts w:hint="default" w:ascii="Times New Roman" w:hAnsi="Times New Roman" w:cs="Times New Roman"/>
                <w:snapToGrid w:val="0"/>
                <w:color w:val="000000" w:themeColor="text1"/>
                <w:spacing w:val="-2"/>
                <w:kern w:val="0"/>
                <w:sz w:val="18"/>
                <w:szCs w:val="18"/>
                <w14:textFill>
                  <w14:solidFill>
                    <w14:schemeClr w14:val="tx1"/>
                  </w14:solidFill>
                </w14:textFill>
              </w:rPr>
            </w:pPr>
            <w:r>
              <w:rPr>
                <w:rFonts w:hint="default" w:ascii="Times New Roman" w:hAnsi="Times New Roman" w:cs="Times New Roman"/>
                <w:snapToGrid w:val="0"/>
                <w:color w:val="000000" w:themeColor="text1"/>
                <w:spacing w:val="-2"/>
                <w:kern w:val="0"/>
                <w:sz w:val="18"/>
                <w:szCs w:val="18"/>
                <w14:textFill>
                  <w14:solidFill>
                    <w14:schemeClr w14:val="tx1"/>
                  </w14:solidFill>
                </w14:textFill>
              </w:rPr>
              <w:t>植被破坏型一般扰动地表</w:t>
            </w:r>
          </w:p>
        </w:tc>
        <w:tc>
          <w:tcPr>
            <w:tcW w:w="626" w:type="pct"/>
            <w:vAlign w:val="center"/>
          </w:tcPr>
          <w:p w14:paraId="3AEF5740">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0.12</w:t>
            </w:r>
          </w:p>
        </w:tc>
        <w:tc>
          <w:tcPr>
            <w:tcW w:w="510" w:type="pct"/>
            <w:vAlign w:val="center"/>
          </w:tcPr>
          <w:p w14:paraId="0AF30559">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c>
          <w:tcPr>
            <w:tcW w:w="478" w:type="pct"/>
            <w:shd w:val="clear" w:color="auto" w:fill="auto"/>
            <w:vAlign w:val="center"/>
          </w:tcPr>
          <w:p w14:paraId="2820EBAB">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c>
          <w:tcPr>
            <w:tcW w:w="582" w:type="pct"/>
            <w:vAlign w:val="center"/>
          </w:tcPr>
          <w:p w14:paraId="11FDCBC7">
            <w:pPr>
              <w:widowControl/>
              <w:autoSpaceDE w:val="0"/>
              <w:autoSpaceDN w:val="0"/>
              <w:spacing w:before="80"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2.0</w:t>
            </w:r>
          </w:p>
        </w:tc>
      </w:tr>
    </w:tbl>
    <w:p w14:paraId="3C72B744">
      <w:pPr>
        <w:ind w:firstLine="480"/>
        <w:rPr>
          <w:rFonts w:hint="eastAsia" w:hAnsi="仿宋"/>
          <w:bCs/>
          <w:color w:val="000000" w:themeColor="text1"/>
          <w14:textFill>
            <w14:solidFill>
              <w14:schemeClr w14:val="tx1"/>
            </w14:solidFill>
          </w14:textFill>
        </w:rPr>
      </w:pPr>
      <w:r>
        <w:rPr>
          <w:rFonts w:hint="eastAsia" w:hAnsi="仿宋"/>
          <w:bCs/>
          <w:color w:val="000000" w:themeColor="text1"/>
          <w14:textFill>
            <w14:solidFill>
              <w14:schemeClr w14:val="tx1"/>
            </w14:solidFill>
          </w14:textFill>
        </w:rPr>
        <w:t>备注： *表示该区域占地位于主体工程占地范围内，不重复计算其面积。</w:t>
      </w:r>
    </w:p>
    <w:p w14:paraId="17ED84B9">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4.3.3土壤侵蚀模数</w:t>
      </w:r>
    </w:p>
    <w:p w14:paraId="0E095898">
      <w:pPr>
        <w:pStyle w:val="5"/>
        <w:spacing w:before="78"/>
        <w:rPr>
          <w:color w:val="000000" w:themeColor="text1"/>
          <w14:textFill>
            <w14:solidFill>
              <w14:schemeClr w14:val="tx1"/>
            </w14:solidFill>
          </w14:textFill>
        </w:rPr>
      </w:pPr>
      <w:r>
        <w:rPr>
          <w:color w:val="000000" w:themeColor="text1"/>
          <w14:textFill>
            <w14:solidFill>
              <w14:schemeClr w14:val="tx1"/>
            </w14:solidFill>
          </w14:textFill>
        </w:rPr>
        <w:t>4.3.</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原地貌侵蚀模数</w:t>
      </w:r>
    </w:p>
    <w:p w14:paraId="17987937">
      <w:pPr>
        <w:ind w:firstLine="480"/>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根据主体工程设计方案，对比项目区地形地貌、土地利用现状、地表植被覆盖、降水、人为活动等因素综合分析，结合</w:t>
      </w:r>
      <w:r>
        <w:rPr>
          <w:rFonts w:cs="Times New Roman"/>
          <w:color w:val="000000" w:themeColor="text1"/>
          <w14:textFill>
            <w14:solidFill>
              <w14:schemeClr w14:val="tx1"/>
            </w14:solidFill>
          </w14:textFill>
        </w:rPr>
        <w:t>《土壤侵蚀分类分级标准》（SL190-2007）及《四川省水利厅关于印发&lt;四川省水土保持方案编制与审查若干技术问题暂行规定&gt;的函》（川水〔2014〕1723号）中对土壤侵蚀模数背景值的规定</w:t>
      </w:r>
      <w:r>
        <w:rPr>
          <w:rFonts w:hint="eastAsia" w:cs="Times New Roman"/>
          <w:color w:val="000000" w:themeColor="text1"/>
          <w14:textFill>
            <w14:solidFill>
              <w14:schemeClr w14:val="tx1"/>
            </w14:solidFill>
          </w14:textFill>
        </w:rPr>
        <w:t>计算</w:t>
      </w:r>
      <w:r>
        <w:rPr>
          <w:rFonts w:cs="Times New Roman"/>
          <w:color w:val="000000" w:themeColor="text1"/>
          <w14:textFill>
            <w14:solidFill>
              <w14:schemeClr w14:val="tx1"/>
            </w14:solidFill>
          </w14:textFill>
        </w:rPr>
        <w:t>，项目区平均土壤侵蚀模数为500t/km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·a</w:t>
      </w:r>
      <w:r>
        <w:rPr>
          <w:rFonts w:hint="eastAsia" w:cs="Times New Roman"/>
          <w:color w:val="000000" w:themeColor="text1"/>
          <w14:textFill>
            <w14:solidFill>
              <w14:schemeClr w14:val="tx1"/>
            </w14:solidFill>
          </w14:textFill>
        </w:rPr>
        <w:t>。</w:t>
      </w:r>
    </w:p>
    <w:p w14:paraId="4F6EFD15">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表4.3-</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水土流失预测单元和预测时段划分表</w:t>
      </w:r>
    </w:p>
    <w:tbl>
      <w:tblPr>
        <w:tblStyle w:val="27"/>
        <w:tblW w:w="9139" w:type="dxa"/>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1124"/>
        <w:gridCol w:w="1387"/>
        <w:gridCol w:w="1086"/>
        <w:gridCol w:w="1178"/>
        <w:gridCol w:w="1179"/>
        <w:gridCol w:w="1351"/>
      </w:tblGrid>
      <w:tr w14:paraId="21C8E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right"/>
        </w:trPr>
        <w:tc>
          <w:tcPr>
            <w:tcW w:w="1834" w:type="dxa"/>
            <w:vAlign w:val="center"/>
          </w:tcPr>
          <w:p w14:paraId="71F9784C">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lang w:eastAsia="zh-CN"/>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lang w:eastAsia="zh-CN"/>
                <w14:textFill>
                  <w14:solidFill>
                    <w14:schemeClr w14:val="tx1"/>
                  </w14:solidFill>
                </w14:textFill>
              </w:rPr>
              <w:t>防治分区</w:t>
            </w:r>
          </w:p>
        </w:tc>
        <w:tc>
          <w:tcPr>
            <w:tcW w:w="1124" w:type="dxa"/>
            <w:vAlign w:val="center"/>
          </w:tcPr>
          <w:p w14:paraId="6FF0011E">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地类</w:t>
            </w:r>
          </w:p>
        </w:tc>
        <w:tc>
          <w:tcPr>
            <w:tcW w:w="1387" w:type="dxa"/>
            <w:vAlign w:val="center"/>
          </w:tcPr>
          <w:p w14:paraId="6567CAB7">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面积（hm</w:t>
            </w:r>
            <w:r>
              <w:rPr>
                <w:rFonts w:hint="default" w:ascii="Times New Roman" w:hAnsi="Times New Roman" w:cs="Times New Roman"/>
                <w:snapToGrid w:val="0"/>
                <w:color w:val="000000" w:themeColor="text1"/>
                <w:spacing w:val="-4"/>
                <w:kern w:val="0"/>
                <w:sz w:val="18"/>
                <w:szCs w:val="18"/>
                <w:vertAlign w:val="superscript"/>
                <w14:textFill>
                  <w14:solidFill>
                    <w14:schemeClr w14:val="tx1"/>
                  </w14:solidFill>
                </w14:textFill>
              </w:rPr>
              <w:t>2</w:t>
            </w:r>
            <w:r>
              <w:rPr>
                <w:rFonts w:hint="default" w:ascii="Times New Roman" w:hAnsi="Times New Roman" w:cs="Times New Roman"/>
                <w:snapToGrid w:val="0"/>
                <w:color w:val="000000" w:themeColor="text1"/>
                <w:spacing w:val="-4"/>
                <w:kern w:val="0"/>
                <w:sz w:val="18"/>
                <w:szCs w:val="18"/>
                <w14:textFill>
                  <w14:solidFill>
                    <w14:schemeClr w14:val="tx1"/>
                  </w14:solidFill>
                </w14:textFill>
              </w:rPr>
              <w:t>）</w:t>
            </w:r>
          </w:p>
        </w:tc>
        <w:tc>
          <w:tcPr>
            <w:tcW w:w="1086" w:type="dxa"/>
            <w:vAlign w:val="center"/>
          </w:tcPr>
          <w:p w14:paraId="59D8C132">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地形坡度</w:t>
            </w:r>
          </w:p>
        </w:tc>
        <w:tc>
          <w:tcPr>
            <w:tcW w:w="1178" w:type="dxa"/>
            <w:vAlign w:val="center"/>
          </w:tcPr>
          <w:p w14:paraId="6B787886">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林草覆盖率</w:t>
            </w:r>
          </w:p>
        </w:tc>
        <w:tc>
          <w:tcPr>
            <w:tcW w:w="1179" w:type="dxa"/>
            <w:vAlign w:val="center"/>
          </w:tcPr>
          <w:p w14:paraId="07B492F6">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侵蚀强度</w:t>
            </w:r>
          </w:p>
        </w:tc>
        <w:tc>
          <w:tcPr>
            <w:tcW w:w="1351" w:type="dxa"/>
            <w:vAlign w:val="center"/>
          </w:tcPr>
          <w:p w14:paraId="35769899">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平均侵蚀模数（t/km2 •a）</w:t>
            </w:r>
          </w:p>
        </w:tc>
      </w:tr>
      <w:tr w14:paraId="427D7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exact"/>
          <w:jc w:val="right"/>
        </w:trPr>
        <w:tc>
          <w:tcPr>
            <w:tcW w:w="1834" w:type="dxa"/>
            <w:vAlign w:val="center"/>
          </w:tcPr>
          <w:p w14:paraId="0A938B65">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lang w:val="en-US" w:eastAsia="zh-CN"/>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地下工程区</w:t>
            </w:r>
          </w:p>
        </w:tc>
        <w:tc>
          <w:tcPr>
            <w:tcW w:w="1124" w:type="dxa"/>
            <w:vAlign w:val="center"/>
          </w:tcPr>
          <w:p w14:paraId="332D2FC0">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工业用地</w:t>
            </w:r>
          </w:p>
        </w:tc>
        <w:tc>
          <w:tcPr>
            <w:tcW w:w="1387" w:type="dxa"/>
            <w:vAlign w:val="center"/>
          </w:tcPr>
          <w:p w14:paraId="678D9BBC">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0.44</w:t>
            </w:r>
          </w:p>
        </w:tc>
        <w:tc>
          <w:tcPr>
            <w:tcW w:w="1086" w:type="dxa"/>
            <w:vAlign w:val="center"/>
          </w:tcPr>
          <w:p w14:paraId="3E9C63F9">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＜5-8 º</w:t>
            </w:r>
          </w:p>
        </w:tc>
        <w:tc>
          <w:tcPr>
            <w:tcW w:w="1178" w:type="dxa"/>
            <w:vAlign w:val="center"/>
          </w:tcPr>
          <w:p w14:paraId="10B417C9">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＜30%</w:t>
            </w:r>
          </w:p>
        </w:tc>
        <w:tc>
          <w:tcPr>
            <w:tcW w:w="1179" w:type="dxa"/>
            <w:vAlign w:val="center"/>
          </w:tcPr>
          <w:p w14:paraId="680122B4">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轻度</w:t>
            </w:r>
          </w:p>
        </w:tc>
        <w:tc>
          <w:tcPr>
            <w:tcW w:w="1351" w:type="dxa"/>
            <w:vAlign w:val="center"/>
          </w:tcPr>
          <w:p w14:paraId="0E9D456F">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500</w:t>
            </w:r>
          </w:p>
        </w:tc>
      </w:tr>
      <w:tr w14:paraId="470D5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exact"/>
          <w:jc w:val="right"/>
        </w:trPr>
        <w:tc>
          <w:tcPr>
            <w:tcW w:w="1834" w:type="dxa"/>
            <w:vAlign w:val="center"/>
          </w:tcPr>
          <w:p w14:paraId="6A9FE19F">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lang w:val="en-US" w:eastAsia="zh-CN"/>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建构筑物工程区</w:t>
            </w:r>
          </w:p>
        </w:tc>
        <w:tc>
          <w:tcPr>
            <w:tcW w:w="1124" w:type="dxa"/>
            <w:vAlign w:val="center"/>
          </w:tcPr>
          <w:p w14:paraId="627E39E1">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工业用地</w:t>
            </w:r>
          </w:p>
        </w:tc>
        <w:tc>
          <w:tcPr>
            <w:tcW w:w="1387" w:type="dxa"/>
            <w:vAlign w:val="center"/>
          </w:tcPr>
          <w:p w14:paraId="1F7F6740">
            <w:pPr>
              <w:widowControl/>
              <w:autoSpaceDE w:val="0"/>
              <w:autoSpaceDN w:val="0"/>
              <w:spacing w:before="80" w:line="189" w:lineRule="auto"/>
              <w:ind w:firstLine="0" w:firstLineChars="0"/>
              <w:jc w:val="center"/>
              <w:textAlignment w:val="baseline"/>
              <w:rPr>
                <w:rFonts w:hint="default" w:ascii="Times New Roman" w:hAnsi="Times New Roman" w:eastAsia="仿宋_GB2312" w:cs="Times New Roman"/>
                <w:snapToGrid w:val="0"/>
                <w:color w:val="000000" w:themeColor="text1"/>
                <w:spacing w:val="-4"/>
                <w:kern w:val="0"/>
                <w:sz w:val="18"/>
                <w:szCs w:val="18"/>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0.45</w:t>
            </w:r>
          </w:p>
        </w:tc>
        <w:tc>
          <w:tcPr>
            <w:tcW w:w="1086" w:type="dxa"/>
            <w:vAlign w:val="center"/>
          </w:tcPr>
          <w:p w14:paraId="75A8B50C">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＜5-8 º</w:t>
            </w:r>
          </w:p>
        </w:tc>
        <w:tc>
          <w:tcPr>
            <w:tcW w:w="1178" w:type="dxa"/>
            <w:vAlign w:val="center"/>
          </w:tcPr>
          <w:p w14:paraId="64369367">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＜30%</w:t>
            </w:r>
          </w:p>
        </w:tc>
        <w:tc>
          <w:tcPr>
            <w:tcW w:w="1179" w:type="dxa"/>
            <w:vAlign w:val="center"/>
          </w:tcPr>
          <w:p w14:paraId="1CC1D4F9">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轻度</w:t>
            </w:r>
          </w:p>
        </w:tc>
        <w:tc>
          <w:tcPr>
            <w:tcW w:w="1351" w:type="dxa"/>
            <w:vAlign w:val="center"/>
          </w:tcPr>
          <w:p w14:paraId="53142647">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500</w:t>
            </w:r>
          </w:p>
        </w:tc>
      </w:tr>
      <w:tr w14:paraId="6798A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exact"/>
          <w:jc w:val="right"/>
        </w:trPr>
        <w:tc>
          <w:tcPr>
            <w:tcW w:w="1834" w:type="dxa"/>
            <w:vAlign w:val="center"/>
          </w:tcPr>
          <w:p w14:paraId="211B6187">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lang w:val="en-US" w:eastAsia="zh-CN"/>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场内道路及硬化工程区</w:t>
            </w:r>
          </w:p>
        </w:tc>
        <w:tc>
          <w:tcPr>
            <w:tcW w:w="1124" w:type="dxa"/>
            <w:vAlign w:val="center"/>
          </w:tcPr>
          <w:p w14:paraId="0E55A1B1">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工业用地</w:t>
            </w:r>
          </w:p>
        </w:tc>
        <w:tc>
          <w:tcPr>
            <w:tcW w:w="1387" w:type="dxa"/>
            <w:vAlign w:val="center"/>
          </w:tcPr>
          <w:p w14:paraId="158A95E7">
            <w:pPr>
              <w:widowControl/>
              <w:autoSpaceDE w:val="0"/>
              <w:autoSpaceDN w:val="0"/>
              <w:spacing w:before="80" w:line="189" w:lineRule="auto"/>
              <w:ind w:firstLine="0" w:firstLineChars="0"/>
              <w:jc w:val="center"/>
              <w:textAlignment w:val="baseline"/>
              <w:rPr>
                <w:rFonts w:hint="default" w:ascii="Times New Roman" w:hAnsi="Times New Roman" w:eastAsia="仿宋_GB2312" w:cs="Times New Roman"/>
                <w:snapToGrid w:val="0"/>
                <w:color w:val="000000" w:themeColor="text1"/>
                <w:spacing w:val="-4"/>
                <w:kern w:val="0"/>
                <w:sz w:val="18"/>
                <w:szCs w:val="18"/>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0.38</w:t>
            </w:r>
          </w:p>
        </w:tc>
        <w:tc>
          <w:tcPr>
            <w:tcW w:w="1086" w:type="dxa"/>
            <w:vAlign w:val="center"/>
          </w:tcPr>
          <w:p w14:paraId="3645CD67">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＜5-8 º</w:t>
            </w:r>
          </w:p>
        </w:tc>
        <w:tc>
          <w:tcPr>
            <w:tcW w:w="1178" w:type="dxa"/>
            <w:vAlign w:val="center"/>
          </w:tcPr>
          <w:p w14:paraId="2977C2D5">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＜30%</w:t>
            </w:r>
          </w:p>
        </w:tc>
        <w:tc>
          <w:tcPr>
            <w:tcW w:w="1179" w:type="dxa"/>
            <w:vAlign w:val="center"/>
          </w:tcPr>
          <w:p w14:paraId="2481122F">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轻度</w:t>
            </w:r>
          </w:p>
        </w:tc>
        <w:tc>
          <w:tcPr>
            <w:tcW w:w="1351" w:type="dxa"/>
            <w:vAlign w:val="center"/>
          </w:tcPr>
          <w:p w14:paraId="0CB1CD02">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500</w:t>
            </w:r>
          </w:p>
        </w:tc>
      </w:tr>
      <w:tr w14:paraId="64270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exact"/>
          <w:jc w:val="right"/>
        </w:trPr>
        <w:tc>
          <w:tcPr>
            <w:tcW w:w="1834" w:type="dxa"/>
            <w:vAlign w:val="center"/>
          </w:tcPr>
          <w:p w14:paraId="121FF99A">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lang w:val="en-US" w:eastAsia="zh-CN"/>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景观绿化工程区</w:t>
            </w:r>
          </w:p>
        </w:tc>
        <w:tc>
          <w:tcPr>
            <w:tcW w:w="1124" w:type="dxa"/>
            <w:vAlign w:val="center"/>
          </w:tcPr>
          <w:p w14:paraId="338FC123">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工业用地</w:t>
            </w:r>
          </w:p>
        </w:tc>
        <w:tc>
          <w:tcPr>
            <w:tcW w:w="1387" w:type="dxa"/>
            <w:vAlign w:val="center"/>
          </w:tcPr>
          <w:p w14:paraId="3D8C3C5A">
            <w:pPr>
              <w:widowControl/>
              <w:autoSpaceDE w:val="0"/>
              <w:autoSpaceDN w:val="0"/>
              <w:spacing w:before="80" w:line="189" w:lineRule="auto"/>
              <w:ind w:firstLine="0" w:firstLineChars="0"/>
              <w:jc w:val="center"/>
              <w:textAlignment w:val="baseline"/>
              <w:rPr>
                <w:rFonts w:hint="default" w:ascii="Times New Roman" w:hAnsi="Times New Roman" w:eastAsia="仿宋_GB2312" w:cs="Times New Roman"/>
                <w:snapToGrid w:val="0"/>
                <w:color w:val="000000" w:themeColor="text1"/>
                <w:spacing w:val="-4"/>
                <w:kern w:val="0"/>
                <w:sz w:val="18"/>
                <w:szCs w:val="18"/>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0.12</w:t>
            </w:r>
          </w:p>
        </w:tc>
        <w:tc>
          <w:tcPr>
            <w:tcW w:w="1086" w:type="dxa"/>
            <w:vAlign w:val="center"/>
          </w:tcPr>
          <w:p w14:paraId="1950CBCB">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＜5-8 º</w:t>
            </w:r>
          </w:p>
        </w:tc>
        <w:tc>
          <w:tcPr>
            <w:tcW w:w="1178" w:type="dxa"/>
            <w:vAlign w:val="center"/>
          </w:tcPr>
          <w:p w14:paraId="0894A1BA">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＜30%</w:t>
            </w:r>
          </w:p>
        </w:tc>
        <w:tc>
          <w:tcPr>
            <w:tcW w:w="1179" w:type="dxa"/>
            <w:vAlign w:val="center"/>
          </w:tcPr>
          <w:p w14:paraId="565392D7">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轻度</w:t>
            </w:r>
          </w:p>
        </w:tc>
        <w:tc>
          <w:tcPr>
            <w:tcW w:w="1351" w:type="dxa"/>
            <w:vAlign w:val="center"/>
          </w:tcPr>
          <w:p w14:paraId="450CCBDE">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500</w:t>
            </w:r>
          </w:p>
        </w:tc>
      </w:tr>
      <w:tr w14:paraId="588D4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exact"/>
          <w:jc w:val="right"/>
        </w:trPr>
        <w:tc>
          <w:tcPr>
            <w:tcW w:w="1834" w:type="dxa"/>
            <w:vAlign w:val="center"/>
          </w:tcPr>
          <w:p w14:paraId="54A68102">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合计/均值</w:t>
            </w:r>
          </w:p>
        </w:tc>
        <w:tc>
          <w:tcPr>
            <w:tcW w:w="1124" w:type="dxa"/>
            <w:vAlign w:val="center"/>
          </w:tcPr>
          <w:p w14:paraId="65EECC5C">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lang w:val="en-US" w:eastAsia="zh-CN"/>
                <w14:textFill>
                  <w14:solidFill>
                    <w14:schemeClr w14:val="tx1"/>
                  </w14:solidFill>
                </w14:textFill>
              </w:rPr>
            </w:pPr>
          </w:p>
        </w:tc>
        <w:tc>
          <w:tcPr>
            <w:tcW w:w="1387" w:type="dxa"/>
            <w:vAlign w:val="center"/>
          </w:tcPr>
          <w:p w14:paraId="28B568DB">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lang w:val="en-US" w:eastAsia="zh-CN"/>
                <w14:textFill>
                  <w14:solidFill>
                    <w14:schemeClr w14:val="tx1"/>
                  </w14:solidFill>
                </w14:textFill>
              </w:rPr>
            </w:pPr>
            <w:r>
              <w:rPr>
                <w:rFonts w:hint="default" w:ascii="Times New Roman" w:hAnsi="Times New Roman" w:cs="Times New Roman"/>
                <w:snapToGrid w:val="0"/>
                <w:color w:val="000000" w:themeColor="text1"/>
                <w:spacing w:val="-4"/>
                <w:kern w:val="0"/>
                <w:sz w:val="18"/>
                <w:szCs w:val="18"/>
                <w14:textFill>
                  <w14:solidFill>
                    <w14:schemeClr w14:val="tx1"/>
                  </w14:solidFill>
                </w14:textFill>
              </w:rPr>
              <w:t>0.95</w:t>
            </w:r>
          </w:p>
        </w:tc>
        <w:tc>
          <w:tcPr>
            <w:tcW w:w="1086" w:type="dxa"/>
            <w:vAlign w:val="center"/>
          </w:tcPr>
          <w:p w14:paraId="32CB21FD">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c>
          <w:tcPr>
            <w:tcW w:w="1178" w:type="dxa"/>
            <w:vAlign w:val="center"/>
          </w:tcPr>
          <w:p w14:paraId="3CAA54A8">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c>
          <w:tcPr>
            <w:tcW w:w="1179" w:type="dxa"/>
            <w:vAlign w:val="center"/>
          </w:tcPr>
          <w:p w14:paraId="2CEB3125">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c>
          <w:tcPr>
            <w:tcW w:w="1351" w:type="dxa"/>
            <w:vAlign w:val="center"/>
          </w:tcPr>
          <w:p w14:paraId="0DB2D83F">
            <w:pPr>
              <w:widowControl/>
              <w:autoSpaceDE w:val="0"/>
              <w:autoSpaceDN w:val="0"/>
              <w:spacing w:before="59" w:line="189" w:lineRule="auto"/>
              <w:ind w:firstLine="0" w:firstLineChars="0"/>
              <w:jc w:val="center"/>
              <w:textAlignment w:val="baseline"/>
              <w:rPr>
                <w:rFonts w:hint="default" w:ascii="Times New Roman" w:hAnsi="Times New Roman" w:cs="Times New Roman"/>
                <w:snapToGrid w:val="0"/>
                <w:color w:val="000000" w:themeColor="text1"/>
                <w:spacing w:val="-4"/>
                <w:kern w:val="0"/>
                <w:sz w:val="18"/>
                <w:szCs w:val="18"/>
                <w14:textFill>
                  <w14:solidFill>
                    <w14:schemeClr w14:val="tx1"/>
                  </w14:solidFill>
                </w14:textFill>
              </w:rPr>
            </w:pPr>
          </w:p>
        </w:tc>
      </w:tr>
    </w:tbl>
    <w:p w14:paraId="6620C03E">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.4.3.2</w:t>
      </w:r>
      <w:r>
        <w:rPr>
          <w:rFonts w:hint="eastAsia"/>
          <w:color w:val="000000" w:themeColor="text1"/>
          <w14:textFill>
            <w14:solidFill>
              <w14:schemeClr w14:val="tx1"/>
            </w14:solidFill>
          </w14:textFill>
        </w:rPr>
        <w:t>扰动后土壤侵蚀模数</w:t>
      </w:r>
    </w:p>
    <w:p w14:paraId="117BFD64">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根据</w:t>
      </w:r>
      <w:r>
        <w:rPr>
          <w:rFonts w:hint="eastAsia"/>
          <w:color w:val="000000" w:themeColor="text1"/>
          <w14:textFill>
            <w14:solidFill>
              <w14:schemeClr w14:val="tx1"/>
            </w14:solidFill>
          </w14:textFill>
        </w:rPr>
        <w:t>《生产建设项目水土保持技术标准》（GB 50433-2018）第 4.5.</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 xml:space="preserve"> 条第 </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 xml:space="preserve"> 款规定，</w:t>
      </w:r>
      <w:r>
        <w:rPr>
          <w:rFonts w:hint="eastAsia" w:cs="Times New Roman"/>
          <w:color w:val="000000" w:themeColor="text1"/>
          <w:kern w:val="0"/>
          <w14:textFill>
            <w14:solidFill>
              <w14:schemeClr w14:val="tx1"/>
            </w14:solidFill>
          </w14:textFill>
        </w:rPr>
        <w:t>扰动后土壤侵蚀模数采用数学模型、试验观测等方法确定。</w:t>
      </w:r>
    </w:p>
    <w:p w14:paraId="5CB4AA43">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20</w:t>
      </w:r>
      <w:r>
        <w:rPr>
          <w:rFonts w:cs="Times New Roman"/>
          <w:color w:val="000000" w:themeColor="text1"/>
          <w:kern w:val="0"/>
          <w14:textFill>
            <w14:solidFill>
              <w14:schemeClr w14:val="tx1"/>
            </w14:solidFill>
          </w14:textFill>
        </w:rPr>
        <w:t>2</w:t>
      </w:r>
      <w:r>
        <w:rPr>
          <w:rFonts w:hint="eastAsia" w:cs="Times New Roman"/>
          <w:color w:val="000000" w:themeColor="text1"/>
          <w:kern w:val="0"/>
          <w:lang w:val="en-US" w:eastAsia="zh-CN"/>
          <w14:textFill>
            <w14:solidFill>
              <w14:schemeClr w14:val="tx1"/>
            </w14:solidFill>
          </w14:textFill>
        </w:rPr>
        <w:t>4</w:t>
      </w:r>
      <w:r>
        <w:rPr>
          <w:rFonts w:hint="eastAsia" w:cs="Times New Roman"/>
          <w:color w:val="000000" w:themeColor="text1"/>
          <w:kern w:val="0"/>
          <w14:textFill>
            <w14:solidFill>
              <w14:schemeClr w14:val="tx1"/>
            </w14:solidFill>
          </w14:textFill>
        </w:rPr>
        <w:t>年</w:t>
      </w:r>
      <w:r>
        <w:rPr>
          <w:rFonts w:hint="eastAsia" w:cs="Times New Roman"/>
          <w:color w:val="000000" w:themeColor="text1"/>
          <w:kern w:val="0"/>
          <w:lang w:val="en-US" w:eastAsia="zh-CN"/>
          <w14:textFill>
            <w14:solidFill>
              <w14:schemeClr w14:val="tx1"/>
            </w14:solidFill>
          </w14:textFill>
        </w:rPr>
        <w:t>5</w:t>
      </w:r>
      <w:r>
        <w:rPr>
          <w:rFonts w:hint="eastAsia" w:cs="Times New Roman"/>
          <w:color w:val="000000" w:themeColor="text1"/>
          <w:kern w:val="0"/>
          <w14:textFill>
            <w14:solidFill>
              <w14:schemeClr w14:val="tx1"/>
            </w14:solidFill>
          </w14:textFill>
        </w:rPr>
        <w:t>月我单位工作人员对本项目水土流失情况进行了现场调查，通过对项目区施工扰动面类型和扰动区域坡度、坡长等进行调查，根据《生产建设项目土壤流失量测算导则》（SL773-2018）的计算方法进行测算确定项目施工期及自然恢复期的土壤侵蚀模数。项目施工期扰动类型划分为水力侵蚀植被破坏型一般扰动地表、地表翻扰型一般扰动地表、上方无来水工程开挖面三种；项目自然恢复期场地在不采取任何水土保持措施的情况下进行自然恢复，因此自然恢复期按植被破坏型一般扰动地表进行测算。计算公式如下：</w:t>
      </w:r>
    </w:p>
    <w:p w14:paraId="19F4AA61">
      <w:pPr>
        <w:ind w:firstLine="482"/>
        <w:rPr>
          <w:rFonts w:cs="Times New Roman"/>
          <w:b/>
          <w:bCs/>
          <w:color w:val="000000" w:themeColor="text1"/>
          <w:kern w:val="0"/>
          <w14:textFill>
            <w14:solidFill>
              <w14:schemeClr w14:val="tx1"/>
            </w14:solidFill>
          </w14:textFill>
        </w:rPr>
      </w:pPr>
      <w:r>
        <w:rPr>
          <w:rFonts w:hint="eastAsia" w:cs="Times New Roman"/>
          <w:b/>
          <w:bCs/>
          <w:color w:val="000000" w:themeColor="text1"/>
          <w:kern w:val="0"/>
          <w14:textFill>
            <w14:solidFill>
              <w14:schemeClr w14:val="tx1"/>
            </w14:solidFill>
          </w14:textFill>
        </w:rPr>
        <w:t>1、植被破坏型一般扰动地表土壤流失量测算</w:t>
      </w:r>
    </w:p>
    <w:p w14:paraId="5A38FD24">
      <w:pPr>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M</w:t>
      </w:r>
      <w:r>
        <w:rPr>
          <w:rFonts w:cs="Times New Roman"/>
          <w:color w:val="000000" w:themeColor="text1"/>
          <w:kern w:val="0"/>
          <w:vertAlign w:val="subscript"/>
          <w14:textFill>
            <w14:solidFill>
              <w14:schemeClr w14:val="tx1"/>
            </w14:solidFill>
          </w14:textFill>
        </w:rPr>
        <w:t>yz</w:t>
      </w:r>
      <w:r>
        <w:rPr>
          <w:rFonts w:cs="Times New Roman"/>
          <w:color w:val="000000" w:themeColor="text1"/>
          <w:kern w:val="0"/>
          <w14:textFill>
            <w14:solidFill>
              <w14:schemeClr w14:val="tx1"/>
            </w14:solidFill>
          </w14:textFill>
        </w:rPr>
        <w:t>=100RKL</w:t>
      </w:r>
      <w:r>
        <w:rPr>
          <w:rFonts w:cs="Times New Roman"/>
          <w:color w:val="000000" w:themeColor="text1"/>
          <w:kern w:val="0"/>
          <w:vertAlign w:val="subscript"/>
          <w14:textFill>
            <w14:solidFill>
              <w14:schemeClr w14:val="tx1"/>
            </w14:solidFill>
          </w14:textFill>
        </w:rPr>
        <w:t>y</w:t>
      </w:r>
      <w:r>
        <w:rPr>
          <w:rFonts w:cs="Times New Roman"/>
          <w:color w:val="000000" w:themeColor="text1"/>
          <w:kern w:val="0"/>
          <w14:textFill>
            <w14:solidFill>
              <w14:schemeClr w14:val="tx1"/>
            </w14:solidFill>
          </w14:textFill>
        </w:rPr>
        <w:t>S</w:t>
      </w:r>
      <w:r>
        <w:rPr>
          <w:rFonts w:cs="Times New Roman"/>
          <w:color w:val="000000" w:themeColor="text1"/>
          <w:kern w:val="0"/>
          <w:vertAlign w:val="subscript"/>
          <w14:textFill>
            <w14:solidFill>
              <w14:schemeClr w14:val="tx1"/>
            </w14:solidFill>
          </w14:textFill>
        </w:rPr>
        <w:t>y</w:t>
      </w:r>
      <w:r>
        <w:rPr>
          <w:rFonts w:cs="Times New Roman"/>
          <w:color w:val="000000" w:themeColor="text1"/>
          <w:kern w:val="0"/>
          <w14:textFill>
            <w14:solidFill>
              <w14:schemeClr w14:val="tx1"/>
            </w14:solidFill>
          </w14:textFill>
        </w:rPr>
        <w:t>BETA</w:t>
      </w:r>
    </w:p>
    <w:p w14:paraId="575426DE">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式中：M</w:t>
      </w:r>
      <w:r>
        <w:rPr>
          <w:rFonts w:hint="eastAsia" w:cs="Times New Roman"/>
          <w:color w:val="000000" w:themeColor="text1"/>
          <w:kern w:val="0"/>
          <w:vertAlign w:val="subscript"/>
          <w14:textFill>
            <w14:solidFill>
              <w14:schemeClr w14:val="tx1"/>
            </w14:solidFill>
          </w14:textFill>
        </w:rPr>
        <w:t>dy</w:t>
      </w:r>
      <w:r>
        <w:rPr>
          <w:rFonts w:hint="eastAsia" w:cs="Times New Roman"/>
          <w:color w:val="000000" w:themeColor="text1"/>
          <w:kern w:val="0"/>
          <w14:textFill>
            <w14:solidFill>
              <w14:schemeClr w14:val="tx1"/>
            </w14:solidFill>
          </w14:textFill>
        </w:rPr>
        <w:t>——土壤流失量（t）；</w:t>
      </w:r>
    </w:p>
    <w:p w14:paraId="5263F5DA">
      <w:pPr>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R——</w:t>
      </w:r>
      <w:r>
        <w:rPr>
          <w:rFonts w:hint="eastAsia" w:cs="Times New Roman"/>
          <w:color w:val="000000" w:themeColor="text1"/>
          <w:kern w:val="0"/>
          <w14:textFill>
            <w14:solidFill>
              <w14:schemeClr w14:val="tx1"/>
            </w14:solidFill>
          </w14:textFill>
        </w:rPr>
        <w:t>降雨侵蚀力因子，</w:t>
      </w:r>
      <w:r>
        <w:rPr>
          <w:rFonts w:cs="Times New Roman"/>
          <w:color w:val="000000" w:themeColor="text1"/>
          <w:kern w:val="0"/>
          <w14:textFill>
            <w14:solidFill>
              <w14:schemeClr w14:val="tx1"/>
            </w14:solidFill>
          </w14:textFill>
        </w:rPr>
        <w:t xml:space="preserve">MJ•mm/(hm²•h) </w:t>
      </w:r>
      <w:r>
        <w:rPr>
          <w:rFonts w:hint="eastAsia" w:cs="Times New Roman"/>
          <w:color w:val="000000" w:themeColor="text1"/>
          <w:kern w:val="0"/>
          <w14:textFill>
            <w14:solidFill>
              <w14:schemeClr w14:val="tx1"/>
            </w14:solidFill>
          </w14:textFill>
        </w:rPr>
        <w:t>，查《生产建设项目土壤流失量测算导则》（</w:t>
      </w:r>
      <w:r>
        <w:rPr>
          <w:rFonts w:cs="Times New Roman"/>
          <w:color w:val="000000" w:themeColor="text1"/>
          <w:kern w:val="0"/>
          <w14:textFill>
            <w14:solidFill>
              <w14:schemeClr w14:val="tx1"/>
            </w14:solidFill>
          </w14:textFill>
        </w:rPr>
        <w:t>SL773-2018</w:t>
      </w:r>
      <w:r>
        <w:rPr>
          <w:rFonts w:hint="eastAsia" w:cs="Times New Roman"/>
          <w:color w:val="000000" w:themeColor="text1"/>
          <w:kern w:val="0"/>
          <w14:textFill>
            <w14:solidFill>
              <w14:schemeClr w14:val="tx1"/>
            </w14:solidFill>
          </w14:textFill>
        </w:rPr>
        <w:t>）附录</w:t>
      </w:r>
      <w:r>
        <w:rPr>
          <w:rFonts w:cs="Times New Roman"/>
          <w:color w:val="000000" w:themeColor="text1"/>
          <w:kern w:val="0"/>
          <w14:textFill>
            <w14:solidFill>
              <w14:schemeClr w14:val="tx1"/>
            </w14:solidFill>
          </w14:textFill>
        </w:rPr>
        <w:t>C</w:t>
      </w:r>
      <w:r>
        <w:rPr>
          <w:rFonts w:hint="eastAsia" w:cs="Times New Roman"/>
          <w:color w:val="000000" w:themeColor="text1"/>
          <w:kern w:val="0"/>
          <w14:textFill>
            <w14:solidFill>
              <w14:schemeClr w14:val="tx1"/>
            </w14:solidFill>
          </w14:textFill>
        </w:rPr>
        <w:t>可知；</w:t>
      </w:r>
    </w:p>
    <w:p w14:paraId="5FDB98EA">
      <w:pPr>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K——</w:t>
      </w:r>
      <w:r>
        <w:rPr>
          <w:rFonts w:hint="eastAsia" w:cs="Times New Roman"/>
          <w:color w:val="000000" w:themeColor="text1"/>
          <w:kern w:val="0"/>
          <w14:textFill>
            <w14:solidFill>
              <w14:schemeClr w14:val="tx1"/>
            </w14:solidFill>
          </w14:textFill>
        </w:rPr>
        <w:t>土壤可蚀性因子，</w:t>
      </w:r>
      <w:r>
        <w:rPr>
          <w:rFonts w:cs="Times New Roman"/>
          <w:color w:val="000000" w:themeColor="text1"/>
          <w:kern w:val="0"/>
          <w14:textFill>
            <w14:solidFill>
              <w14:schemeClr w14:val="tx1"/>
            </w14:solidFill>
          </w14:textFill>
        </w:rPr>
        <w:t>t•hm²•h(hm²•MJ•mm)</w:t>
      </w:r>
      <w:r>
        <w:rPr>
          <w:rFonts w:hint="eastAsia" w:cs="Times New Roman"/>
          <w:color w:val="000000" w:themeColor="text1"/>
          <w:kern w:val="0"/>
          <w14:textFill>
            <w14:solidFill>
              <w14:schemeClr w14:val="tx1"/>
            </w14:solidFill>
          </w14:textFill>
        </w:rPr>
        <w:t>，查《生产建设项目土壤流失量测算导则》（</w:t>
      </w:r>
      <w:r>
        <w:rPr>
          <w:rFonts w:cs="Times New Roman"/>
          <w:color w:val="000000" w:themeColor="text1"/>
          <w:kern w:val="0"/>
          <w14:textFill>
            <w14:solidFill>
              <w14:schemeClr w14:val="tx1"/>
            </w14:solidFill>
          </w14:textFill>
        </w:rPr>
        <w:t>SL773-2018</w:t>
      </w:r>
      <w:r>
        <w:rPr>
          <w:rFonts w:hint="eastAsia" w:cs="Times New Roman"/>
          <w:color w:val="000000" w:themeColor="text1"/>
          <w:kern w:val="0"/>
          <w14:textFill>
            <w14:solidFill>
              <w14:schemeClr w14:val="tx1"/>
            </w14:solidFill>
          </w14:textFill>
        </w:rPr>
        <w:t>）附录</w:t>
      </w:r>
      <w:r>
        <w:rPr>
          <w:rFonts w:cs="Times New Roman"/>
          <w:color w:val="000000" w:themeColor="text1"/>
          <w:kern w:val="0"/>
          <w14:textFill>
            <w14:solidFill>
              <w14:schemeClr w14:val="tx1"/>
            </w14:solidFill>
          </w14:textFill>
        </w:rPr>
        <w:t>C</w:t>
      </w:r>
      <w:r>
        <w:rPr>
          <w:rFonts w:hint="eastAsia" w:cs="Times New Roman"/>
          <w:color w:val="000000" w:themeColor="text1"/>
          <w:kern w:val="0"/>
          <w14:textFill>
            <w14:solidFill>
              <w14:schemeClr w14:val="tx1"/>
            </w14:solidFill>
          </w14:textFill>
        </w:rPr>
        <w:t>可知；</w:t>
      </w:r>
    </w:p>
    <w:p w14:paraId="0686385B">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L</w:t>
      </w:r>
      <w:r>
        <w:rPr>
          <w:rFonts w:hint="eastAsia" w:cs="Times New Roman"/>
          <w:color w:val="000000" w:themeColor="text1"/>
          <w:kern w:val="0"/>
          <w:vertAlign w:val="subscript"/>
          <w14:textFill>
            <w14:solidFill>
              <w14:schemeClr w14:val="tx1"/>
            </w14:solidFill>
          </w14:textFill>
        </w:rPr>
        <w:t>y</w:t>
      </w:r>
      <w:r>
        <w:rPr>
          <w:rFonts w:hint="eastAsia" w:cs="Times New Roman"/>
          <w:color w:val="000000" w:themeColor="text1"/>
          <w:kern w:val="0"/>
          <w14:textFill>
            <w14:solidFill>
              <w14:schemeClr w14:val="tx1"/>
            </w14:solidFill>
          </w14:textFill>
        </w:rPr>
        <w:t>——坡长因子，无量纲；</w:t>
      </w:r>
    </w:p>
    <w:p w14:paraId="662CAB63">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S</w:t>
      </w:r>
      <w:r>
        <w:rPr>
          <w:rFonts w:hint="eastAsia" w:cs="Times New Roman"/>
          <w:color w:val="000000" w:themeColor="text1"/>
          <w:kern w:val="0"/>
          <w:vertAlign w:val="subscript"/>
          <w14:textFill>
            <w14:solidFill>
              <w14:schemeClr w14:val="tx1"/>
            </w14:solidFill>
          </w14:textFill>
        </w:rPr>
        <w:t>y</w:t>
      </w:r>
      <w:r>
        <w:rPr>
          <w:rFonts w:hint="eastAsia" w:cs="Times New Roman"/>
          <w:color w:val="000000" w:themeColor="text1"/>
          <w:kern w:val="0"/>
          <w14:textFill>
            <w14:solidFill>
              <w14:schemeClr w14:val="tx1"/>
            </w14:solidFill>
          </w14:textFill>
        </w:rPr>
        <w:t>——坡度因子，无量纲；</w:t>
      </w:r>
    </w:p>
    <w:p w14:paraId="5AB7D4DF">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B——植被因子，无量纲，可参考《生产建设项目土壤流失量测算导则》 （SL773-2018）中表4、表5取值；</w:t>
      </w:r>
    </w:p>
    <w:p w14:paraId="596E5C08">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E—— 工程措施因子，无量纲，可参考《生产建设项目土壤流失量测算导则》（SL773-2018）中表6取值，若没有水土保持工程措施时，应取1。</w:t>
      </w:r>
    </w:p>
    <w:p w14:paraId="79CD83C2">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T——耕作措施因子，无量纲，可参考《生产建设项目土壤流失量测算导则》 （SL773-2018）中表7、表8取值，若非农地，取1。</w:t>
      </w:r>
    </w:p>
    <w:p w14:paraId="5C44960C">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A：计算单元的水平投影面积，hm</w:t>
      </w:r>
      <w:r>
        <w:rPr>
          <w:rFonts w:hint="eastAsia" w:cs="Times New Roman"/>
          <w:color w:val="000000" w:themeColor="text1"/>
          <w:kern w:val="0"/>
          <w:vertAlign w:val="superscript"/>
          <w14:textFill>
            <w14:solidFill>
              <w14:schemeClr w14:val="tx1"/>
            </w14:solidFill>
          </w14:textFill>
        </w:rPr>
        <w:t>2</w:t>
      </w:r>
      <w:r>
        <w:rPr>
          <w:rFonts w:hint="eastAsia" w:cs="Times New Roman"/>
          <w:color w:val="000000" w:themeColor="text1"/>
          <w:kern w:val="0"/>
          <w14:textFill>
            <w14:solidFill>
              <w14:schemeClr w14:val="tx1"/>
            </w14:solidFill>
          </w14:textFill>
        </w:rPr>
        <w:t>。</w:t>
      </w:r>
    </w:p>
    <w:p w14:paraId="4E3D2BD7">
      <w:pPr>
        <w:ind w:firstLine="482"/>
        <w:rPr>
          <w:rFonts w:cs="Times New Roman"/>
          <w:b/>
          <w:bCs/>
          <w:color w:val="000000" w:themeColor="text1"/>
          <w:kern w:val="0"/>
          <w14:textFill>
            <w14:solidFill>
              <w14:schemeClr w14:val="tx1"/>
            </w14:solidFill>
          </w14:textFill>
        </w:rPr>
      </w:pPr>
      <w:r>
        <w:rPr>
          <w:rFonts w:hint="eastAsia" w:cs="Times New Roman"/>
          <w:b/>
          <w:bCs/>
          <w:color w:val="000000" w:themeColor="text1"/>
          <w:kern w:val="0"/>
          <w14:textFill>
            <w14:solidFill>
              <w14:schemeClr w14:val="tx1"/>
            </w14:solidFill>
          </w14:textFill>
        </w:rPr>
        <w:t>2、地表翻扰型</w:t>
      </w:r>
      <w:bookmarkStart w:id="98" w:name="_Hlk101343461"/>
      <w:r>
        <w:rPr>
          <w:rFonts w:hint="eastAsia" w:cs="Times New Roman"/>
          <w:b/>
          <w:bCs/>
          <w:color w:val="000000" w:themeColor="text1"/>
          <w:kern w:val="0"/>
          <w14:textFill>
            <w14:solidFill>
              <w14:schemeClr w14:val="tx1"/>
            </w14:solidFill>
          </w14:textFill>
        </w:rPr>
        <w:t>一般扰动地表土壤流失量测算</w:t>
      </w:r>
      <w:bookmarkEnd w:id="98"/>
    </w:p>
    <w:p w14:paraId="1BC7BD03">
      <w:pPr>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M</w:t>
      </w:r>
      <w:r>
        <w:rPr>
          <w:rFonts w:cs="Times New Roman"/>
          <w:color w:val="000000" w:themeColor="text1"/>
          <w:kern w:val="0"/>
          <w:vertAlign w:val="subscript"/>
          <w14:textFill>
            <w14:solidFill>
              <w14:schemeClr w14:val="tx1"/>
            </w14:solidFill>
          </w14:textFill>
        </w:rPr>
        <w:t>yd</w:t>
      </w:r>
      <w:r>
        <w:rPr>
          <w:rFonts w:cs="Times New Roman"/>
          <w:color w:val="000000" w:themeColor="text1"/>
          <w:kern w:val="0"/>
          <w14:textFill>
            <w14:solidFill>
              <w14:schemeClr w14:val="tx1"/>
            </w14:solidFill>
          </w14:textFill>
        </w:rPr>
        <w:t>=100RK</w:t>
      </w:r>
      <w:r>
        <w:rPr>
          <w:rFonts w:cs="Times New Roman"/>
          <w:color w:val="000000" w:themeColor="text1"/>
          <w:kern w:val="0"/>
          <w:vertAlign w:val="subscript"/>
          <w14:textFill>
            <w14:solidFill>
              <w14:schemeClr w14:val="tx1"/>
            </w14:solidFill>
          </w14:textFill>
        </w:rPr>
        <w:t>yd</w:t>
      </w:r>
      <w:r>
        <w:rPr>
          <w:rFonts w:cs="Times New Roman"/>
          <w:color w:val="000000" w:themeColor="text1"/>
          <w:kern w:val="0"/>
          <w14:textFill>
            <w14:solidFill>
              <w14:schemeClr w14:val="tx1"/>
            </w14:solidFill>
          </w14:textFill>
        </w:rPr>
        <w:t>L</w:t>
      </w:r>
      <w:r>
        <w:rPr>
          <w:rFonts w:cs="Times New Roman"/>
          <w:color w:val="000000" w:themeColor="text1"/>
          <w:kern w:val="0"/>
          <w:vertAlign w:val="subscript"/>
          <w14:textFill>
            <w14:solidFill>
              <w14:schemeClr w14:val="tx1"/>
            </w14:solidFill>
          </w14:textFill>
        </w:rPr>
        <w:t>y</w:t>
      </w:r>
      <w:r>
        <w:rPr>
          <w:rFonts w:cs="Times New Roman"/>
          <w:color w:val="000000" w:themeColor="text1"/>
          <w:kern w:val="0"/>
          <w14:textFill>
            <w14:solidFill>
              <w14:schemeClr w14:val="tx1"/>
            </w14:solidFill>
          </w14:textFill>
        </w:rPr>
        <w:t>S</w:t>
      </w:r>
      <w:r>
        <w:rPr>
          <w:rFonts w:cs="Times New Roman"/>
          <w:color w:val="000000" w:themeColor="text1"/>
          <w:kern w:val="0"/>
          <w:vertAlign w:val="subscript"/>
          <w14:textFill>
            <w14:solidFill>
              <w14:schemeClr w14:val="tx1"/>
            </w14:solidFill>
          </w14:textFill>
        </w:rPr>
        <w:t>y</w:t>
      </w:r>
      <w:r>
        <w:rPr>
          <w:rFonts w:cs="Times New Roman"/>
          <w:color w:val="000000" w:themeColor="text1"/>
          <w:kern w:val="0"/>
          <w14:textFill>
            <w14:solidFill>
              <w14:schemeClr w14:val="tx1"/>
            </w14:solidFill>
          </w14:textFill>
        </w:rPr>
        <w:t>BETA</w:t>
      </w:r>
    </w:p>
    <w:p w14:paraId="58AAD0C3">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式中：M</w:t>
      </w:r>
      <w:r>
        <w:rPr>
          <w:rFonts w:hint="eastAsia" w:cs="Times New Roman"/>
          <w:color w:val="000000" w:themeColor="text1"/>
          <w:kern w:val="0"/>
          <w:vertAlign w:val="subscript"/>
          <w14:textFill>
            <w14:solidFill>
              <w14:schemeClr w14:val="tx1"/>
            </w14:solidFill>
          </w14:textFill>
        </w:rPr>
        <w:t>dy</w:t>
      </w:r>
      <w:r>
        <w:rPr>
          <w:rFonts w:hint="eastAsia" w:cs="Times New Roman"/>
          <w:color w:val="000000" w:themeColor="text1"/>
          <w:kern w:val="0"/>
          <w14:textFill>
            <w14:solidFill>
              <w14:schemeClr w14:val="tx1"/>
            </w14:solidFill>
          </w14:textFill>
        </w:rPr>
        <w:t>——土壤流失量（t）；</w:t>
      </w:r>
    </w:p>
    <w:p w14:paraId="2C17BD48">
      <w:pPr>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R——</w:t>
      </w:r>
      <w:r>
        <w:rPr>
          <w:rFonts w:hint="eastAsia" w:cs="Times New Roman"/>
          <w:color w:val="000000" w:themeColor="text1"/>
          <w:kern w:val="0"/>
          <w14:textFill>
            <w14:solidFill>
              <w14:schemeClr w14:val="tx1"/>
            </w14:solidFill>
          </w14:textFill>
        </w:rPr>
        <w:t>降雨侵蚀力因子，</w:t>
      </w:r>
      <w:r>
        <w:rPr>
          <w:rFonts w:cs="Times New Roman"/>
          <w:color w:val="000000" w:themeColor="text1"/>
          <w:kern w:val="0"/>
          <w14:textFill>
            <w14:solidFill>
              <w14:schemeClr w14:val="tx1"/>
            </w14:solidFill>
          </w14:textFill>
        </w:rPr>
        <w:t xml:space="preserve">MJ•mm/(hm²•h) </w:t>
      </w:r>
      <w:r>
        <w:rPr>
          <w:rFonts w:hint="eastAsia" w:cs="Times New Roman"/>
          <w:color w:val="000000" w:themeColor="text1"/>
          <w:kern w:val="0"/>
          <w14:textFill>
            <w14:solidFill>
              <w14:schemeClr w14:val="tx1"/>
            </w14:solidFill>
          </w14:textFill>
        </w:rPr>
        <w:t>，查《生产建设项目土壤流失量测算导则》（</w:t>
      </w:r>
      <w:r>
        <w:rPr>
          <w:rFonts w:cs="Times New Roman"/>
          <w:color w:val="000000" w:themeColor="text1"/>
          <w:kern w:val="0"/>
          <w14:textFill>
            <w14:solidFill>
              <w14:schemeClr w14:val="tx1"/>
            </w14:solidFill>
          </w14:textFill>
        </w:rPr>
        <w:t>SL773-2018</w:t>
      </w:r>
      <w:r>
        <w:rPr>
          <w:rFonts w:hint="eastAsia" w:cs="Times New Roman"/>
          <w:color w:val="000000" w:themeColor="text1"/>
          <w:kern w:val="0"/>
          <w14:textFill>
            <w14:solidFill>
              <w14:schemeClr w14:val="tx1"/>
            </w14:solidFill>
          </w14:textFill>
        </w:rPr>
        <w:t>）附录</w:t>
      </w:r>
      <w:r>
        <w:rPr>
          <w:rFonts w:cs="Times New Roman"/>
          <w:color w:val="000000" w:themeColor="text1"/>
          <w:kern w:val="0"/>
          <w14:textFill>
            <w14:solidFill>
              <w14:schemeClr w14:val="tx1"/>
            </w14:solidFill>
          </w14:textFill>
        </w:rPr>
        <w:t>C</w:t>
      </w:r>
      <w:r>
        <w:rPr>
          <w:rFonts w:hint="eastAsia" w:cs="Times New Roman"/>
          <w:color w:val="000000" w:themeColor="text1"/>
          <w:kern w:val="0"/>
          <w14:textFill>
            <w14:solidFill>
              <w14:schemeClr w14:val="tx1"/>
            </w14:solidFill>
          </w14:textFill>
        </w:rPr>
        <w:t>可知；</w:t>
      </w:r>
    </w:p>
    <w:p w14:paraId="25C530F9">
      <w:pPr>
        <w:widowControl/>
        <w:autoSpaceDE w:val="0"/>
        <w:autoSpaceDN w:val="0"/>
        <w:spacing w:before="156" w:beforeLines="50" w:line="384" w:lineRule="auto"/>
        <w:ind w:firstLine="480"/>
        <w:jc w:val="left"/>
        <w:textAlignment w:val="baseline"/>
        <w:rPr>
          <w:rFonts w:eastAsia="仿宋" w:cs="仿宋"/>
          <w:b/>
          <w:bCs/>
          <w:snapToGrid w:val="0"/>
          <w:color w:val="000000" w:themeColor="text1"/>
          <w:spacing w:val="-5"/>
          <w:kern w:val="0"/>
          <w14:textFill>
            <w14:solidFill>
              <w14:schemeClr w14:val="tx1"/>
            </w14:solidFill>
          </w14:textFill>
        </w:rPr>
      </w:pPr>
      <w:r>
        <w:rPr>
          <w:rFonts w:cs="Times New Roman"/>
          <w:color w:val="000000" w:themeColor="text1"/>
          <w:kern w:val="0"/>
          <w14:textFill>
            <w14:solidFill>
              <w14:schemeClr w14:val="tx1"/>
            </w14:solidFill>
          </w14:textFill>
        </w:rPr>
        <w:t>K</w:t>
      </w:r>
      <w:r>
        <w:rPr>
          <w:rFonts w:cs="Times New Roman"/>
          <w:color w:val="000000" w:themeColor="text1"/>
          <w:kern w:val="0"/>
          <w:vertAlign w:val="subscript"/>
          <w14:textFill>
            <w14:solidFill>
              <w14:schemeClr w14:val="tx1"/>
            </w14:solidFill>
          </w14:textFill>
        </w:rPr>
        <w:t>yd</w:t>
      </w:r>
      <w:r>
        <w:rPr>
          <w:rFonts w:cs="Times New Roman"/>
          <w:color w:val="000000" w:themeColor="text1"/>
          <w:kern w:val="0"/>
          <w14:textFill>
            <w14:solidFill>
              <w14:schemeClr w14:val="tx1"/>
            </w14:solidFill>
          </w14:textFill>
        </w:rPr>
        <w:t>——</w:t>
      </w:r>
      <w:r>
        <w:rPr>
          <w:rFonts w:hint="eastAsia" w:cs="Times New Roman"/>
          <w:color w:val="000000" w:themeColor="text1"/>
          <w:kern w:val="0"/>
          <w14:textFill>
            <w14:solidFill>
              <w14:schemeClr w14:val="tx1"/>
            </w14:solidFill>
          </w14:textFill>
        </w:rPr>
        <w:t>土壤可蚀性因子，</w:t>
      </w:r>
      <w:r>
        <w:rPr>
          <w:rFonts w:cs="Times New Roman"/>
          <w:color w:val="000000" w:themeColor="text1"/>
          <w:kern w:val="0"/>
          <w14:textFill>
            <w14:solidFill>
              <w14:schemeClr w14:val="tx1"/>
            </w14:solidFill>
          </w14:textFill>
        </w:rPr>
        <w:t>t•hm²•h(hm²•MJ•mm)</w:t>
      </w:r>
      <w:r>
        <w:rPr>
          <w:rFonts w:hint="eastAsia" w:cs="Times New Roman"/>
          <w:color w:val="000000" w:themeColor="text1"/>
          <w:kern w:val="0"/>
          <w14:textFill>
            <w14:solidFill>
              <w14:schemeClr w14:val="tx1"/>
            </w14:solidFill>
          </w14:textFill>
        </w:rPr>
        <w:t>，</w:t>
      </w:r>
      <w:r>
        <w:rPr>
          <w:rFonts w:hint="eastAsia" w:eastAsia="仿宋" w:cs="仿宋"/>
          <w:b/>
          <w:bCs/>
          <w:snapToGrid w:val="0"/>
          <w:color w:val="000000" w:themeColor="text1"/>
          <w:spacing w:val="-5"/>
          <w:kern w:val="0"/>
          <w14:textFill>
            <w14:solidFill>
              <w14:schemeClr w14:val="tx1"/>
            </w14:solidFill>
          </w14:textFill>
        </w:rPr>
        <w:t>K</w:t>
      </w:r>
      <w:r>
        <w:rPr>
          <w:rFonts w:eastAsia="仿宋" w:cs="仿宋"/>
          <w:b/>
          <w:bCs/>
          <w:snapToGrid w:val="0"/>
          <w:color w:val="000000" w:themeColor="text1"/>
          <w:spacing w:val="-5"/>
          <w:kern w:val="0"/>
          <w:vertAlign w:val="subscript"/>
          <w14:textFill>
            <w14:solidFill>
              <w14:schemeClr w14:val="tx1"/>
            </w14:solidFill>
          </w14:textFill>
        </w:rPr>
        <w:t>yd</w:t>
      </w:r>
      <w:r>
        <w:rPr>
          <w:rFonts w:eastAsia="仿宋" w:cs="仿宋"/>
          <w:b/>
          <w:bCs/>
          <w:snapToGrid w:val="0"/>
          <w:color w:val="000000" w:themeColor="text1"/>
          <w:spacing w:val="-5"/>
          <w:kern w:val="0"/>
          <w14:textFill>
            <w14:solidFill>
              <w14:schemeClr w14:val="tx1"/>
            </w14:solidFill>
          </w14:textFill>
        </w:rPr>
        <w:t>=Nk</w:t>
      </w:r>
      <w:r>
        <w:rPr>
          <w:rFonts w:hint="eastAsia" w:eastAsia="仿宋" w:cs="仿宋"/>
          <w:b/>
          <w:bCs/>
          <w:snapToGrid w:val="0"/>
          <w:color w:val="000000" w:themeColor="text1"/>
          <w:spacing w:val="-5"/>
          <w:kern w:val="0"/>
          <w14:textFill>
            <w14:solidFill>
              <w14:schemeClr w14:val="tx1"/>
            </w14:solidFill>
          </w14:textFill>
        </w:rPr>
        <w:t>；</w:t>
      </w:r>
    </w:p>
    <w:p w14:paraId="18F494AE">
      <w:pPr>
        <w:widowControl/>
        <w:autoSpaceDE w:val="0"/>
        <w:autoSpaceDN w:val="0"/>
        <w:spacing w:before="156" w:beforeLines="50" w:line="384" w:lineRule="auto"/>
        <w:ind w:firstLine="472"/>
        <w:jc w:val="left"/>
        <w:textAlignment w:val="baseline"/>
        <w:rPr>
          <w:rFonts w:eastAsia="仿宋" w:cs="仿宋"/>
          <w:b/>
          <w:bCs/>
          <w:snapToGrid w:val="0"/>
          <w:color w:val="000000" w:themeColor="text1"/>
          <w:spacing w:val="-5"/>
          <w:kern w:val="0"/>
          <w14:textFill>
            <w14:solidFill>
              <w14:schemeClr w14:val="tx1"/>
            </w14:solidFill>
          </w14:textFill>
        </w:rPr>
      </w:pPr>
      <w:r>
        <w:rPr>
          <w:rFonts w:hint="eastAsia" w:eastAsia="仿宋" w:cs="仿宋"/>
          <w:b/>
          <w:bCs/>
          <w:snapToGrid w:val="0"/>
          <w:color w:val="000000" w:themeColor="text1"/>
          <w:spacing w:val="-5"/>
          <w:kern w:val="0"/>
          <w14:textFill>
            <w14:solidFill>
              <w14:schemeClr w14:val="tx1"/>
            </w14:solidFill>
          </w14:textFill>
        </w:rPr>
        <w:t>N：地表翻扰后土壤可蚀性因子增大系数，无量纲。</w:t>
      </w:r>
      <w:r>
        <w:rPr>
          <w:rFonts w:hint="eastAsia" w:cs="Times New Roman"/>
          <w:color w:val="000000" w:themeColor="text1"/>
          <w:kern w:val="0"/>
          <w14:textFill>
            <w14:solidFill>
              <w14:schemeClr w14:val="tx1"/>
            </w14:solidFill>
          </w14:textFill>
        </w:rPr>
        <w:t>根据《生产建设项目土壤流失量测算导则》（SL773-2018）6.3.2规定，无条件实测时可取2.13。</w:t>
      </w:r>
    </w:p>
    <w:p w14:paraId="79F890FA">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L</w:t>
      </w:r>
      <w:r>
        <w:rPr>
          <w:rFonts w:hint="eastAsia" w:cs="Times New Roman"/>
          <w:color w:val="000000" w:themeColor="text1"/>
          <w:kern w:val="0"/>
          <w:vertAlign w:val="subscript"/>
          <w14:textFill>
            <w14:solidFill>
              <w14:schemeClr w14:val="tx1"/>
            </w14:solidFill>
          </w14:textFill>
        </w:rPr>
        <w:t>y</w:t>
      </w:r>
      <w:r>
        <w:rPr>
          <w:rFonts w:hint="eastAsia" w:cs="Times New Roman"/>
          <w:color w:val="000000" w:themeColor="text1"/>
          <w:kern w:val="0"/>
          <w14:textFill>
            <w14:solidFill>
              <w14:schemeClr w14:val="tx1"/>
            </w14:solidFill>
          </w14:textFill>
        </w:rPr>
        <w:t>——坡长因子，无量纲；</w:t>
      </w:r>
    </w:p>
    <w:p w14:paraId="4FDEC8BF">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S</w:t>
      </w:r>
      <w:r>
        <w:rPr>
          <w:rFonts w:hint="eastAsia" w:cs="Times New Roman"/>
          <w:color w:val="000000" w:themeColor="text1"/>
          <w:kern w:val="0"/>
          <w:vertAlign w:val="subscript"/>
          <w14:textFill>
            <w14:solidFill>
              <w14:schemeClr w14:val="tx1"/>
            </w14:solidFill>
          </w14:textFill>
        </w:rPr>
        <w:t>y</w:t>
      </w:r>
      <w:r>
        <w:rPr>
          <w:rFonts w:hint="eastAsia" w:cs="Times New Roman"/>
          <w:color w:val="000000" w:themeColor="text1"/>
          <w:kern w:val="0"/>
          <w14:textFill>
            <w14:solidFill>
              <w14:schemeClr w14:val="tx1"/>
            </w14:solidFill>
          </w14:textFill>
        </w:rPr>
        <w:t>——坡度因子，无量纲；</w:t>
      </w:r>
    </w:p>
    <w:p w14:paraId="30C82007">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B——植被因子，无量纲，可参考《生产建设项目土壤流失量测算导则》 （SL773-2018）中表4、表5取值；</w:t>
      </w:r>
    </w:p>
    <w:p w14:paraId="088181D1">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E—— 工程措施因子，无量纲，可参考《生产建设项目土壤流失量测算导则》（SL773-2018）中表6取值，若没有水土保持工程措施时，应取1。</w:t>
      </w:r>
    </w:p>
    <w:p w14:paraId="6B5DD729">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T——耕作措施因子，无量纲，可参考《生产建设项目土壤流失量测算导则》 （SL773-2018）中表7、表8取值，若非农地，取1。</w:t>
      </w:r>
    </w:p>
    <w:p w14:paraId="0A142E7E">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A：计算单元的水平投影面积，hm</w:t>
      </w:r>
      <w:r>
        <w:rPr>
          <w:rFonts w:hint="eastAsia" w:cs="Times New Roman"/>
          <w:color w:val="000000" w:themeColor="text1"/>
          <w:kern w:val="0"/>
          <w:vertAlign w:val="superscript"/>
          <w14:textFill>
            <w14:solidFill>
              <w14:schemeClr w14:val="tx1"/>
            </w14:solidFill>
          </w14:textFill>
        </w:rPr>
        <w:t>2</w:t>
      </w:r>
      <w:r>
        <w:rPr>
          <w:rFonts w:hint="eastAsia" w:cs="Times New Roman"/>
          <w:color w:val="000000" w:themeColor="text1"/>
          <w:kern w:val="0"/>
          <w14:textFill>
            <w14:solidFill>
              <w14:schemeClr w14:val="tx1"/>
            </w14:solidFill>
          </w14:textFill>
        </w:rPr>
        <w:t>。</w:t>
      </w:r>
    </w:p>
    <w:p w14:paraId="43484F25">
      <w:pPr>
        <w:ind w:firstLine="482"/>
        <w:rPr>
          <w:rFonts w:cs="Times New Roman"/>
          <w:b/>
          <w:bCs/>
          <w:color w:val="000000" w:themeColor="text1"/>
          <w:kern w:val="0"/>
          <w14:textFill>
            <w14:solidFill>
              <w14:schemeClr w14:val="tx1"/>
            </w14:solidFill>
          </w14:textFill>
        </w:rPr>
      </w:pPr>
      <w:r>
        <w:rPr>
          <w:rFonts w:cs="Times New Roman"/>
          <w:b/>
          <w:bCs/>
          <w:color w:val="000000" w:themeColor="text1"/>
          <w:kern w:val="0"/>
          <w14:textFill>
            <w14:solidFill>
              <w14:schemeClr w14:val="tx1"/>
            </w14:solidFill>
          </w14:textFill>
        </w:rPr>
        <w:t>3</w:t>
      </w:r>
      <w:r>
        <w:rPr>
          <w:rFonts w:hint="eastAsia" w:cs="Times New Roman"/>
          <w:b/>
          <w:bCs/>
          <w:color w:val="000000" w:themeColor="text1"/>
          <w:kern w:val="0"/>
          <w14:textFill>
            <w14:solidFill>
              <w14:schemeClr w14:val="tx1"/>
            </w14:solidFill>
          </w14:textFill>
        </w:rPr>
        <w:t>、上方无来水工程开挖面土壤流失量测算</w:t>
      </w:r>
    </w:p>
    <w:p w14:paraId="48112132">
      <w:pPr>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M</w:t>
      </w:r>
      <w:r>
        <w:rPr>
          <w:rFonts w:cs="Times New Roman"/>
          <w:color w:val="000000" w:themeColor="text1"/>
          <w:kern w:val="0"/>
          <w:vertAlign w:val="subscript"/>
          <w14:textFill>
            <w14:solidFill>
              <w14:schemeClr w14:val="tx1"/>
            </w14:solidFill>
          </w14:textFill>
        </w:rPr>
        <w:t>kw</w:t>
      </w:r>
      <w:r>
        <w:rPr>
          <w:rFonts w:cs="Times New Roman"/>
          <w:color w:val="000000" w:themeColor="text1"/>
          <w:kern w:val="0"/>
          <w14:textFill>
            <w14:solidFill>
              <w14:schemeClr w14:val="tx1"/>
            </w14:solidFill>
          </w14:textFill>
        </w:rPr>
        <w:t>=100RG</w:t>
      </w:r>
      <w:r>
        <w:rPr>
          <w:rFonts w:cs="Times New Roman"/>
          <w:color w:val="000000" w:themeColor="text1"/>
          <w:kern w:val="0"/>
          <w:vertAlign w:val="subscript"/>
          <w14:textFill>
            <w14:solidFill>
              <w14:schemeClr w14:val="tx1"/>
            </w14:solidFill>
          </w14:textFill>
        </w:rPr>
        <w:t>kw</w:t>
      </w:r>
      <w:r>
        <w:rPr>
          <w:rFonts w:cs="Times New Roman"/>
          <w:color w:val="000000" w:themeColor="text1"/>
          <w:kern w:val="0"/>
          <w14:textFill>
            <w14:solidFill>
              <w14:schemeClr w14:val="tx1"/>
            </w14:solidFill>
          </w14:textFill>
        </w:rPr>
        <w:t>L</w:t>
      </w:r>
      <w:r>
        <w:rPr>
          <w:rFonts w:cs="Times New Roman"/>
          <w:color w:val="000000" w:themeColor="text1"/>
          <w:kern w:val="0"/>
          <w:vertAlign w:val="subscript"/>
          <w14:textFill>
            <w14:solidFill>
              <w14:schemeClr w14:val="tx1"/>
            </w14:solidFill>
          </w14:textFill>
        </w:rPr>
        <w:t>kw</w:t>
      </w:r>
      <w:r>
        <w:rPr>
          <w:rFonts w:cs="Times New Roman"/>
          <w:color w:val="000000" w:themeColor="text1"/>
          <w:kern w:val="0"/>
          <w14:textFill>
            <w14:solidFill>
              <w14:schemeClr w14:val="tx1"/>
            </w14:solidFill>
          </w14:textFill>
        </w:rPr>
        <w:t>S</w:t>
      </w:r>
      <w:r>
        <w:rPr>
          <w:rFonts w:cs="Times New Roman"/>
          <w:color w:val="000000" w:themeColor="text1"/>
          <w:kern w:val="0"/>
          <w:vertAlign w:val="subscript"/>
          <w14:textFill>
            <w14:solidFill>
              <w14:schemeClr w14:val="tx1"/>
            </w14:solidFill>
          </w14:textFill>
        </w:rPr>
        <w:t>kw</w:t>
      </w:r>
      <w:r>
        <w:rPr>
          <w:rFonts w:cs="Times New Roman"/>
          <w:color w:val="000000" w:themeColor="text1"/>
          <w:kern w:val="0"/>
          <w14:textFill>
            <w14:solidFill>
              <w14:schemeClr w14:val="tx1"/>
            </w14:solidFill>
          </w14:textFill>
        </w:rPr>
        <w:t>A</w:t>
      </w:r>
    </w:p>
    <w:p w14:paraId="54336470">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式中： M</w:t>
      </w:r>
      <w:r>
        <w:rPr>
          <w:rFonts w:hint="eastAsia" w:cs="Times New Roman"/>
          <w:color w:val="000000" w:themeColor="text1"/>
          <w:kern w:val="0"/>
          <w:vertAlign w:val="subscript"/>
          <w14:textFill>
            <w14:solidFill>
              <w14:schemeClr w14:val="tx1"/>
            </w14:solidFill>
          </w14:textFill>
        </w:rPr>
        <w:t>kw</w:t>
      </w:r>
      <w:r>
        <w:rPr>
          <w:rFonts w:hint="eastAsia" w:cs="Times New Roman"/>
          <w:color w:val="000000" w:themeColor="text1"/>
          <w:kern w:val="0"/>
          <w14:textFill>
            <w14:solidFill>
              <w14:schemeClr w14:val="tx1"/>
            </w14:solidFill>
          </w14:textFill>
        </w:rPr>
        <w:t>——上方无来水工程开挖面计算单元土壤流失量（t）；</w:t>
      </w:r>
    </w:p>
    <w:p w14:paraId="52A0FE65">
      <w:pPr>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G</w:t>
      </w:r>
      <w:r>
        <w:rPr>
          <w:rFonts w:cs="Times New Roman"/>
          <w:color w:val="000000" w:themeColor="text1"/>
          <w:kern w:val="0"/>
          <w:vertAlign w:val="subscript"/>
          <w14:textFill>
            <w14:solidFill>
              <w14:schemeClr w14:val="tx1"/>
            </w14:solidFill>
          </w14:textFill>
        </w:rPr>
        <w:t>kw</w:t>
      </w:r>
      <w:r>
        <w:rPr>
          <w:rFonts w:cs="Times New Roman"/>
          <w:color w:val="000000" w:themeColor="text1"/>
          <w:kern w:val="0"/>
          <w14:textFill>
            <w14:solidFill>
              <w14:schemeClr w14:val="tx1"/>
            </w14:solidFill>
          </w14:textFill>
        </w:rPr>
        <w:t>——</w:t>
      </w:r>
      <w:r>
        <w:rPr>
          <w:rFonts w:hint="eastAsia" w:cs="Times New Roman"/>
          <w:color w:val="000000" w:themeColor="text1"/>
          <w:kern w:val="0"/>
          <w14:textFill>
            <w14:solidFill>
              <w14:schemeClr w14:val="tx1"/>
            </w14:solidFill>
          </w14:textFill>
        </w:rPr>
        <w:t>上方无来水工程开挖面土质因子，</w:t>
      </w:r>
      <w:r>
        <w:rPr>
          <w:rFonts w:cs="Times New Roman"/>
          <w:color w:val="000000" w:themeColor="text1"/>
          <w:kern w:val="0"/>
          <w14:textFill>
            <w14:solidFill>
              <w14:schemeClr w14:val="tx1"/>
            </w14:solidFill>
          </w14:textFill>
        </w:rPr>
        <w:t>t•hm²•(hm²•MJ)</w:t>
      </w:r>
      <w:r>
        <w:rPr>
          <w:rFonts w:hint="eastAsia" w:cs="Times New Roman"/>
          <w:color w:val="000000" w:themeColor="text1"/>
          <w:kern w:val="0"/>
          <w14:textFill>
            <w14:solidFill>
              <w14:schemeClr w14:val="tx1"/>
            </w14:solidFill>
          </w14:textFill>
        </w:rPr>
        <w:t>；</w:t>
      </w:r>
    </w:p>
    <w:p w14:paraId="054C3D24">
      <w:pPr>
        <w:ind w:firstLine="2400" w:firstLineChars="100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t xml:space="preserve"> </w:t>
      </w:r>
      <w:r>
        <w:rPr>
          <w:rFonts w:ascii="Calibri" w:hAnsi="Calibri" w:eastAsia="宋体" w:cs="Times New Roman"/>
          <w:color w:val="000000" w:themeColor="text1"/>
          <w:sz w:val="21"/>
          <w:szCs w:val="22"/>
          <w14:textFill>
            <w14:solidFill>
              <w14:schemeClr w14:val="tx1"/>
            </w14:solidFill>
          </w14:textFill>
        </w:rPr>
        <w:drawing>
          <wp:inline distT="0" distB="0" distL="0" distR="0">
            <wp:extent cx="2217420" cy="5334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4"/>
                    <a:stretch>
                      <a:fillRect/>
                    </a:stretch>
                  </pic:blipFill>
                  <pic:spPr>
                    <a:xfrm>
                      <a:off x="0" y="0"/>
                      <a:ext cx="2217612" cy="533446"/>
                    </a:xfrm>
                    <a:prstGeom prst="rect">
                      <a:avLst/>
                    </a:prstGeom>
                  </pic:spPr>
                </pic:pic>
              </a:graphicData>
            </a:graphic>
          </wp:inline>
        </w:drawing>
      </w:r>
    </w:p>
    <w:p w14:paraId="58D23663">
      <w:pPr>
        <w:ind w:firstLine="480"/>
        <w:rPr>
          <w:rFonts w:cs="Times New Roman"/>
          <w:color w:val="000000" w:themeColor="text1"/>
          <w:kern w:val="0"/>
          <w14:textFill>
            <w14:solidFill>
              <w14:schemeClr w14:val="tx1"/>
            </w14:solidFill>
          </w14:textFill>
        </w:rPr>
      </w:pPr>
      <w:r>
        <w:rPr>
          <w:rFonts w:cs="Times New Roman"/>
          <w:color w:val="000000" w:themeColor="text1"/>
          <w:kern w:val="0"/>
          <w14:textFill>
            <w14:solidFill>
              <w14:schemeClr w14:val="tx1"/>
            </w14:solidFill>
          </w14:textFill>
        </w:rPr>
        <w:drawing>
          <wp:inline distT="0" distB="0" distL="0" distR="0">
            <wp:extent cx="116840" cy="1168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18934" cy="118934"/>
                    </a:xfrm>
                    <a:prstGeom prst="rect">
                      <a:avLst/>
                    </a:prstGeom>
                    <a:noFill/>
                  </pic:spPr>
                </pic:pic>
              </a:graphicData>
            </a:graphic>
          </wp:inline>
        </w:drawing>
      </w:r>
      <w:r>
        <w:rPr>
          <w:rFonts w:cs="Times New Roman"/>
          <w:color w:val="000000" w:themeColor="text1"/>
          <w:kern w:val="0"/>
          <w14:textFill>
            <w14:solidFill>
              <w14:schemeClr w14:val="tx1"/>
            </w14:solidFill>
          </w14:textFill>
        </w:rPr>
        <w:t xml:space="preserve"> ——</w:t>
      </w:r>
      <w:r>
        <w:rPr>
          <w:rFonts w:hint="eastAsia" w:cs="Times New Roman"/>
          <w:color w:val="000000" w:themeColor="text1"/>
          <w:kern w:val="0"/>
          <w14:textFill>
            <w14:solidFill>
              <w14:schemeClr w14:val="tx1"/>
            </w14:solidFill>
          </w14:textFill>
        </w:rPr>
        <w:t>土体密度，</w:t>
      </w:r>
      <w:r>
        <w:rPr>
          <w:rFonts w:cs="Times New Roman"/>
          <w:color w:val="000000" w:themeColor="text1"/>
          <w:kern w:val="0"/>
          <w14:textFill>
            <w14:solidFill>
              <w14:schemeClr w14:val="tx1"/>
            </w14:solidFill>
          </w14:textFill>
        </w:rPr>
        <w:t>g/cm³</w:t>
      </w:r>
      <w:r>
        <w:rPr>
          <w:rFonts w:hint="eastAsia" w:cs="Times New Roman"/>
          <w:color w:val="000000" w:themeColor="text1"/>
          <w:kern w:val="0"/>
          <w14:textFill>
            <w14:solidFill>
              <w14:schemeClr w14:val="tx1"/>
            </w14:solidFill>
          </w14:textFill>
        </w:rPr>
        <w:t>；</w:t>
      </w:r>
      <w:r>
        <w:rPr>
          <w:rFonts w:cs="Times New Roman"/>
          <w:color w:val="000000" w:themeColor="text1"/>
          <w:kern w:val="0"/>
          <w14:textFill>
            <w14:solidFill>
              <w14:schemeClr w14:val="tx1"/>
            </w14:solidFill>
          </w14:textFill>
        </w:rPr>
        <w:t xml:space="preserve">     </w:t>
      </w:r>
    </w:p>
    <w:p w14:paraId="137D6988">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SIL——粉粒（0.002~0.05mm）含量，取小数；</w:t>
      </w:r>
    </w:p>
    <w:p w14:paraId="4D4639A8">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CLA——黏粒（&lt;0.002mm）含量，取小数；</w:t>
      </w:r>
    </w:p>
    <w:p w14:paraId="1A1EC52A">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L</w:t>
      </w:r>
      <w:r>
        <w:rPr>
          <w:rFonts w:hint="eastAsia" w:cs="Times New Roman"/>
          <w:color w:val="000000" w:themeColor="text1"/>
          <w:kern w:val="0"/>
          <w:vertAlign w:val="subscript"/>
          <w14:textFill>
            <w14:solidFill>
              <w14:schemeClr w14:val="tx1"/>
            </w14:solidFill>
          </w14:textFill>
        </w:rPr>
        <w:t>kw</w:t>
      </w:r>
      <w:r>
        <w:rPr>
          <w:rFonts w:hint="eastAsia" w:cs="Times New Roman"/>
          <w:color w:val="000000" w:themeColor="text1"/>
          <w:kern w:val="0"/>
          <w14:textFill>
            <w14:solidFill>
              <w14:schemeClr w14:val="tx1"/>
            </w14:solidFill>
          </w14:textFill>
        </w:rPr>
        <w:t>——上方无来水坡长因子，无量纲；</w:t>
      </w:r>
    </w:p>
    <w:p w14:paraId="297E9BA6">
      <w:pPr>
        <w:ind w:firstLine="3360" w:firstLineChars="1400"/>
        <w:rPr>
          <w:rFonts w:cs="Times New Roman"/>
          <w:color w:val="000000" w:themeColor="text1"/>
          <w:kern w:val="0"/>
          <w:vertAlign w:val="superscript"/>
          <w14:textFill>
            <w14:solidFill>
              <w14:schemeClr w14:val="tx1"/>
            </w14:solidFill>
          </w14:textFill>
        </w:rPr>
      </w:pPr>
      <w:r>
        <w:rPr>
          <w:rFonts w:hint="eastAsia" w:cs="Times New Roman"/>
          <w:color w:val="000000" w:themeColor="text1"/>
          <w:kern w:val="0"/>
          <w14:textFill>
            <w14:solidFill>
              <w14:schemeClr w14:val="tx1"/>
            </w14:solidFill>
          </w14:textFill>
        </w:rPr>
        <w:t>L</w:t>
      </w:r>
      <w:r>
        <w:rPr>
          <w:rFonts w:hint="eastAsia" w:cs="Times New Roman"/>
          <w:color w:val="000000" w:themeColor="text1"/>
          <w:kern w:val="0"/>
          <w:vertAlign w:val="subscript"/>
          <w14:textFill>
            <w14:solidFill>
              <w14:schemeClr w14:val="tx1"/>
            </w14:solidFill>
          </w14:textFill>
        </w:rPr>
        <w:t>kw</w:t>
      </w:r>
      <w:r>
        <w:rPr>
          <w:rFonts w:hint="eastAsia" w:cs="Times New Roman"/>
          <w:color w:val="000000" w:themeColor="text1"/>
          <w:kern w:val="0"/>
          <w14:textFill>
            <w14:solidFill>
              <w14:schemeClr w14:val="tx1"/>
            </w14:solidFill>
          </w14:textFill>
        </w:rPr>
        <w:t>=（</w:t>
      </w:r>
      <w:r>
        <w:rPr>
          <w:rFonts w:ascii="Arial" w:hAnsi="Arial" w:eastAsia="等线" w:cs="Arial"/>
          <w:snapToGrid w:val="0"/>
          <w:color w:val="000000" w:themeColor="text1"/>
          <w:kern w:val="0"/>
          <w:position w:val="-3"/>
          <w14:textFill>
            <w14:solidFill>
              <w14:schemeClr w14:val="tx1"/>
            </w14:solidFill>
          </w14:textFill>
        </w:rPr>
        <w:drawing>
          <wp:inline distT="0" distB="0" distL="0" distR="0">
            <wp:extent cx="143510" cy="184785"/>
            <wp:effectExtent l="0" t="0" r="0" b="0"/>
            <wp:docPr id="18" name="IM 110"/>
            <wp:cNvGraphicFramePr/>
            <a:graphic xmlns:a="http://schemas.openxmlformats.org/drawingml/2006/main">
              <a:graphicData uri="http://schemas.openxmlformats.org/drawingml/2006/picture">
                <pic:pic xmlns:pic="http://schemas.openxmlformats.org/drawingml/2006/picture">
                  <pic:nvPicPr>
                    <pic:cNvPr id="18" name="IM 110"/>
                    <pic:cNvPicPr/>
                  </pic:nvPicPr>
                  <pic:blipFill>
                    <a:blip r:embed="rId56"/>
                    <a:stretch>
                      <a:fillRect/>
                    </a:stretch>
                  </pic:blipFill>
                  <pic:spPr>
                    <a:xfrm>
                      <a:off x="0" y="0"/>
                      <a:ext cx="143871" cy="185045"/>
                    </a:xfrm>
                    <a:prstGeom prst="rect">
                      <a:avLst/>
                    </a:prstGeom>
                  </pic:spPr>
                </pic:pic>
              </a:graphicData>
            </a:graphic>
          </wp:inline>
        </w:drawing>
      </w:r>
      <w:r>
        <w:rPr>
          <w:rFonts w:hint="eastAsia" w:cs="Times New Roman"/>
          <w:color w:val="000000" w:themeColor="text1"/>
          <w:kern w:val="0"/>
          <w14:textFill>
            <w14:solidFill>
              <w14:schemeClr w14:val="tx1"/>
            </w14:solidFill>
          </w14:textFill>
        </w:rPr>
        <w:t>/ 5）</w:t>
      </w:r>
      <w:r>
        <w:rPr>
          <w:rFonts w:hint="eastAsia" w:cs="Times New Roman"/>
          <w:color w:val="000000" w:themeColor="text1"/>
          <w:kern w:val="0"/>
          <w:vertAlign w:val="superscript"/>
          <w14:textFill>
            <w14:solidFill>
              <w14:schemeClr w14:val="tx1"/>
            </w14:solidFill>
          </w14:textFill>
        </w:rPr>
        <w:t>-0.57</w:t>
      </w:r>
    </w:p>
    <w:p w14:paraId="7925FC67">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Skw——上方无来水坡度因子，无量纲。</w:t>
      </w:r>
    </w:p>
    <w:p w14:paraId="4150F819">
      <w:pPr>
        <w:widowControl/>
        <w:autoSpaceDE w:val="0"/>
        <w:autoSpaceDN w:val="0"/>
        <w:spacing w:before="25" w:line="320" w:lineRule="exact"/>
        <w:ind w:firstLine="3304" w:firstLineChars="1400"/>
        <w:jc w:val="left"/>
        <w:textAlignment w:val="baseline"/>
        <w:rPr>
          <w:rFonts w:eastAsia="Times New Roman" w:cs="Times New Roman"/>
          <w:snapToGrid w:val="0"/>
          <w:color w:val="000000" w:themeColor="text1"/>
          <w:spacing w:val="-2"/>
          <w:kern w:val="0"/>
          <w14:textFill>
            <w14:solidFill>
              <w14:schemeClr w14:val="tx1"/>
            </w14:solidFill>
          </w14:textFill>
        </w:rPr>
      </w:pPr>
      <w:r>
        <w:rPr>
          <w:rFonts w:eastAsia="Times New Roman" w:cs="Times New Roman"/>
          <w:i/>
          <w:iCs/>
          <w:snapToGrid w:val="0"/>
          <w:color w:val="000000" w:themeColor="text1"/>
          <w:spacing w:val="-2"/>
          <w:kern w:val="0"/>
          <w14:textFill>
            <w14:solidFill>
              <w14:schemeClr w14:val="tx1"/>
            </w14:solidFill>
          </w14:textFill>
        </w:rPr>
        <w:t>S</w:t>
      </w:r>
      <w:r>
        <w:rPr>
          <w:rFonts w:eastAsia="Times New Roman" w:cs="Times New Roman"/>
          <w:snapToGrid w:val="0"/>
          <w:color w:val="000000" w:themeColor="text1"/>
          <w:spacing w:val="2"/>
          <w:kern w:val="0"/>
          <w14:textFill>
            <w14:solidFill>
              <w14:schemeClr w14:val="tx1"/>
            </w14:solidFill>
          </w14:textFill>
        </w:rPr>
        <w:t xml:space="preserve"> </w:t>
      </w:r>
      <w:r>
        <w:rPr>
          <w:rFonts w:ascii="Arial" w:hAnsi="Arial" w:eastAsia="等线" w:cs="Arial"/>
          <w:snapToGrid w:val="0"/>
          <w:color w:val="000000" w:themeColor="text1"/>
          <w:kern w:val="0"/>
          <w14:textFill>
            <w14:solidFill>
              <w14:schemeClr w14:val="tx1"/>
            </w14:solidFill>
          </w14:textFill>
        </w:rPr>
        <w:drawing>
          <wp:inline distT="0" distB="0" distL="0" distR="0">
            <wp:extent cx="80645" cy="56515"/>
            <wp:effectExtent l="0" t="0" r="0" b="0"/>
            <wp:docPr id="19" name="IM 112"/>
            <wp:cNvGraphicFramePr/>
            <a:graphic xmlns:a="http://schemas.openxmlformats.org/drawingml/2006/main">
              <a:graphicData uri="http://schemas.openxmlformats.org/drawingml/2006/picture">
                <pic:pic xmlns:pic="http://schemas.openxmlformats.org/drawingml/2006/picture">
                  <pic:nvPicPr>
                    <pic:cNvPr id="19" name="IM 112"/>
                    <pic:cNvPicPr/>
                  </pic:nvPicPr>
                  <pic:blipFill>
                    <a:blip r:embed="rId57"/>
                    <a:stretch>
                      <a:fillRect/>
                    </a:stretch>
                  </pic:blipFill>
                  <pic:spPr>
                    <a:xfrm>
                      <a:off x="0" y="0"/>
                      <a:ext cx="80762" cy="56844"/>
                    </a:xfrm>
                    <a:prstGeom prst="rect">
                      <a:avLst/>
                    </a:prstGeom>
                  </pic:spPr>
                </pic:pic>
              </a:graphicData>
            </a:graphic>
          </wp:inline>
        </w:drawing>
      </w:r>
      <w:r>
        <w:rPr>
          <w:rFonts w:eastAsia="Times New Roman" w:cs="Times New Roman"/>
          <w:snapToGrid w:val="0"/>
          <w:color w:val="000000" w:themeColor="text1"/>
          <w:spacing w:val="10"/>
          <w:w w:val="101"/>
          <w:kern w:val="0"/>
          <w14:textFill>
            <w14:solidFill>
              <w14:schemeClr w14:val="tx1"/>
            </w14:solidFill>
          </w14:textFill>
        </w:rPr>
        <w:t xml:space="preserve"> </w:t>
      </w:r>
      <w:r>
        <w:rPr>
          <w:rFonts w:eastAsia="Times New Roman" w:cs="Times New Roman"/>
          <w:snapToGrid w:val="0"/>
          <w:color w:val="000000" w:themeColor="text1"/>
          <w:spacing w:val="-2"/>
          <w:kern w:val="0"/>
          <w14:textFill>
            <w14:solidFill>
              <w14:schemeClr w14:val="tx1"/>
            </w14:solidFill>
          </w14:textFill>
        </w:rPr>
        <w:t>0.80</w:t>
      </w:r>
      <w:r>
        <w:rPr>
          <w:rFonts w:eastAsia="Times New Roman" w:cs="Times New Roman"/>
          <w:snapToGrid w:val="0"/>
          <w:color w:val="000000" w:themeColor="text1"/>
          <w:spacing w:val="-22"/>
          <w:kern w:val="0"/>
          <w14:textFill>
            <w14:solidFill>
              <w14:schemeClr w14:val="tx1"/>
            </w14:solidFill>
          </w14:textFill>
        </w:rPr>
        <w:t xml:space="preserve"> </w:t>
      </w:r>
      <w:r>
        <w:rPr>
          <w:rFonts w:eastAsia="Times New Roman" w:cs="Times New Roman"/>
          <w:snapToGrid w:val="0"/>
          <w:color w:val="000000" w:themeColor="text1"/>
          <w:spacing w:val="-2"/>
          <w:kern w:val="0"/>
          <w14:textFill>
            <w14:solidFill>
              <w14:schemeClr w14:val="tx1"/>
            </w14:solidFill>
          </w14:textFill>
        </w:rPr>
        <w:t>sin</w:t>
      </w:r>
      <w:r>
        <w:rPr>
          <w:rFonts w:ascii="Arial" w:hAnsi="Arial" w:eastAsia="等线" w:cs="Arial"/>
          <w:snapToGrid w:val="0"/>
          <w:color w:val="000000" w:themeColor="text1"/>
          <w:kern w:val="0"/>
          <w:position w:val="-5"/>
          <w14:textFill>
            <w14:solidFill>
              <w14:schemeClr w14:val="tx1"/>
            </w14:solidFill>
          </w14:textFill>
        </w:rPr>
        <w:drawing>
          <wp:inline distT="0" distB="0" distL="0" distR="0">
            <wp:extent cx="130175" cy="184785"/>
            <wp:effectExtent l="0" t="0" r="0" b="0"/>
            <wp:docPr id="20" name="IM 113"/>
            <wp:cNvGraphicFramePr/>
            <a:graphic xmlns:a="http://schemas.openxmlformats.org/drawingml/2006/main">
              <a:graphicData uri="http://schemas.openxmlformats.org/drawingml/2006/picture">
                <pic:pic xmlns:pic="http://schemas.openxmlformats.org/drawingml/2006/picture">
                  <pic:nvPicPr>
                    <pic:cNvPr id="20" name="IM 113"/>
                    <pic:cNvPicPr/>
                  </pic:nvPicPr>
                  <pic:blipFill>
                    <a:blip r:embed="rId58"/>
                    <a:stretch>
                      <a:fillRect/>
                    </a:stretch>
                  </pic:blipFill>
                  <pic:spPr>
                    <a:xfrm>
                      <a:off x="0" y="0"/>
                      <a:ext cx="130800" cy="185045"/>
                    </a:xfrm>
                    <a:prstGeom prst="rect">
                      <a:avLst/>
                    </a:prstGeom>
                  </pic:spPr>
                </pic:pic>
              </a:graphicData>
            </a:graphic>
          </wp:inline>
        </w:drawing>
      </w:r>
      <w:r>
        <w:rPr>
          <w:rFonts w:eastAsia="Times New Roman" w:cs="Times New Roman"/>
          <w:snapToGrid w:val="0"/>
          <w:color w:val="000000" w:themeColor="text1"/>
          <w:spacing w:val="-49"/>
          <w:kern w:val="0"/>
          <w14:textFill>
            <w14:solidFill>
              <w14:schemeClr w14:val="tx1"/>
            </w14:solidFill>
          </w14:textFill>
        </w:rPr>
        <w:t xml:space="preserve"> </w:t>
      </w:r>
      <w:r>
        <w:rPr>
          <w:rFonts w:ascii="Arial" w:hAnsi="Arial" w:eastAsia="等线" w:cs="Arial"/>
          <w:snapToGrid w:val="0"/>
          <w:color w:val="000000" w:themeColor="text1"/>
          <w:kern w:val="0"/>
          <w:position w:val="-5"/>
          <w14:textFill>
            <w14:solidFill>
              <w14:schemeClr w14:val="tx1"/>
            </w14:solidFill>
          </w14:textFill>
        </w:rPr>
        <w:drawing>
          <wp:inline distT="0" distB="0" distL="0" distR="0">
            <wp:extent cx="80645" cy="184785"/>
            <wp:effectExtent l="0" t="0" r="0" b="0"/>
            <wp:docPr id="21" name="IM 114"/>
            <wp:cNvGraphicFramePr/>
            <a:graphic xmlns:a="http://schemas.openxmlformats.org/drawingml/2006/main">
              <a:graphicData uri="http://schemas.openxmlformats.org/drawingml/2006/picture">
                <pic:pic xmlns:pic="http://schemas.openxmlformats.org/drawingml/2006/picture">
                  <pic:nvPicPr>
                    <pic:cNvPr id="21" name="IM 114"/>
                    <pic:cNvPicPr/>
                  </pic:nvPicPr>
                  <pic:blipFill>
                    <a:blip r:embed="rId59"/>
                    <a:stretch>
                      <a:fillRect/>
                    </a:stretch>
                  </pic:blipFill>
                  <pic:spPr>
                    <a:xfrm>
                      <a:off x="0" y="0"/>
                      <a:ext cx="80762" cy="185045"/>
                    </a:xfrm>
                    <a:prstGeom prst="rect">
                      <a:avLst/>
                    </a:prstGeom>
                  </pic:spPr>
                </pic:pic>
              </a:graphicData>
            </a:graphic>
          </wp:inline>
        </w:drawing>
      </w:r>
      <w:r>
        <w:rPr>
          <w:rFonts w:eastAsia="Times New Roman" w:cs="Times New Roman"/>
          <w:snapToGrid w:val="0"/>
          <w:color w:val="000000" w:themeColor="text1"/>
          <w:spacing w:val="-3"/>
          <w:kern w:val="0"/>
          <w14:textFill>
            <w14:solidFill>
              <w14:schemeClr w14:val="tx1"/>
            </w14:solidFill>
          </w14:textFill>
        </w:rPr>
        <w:t xml:space="preserve"> </w:t>
      </w:r>
      <w:r>
        <w:rPr>
          <w:rFonts w:eastAsia="Times New Roman" w:cs="Times New Roman"/>
          <w:snapToGrid w:val="0"/>
          <w:color w:val="000000" w:themeColor="text1"/>
          <w:spacing w:val="-2"/>
          <w:kern w:val="0"/>
          <w14:textFill>
            <w14:solidFill>
              <w14:schemeClr w14:val="tx1"/>
            </w14:solidFill>
          </w14:textFill>
        </w:rPr>
        <w:t>0.38</w:t>
      </w:r>
    </w:p>
    <w:p w14:paraId="5A4ABA83">
      <w:pPr>
        <w:ind w:firstLine="482"/>
        <w:rPr>
          <w:rFonts w:cs="Times New Roman"/>
          <w:b/>
          <w:bCs/>
          <w:color w:val="000000" w:themeColor="text1"/>
          <w:kern w:val="0"/>
          <w14:textFill>
            <w14:solidFill>
              <w14:schemeClr w14:val="tx1"/>
            </w14:solidFill>
          </w14:textFill>
        </w:rPr>
      </w:pPr>
      <w:r>
        <w:rPr>
          <w:rFonts w:cs="Times New Roman"/>
          <w:b/>
          <w:bCs/>
          <w:color w:val="000000" w:themeColor="text1"/>
          <w:kern w:val="0"/>
          <w14:textFill>
            <w14:solidFill>
              <w14:schemeClr w14:val="tx1"/>
            </w14:solidFill>
          </w14:textFill>
        </w:rPr>
        <w:t>4</w:t>
      </w:r>
      <w:r>
        <w:rPr>
          <w:rFonts w:hint="eastAsia" w:cs="Times New Roman"/>
          <w:b/>
          <w:bCs/>
          <w:color w:val="000000" w:themeColor="text1"/>
          <w:kern w:val="0"/>
          <w14:textFill>
            <w14:solidFill>
              <w14:schemeClr w14:val="tx1"/>
            </w14:solidFill>
          </w14:textFill>
        </w:rPr>
        <w:t>、坡长因子公式</w:t>
      </w:r>
    </w:p>
    <w:p w14:paraId="7FE20ED9">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L</w:t>
      </w:r>
      <w:r>
        <w:rPr>
          <w:rFonts w:hint="eastAsia" w:cs="Times New Roman"/>
          <w:color w:val="000000" w:themeColor="text1"/>
          <w:kern w:val="0"/>
          <w:vertAlign w:val="subscript"/>
          <w14:textFill>
            <w14:solidFill>
              <w14:schemeClr w14:val="tx1"/>
            </w14:solidFill>
          </w14:textFill>
        </w:rPr>
        <w:t>y</w:t>
      </w:r>
      <w:r>
        <w:rPr>
          <w:rFonts w:hint="eastAsia" w:cs="Times New Roman"/>
          <w:color w:val="000000" w:themeColor="text1"/>
          <w:kern w:val="0"/>
          <w14:textFill>
            <w14:solidFill>
              <w14:schemeClr w14:val="tx1"/>
            </w14:solidFill>
          </w14:textFill>
        </w:rPr>
        <w:t>=（λ/20）</w:t>
      </w:r>
      <w:r>
        <w:rPr>
          <w:rFonts w:hint="eastAsia" w:cs="Times New Roman"/>
          <w:color w:val="000000" w:themeColor="text1"/>
          <w:kern w:val="0"/>
          <w:vertAlign w:val="superscript"/>
          <w14:textFill>
            <w14:solidFill>
              <w14:schemeClr w14:val="tx1"/>
            </w14:solidFill>
          </w14:textFill>
        </w:rPr>
        <w:t>m</w:t>
      </w:r>
      <w:r>
        <w:rPr>
          <w:rFonts w:hint="eastAsia" w:cs="Times New Roman"/>
          <w:color w:val="000000" w:themeColor="text1"/>
          <w:kern w:val="0"/>
          <w14:textFill>
            <w14:solidFill>
              <w14:schemeClr w14:val="tx1"/>
            </w14:solidFill>
          </w14:textFill>
        </w:rPr>
        <w:t>，λ=λ</w:t>
      </w:r>
      <w:r>
        <w:rPr>
          <w:rFonts w:hint="eastAsia" w:cs="Times New Roman"/>
          <w:color w:val="000000" w:themeColor="text1"/>
          <w:kern w:val="0"/>
          <w:vertAlign w:val="subscript"/>
          <w14:textFill>
            <w14:solidFill>
              <w14:schemeClr w14:val="tx1"/>
            </w14:solidFill>
          </w14:textFill>
        </w:rPr>
        <w:t>x</w:t>
      </w:r>
      <w:r>
        <w:rPr>
          <w:rFonts w:hint="eastAsia" w:cs="Times New Roman"/>
          <w:color w:val="000000" w:themeColor="text1"/>
          <w:kern w:val="0"/>
          <w14:textFill>
            <w14:solidFill>
              <w14:schemeClr w14:val="tx1"/>
            </w14:solidFill>
          </w14:textFill>
        </w:rPr>
        <w:t>cos</w:t>
      </w:r>
      <w:r>
        <w:rPr>
          <w:rFonts w:ascii="Arial" w:hAnsi="Arial" w:eastAsia="等线" w:cs="Arial"/>
          <w:snapToGrid w:val="0"/>
          <w:color w:val="000000" w:themeColor="text1"/>
          <w:kern w:val="0"/>
          <w:position w:val="-5"/>
          <w14:textFill>
            <w14:solidFill>
              <w14:schemeClr w14:val="tx1"/>
            </w14:solidFill>
          </w14:textFill>
        </w:rPr>
        <w:drawing>
          <wp:inline distT="0" distB="0" distL="0" distR="0">
            <wp:extent cx="130175" cy="184785"/>
            <wp:effectExtent l="0" t="0" r="0" b="0"/>
            <wp:docPr id="5" name="IM 113"/>
            <wp:cNvGraphicFramePr/>
            <a:graphic xmlns:a="http://schemas.openxmlformats.org/drawingml/2006/main">
              <a:graphicData uri="http://schemas.openxmlformats.org/drawingml/2006/picture">
                <pic:pic xmlns:pic="http://schemas.openxmlformats.org/drawingml/2006/picture">
                  <pic:nvPicPr>
                    <pic:cNvPr id="5" name="IM 113"/>
                    <pic:cNvPicPr/>
                  </pic:nvPicPr>
                  <pic:blipFill>
                    <a:blip r:embed="rId58"/>
                    <a:stretch>
                      <a:fillRect/>
                    </a:stretch>
                  </pic:blipFill>
                  <pic:spPr>
                    <a:xfrm>
                      <a:off x="0" y="0"/>
                      <a:ext cx="130800" cy="185045"/>
                    </a:xfrm>
                    <a:prstGeom prst="rect">
                      <a:avLst/>
                    </a:prstGeom>
                  </pic:spPr>
                </pic:pic>
              </a:graphicData>
            </a:graphic>
          </wp:inline>
        </w:drawing>
      </w:r>
      <w:r>
        <w:rPr>
          <w:rFonts w:hint="eastAsia" w:cs="Times New Roman"/>
          <w:color w:val="000000" w:themeColor="text1"/>
          <w:kern w:val="0"/>
          <w14:textFill>
            <w14:solidFill>
              <w14:schemeClr w14:val="tx1"/>
            </w14:solidFill>
          </w14:textFill>
        </w:rPr>
        <w:t>；</w:t>
      </w:r>
    </w:p>
    <w:p w14:paraId="1E60A42E">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式中：λ</w:t>
      </w:r>
      <w:r>
        <w:rPr>
          <w:rFonts w:hint="eastAsia" w:cs="Times New Roman"/>
          <w:color w:val="000000" w:themeColor="text1"/>
          <w:kern w:val="0"/>
          <w:vertAlign w:val="subscript"/>
          <w14:textFill>
            <w14:solidFill>
              <w14:schemeClr w14:val="tx1"/>
            </w14:solidFill>
          </w14:textFill>
        </w:rPr>
        <w:t>x</w:t>
      </w:r>
      <w:r>
        <w:rPr>
          <w:rFonts w:hint="eastAsia" w:cs="Times New Roman"/>
          <w:color w:val="000000" w:themeColor="text1"/>
          <w:kern w:val="0"/>
          <w14:textFill>
            <w14:solidFill>
              <w14:schemeClr w14:val="tx1"/>
            </w14:solidFill>
          </w14:textFill>
        </w:rPr>
        <w:t>——计算单位水平投影坡长度，m，对一般扰动地表，水平投影坡长≤100m时按实际值计算，水平投影坡长&gt;100m 按100m计算；</w:t>
      </w:r>
    </w:p>
    <w:p w14:paraId="7C872A3C">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θ—计算单位坡度，取值范围为 0</w:t>
      </w:r>
      <w:r>
        <w:rPr>
          <w:rFonts w:cs="Times New Roman"/>
          <w:color w:val="000000" w:themeColor="text1"/>
          <w:kern w:val="0"/>
          <w14:textFill>
            <w14:solidFill>
              <w14:schemeClr w14:val="tx1"/>
            </w14:solidFill>
          </w14:textFill>
        </w:rPr>
        <w:t>º</w:t>
      </w:r>
      <w:r>
        <w:rPr>
          <w:rFonts w:hint="eastAsia" w:cs="Times New Roman"/>
          <w:color w:val="000000" w:themeColor="text1"/>
          <w:kern w:val="0"/>
          <w14:textFill>
            <w14:solidFill>
              <w14:schemeClr w14:val="tx1"/>
            </w14:solidFill>
          </w14:textFill>
        </w:rPr>
        <w:t>~90°；</w:t>
      </w:r>
    </w:p>
    <w:p w14:paraId="686C4278">
      <w:pPr>
        <w:ind w:firstLine="480"/>
        <w:rPr>
          <w:rFonts w:cs="Times New Roman"/>
          <w:color w:val="000000" w:themeColor="text1"/>
          <w:kern w:val="0"/>
          <w14:textFill>
            <w14:solidFill>
              <w14:schemeClr w14:val="tx1"/>
            </w14:solidFill>
          </w14:textFill>
        </w:rPr>
      </w:pPr>
      <w:r>
        <w:rPr>
          <w:rFonts w:hint="eastAsia" w:cs="Times New Roman"/>
          <w:color w:val="000000" w:themeColor="text1"/>
          <w:kern w:val="0"/>
          <w14:textFill>
            <w14:solidFill>
              <w14:schemeClr w14:val="tx1"/>
            </w14:solidFill>
          </w14:textFill>
        </w:rPr>
        <w:t>m—坡长指数，其中θ≤1°时，m取0.2；1</w:t>
      </w:r>
      <w:r>
        <w:rPr>
          <w:rFonts w:cs="Times New Roman"/>
          <w:color w:val="000000" w:themeColor="text1"/>
          <w:kern w:val="0"/>
          <w14:textFill>
            <w14:solidFill>
              <w14:schemeClr w14:val="tx1"/>
            </w14:solidFill>
          </w14:textFill>
        </w:rPr>
        <w:t xml:space="preserve"> º</w:t>
      </w:r>
      <w:r>
        <w:rPr>
          <w:rFonts w:hint="eastAsia" w:cs="Times New Roman"/>
          <w:color w:val="000000" w:themeColor="text1"/>
          <w:kern w:val="0"/>
          <w14:textFill>
            <w14:solidFill>
              <w14:schemeClr w14:val="tx1"/>
            </w14:solidFill>
          </w14:textFill>
        </w:rPr>
        <w:t xml:space="preserve"> &lt;θ</w:t>
      </w:r>
      <w:r>
        <w:rPr>
          <w:rFonts w:hint="eastAsia" w:ascii="微软雅黑" w:hAnsi="微软雅黑" w:eastAsia="微软雅黑" w:cs="微软雅黑"/>
          <w:color w:val="000000" w:themeColor="text1"/>
          <w:kern w:val="0"/>
          <w14:textFill>
            <w14:solidFill>
              <w14:schemeClr w14:val="tx1"/>
            </w14:solidFill>
          </w14:textFill>
        </w:rPr>
        <w:t>≦</w:t>
      </w:r>
      <w:r>
        <w:rPr>
          <w:rFonts w:hint="eastAsia" w:cs="Times New Roman"/>
          <w:color w:val="000000" w:themeColor="text1"/>
          <w:kern w:val="0"/>
          <w14:textFill>
            <w14:solidFill>
              <w14:schemeClr w14:val="tx1"/>
            </w14:solidFill>
          </w14:textFill>
        </w:rPr>
        <w:t>3</w:t>
      </w:r>
      <w:r>
        <w:rPr>
          <w:rFonts w:cs="Times New Roman"/>
          <w:color w:val="000000" w:themeColor="text1"/>
          <w:kern w:val="0"/>
          <w14:textFill>
            <w14:solidFill>
              <w14:schemeClr w14:val="tx1"/>
            </w14:solidFill>
          </w14:textFill>
        </w:rPr>
        <w:t xml:space="preserve"> º</w:t>
      </w:r>
      <w:r>
        <w:rPr>
          <w:rFonts w:hint="eastAsia" w:cs="Times New Roman"/>
          <w:color w:val="000000" w:themeColor="text1"/>
          <w:kern w:val="0"/>
          <w14:textFill>
            <w14:solidFill>
              <w14:schemeClr w14:val="tx1"/>
            </w14:solidFill>
          </w14:textFill>
        </w:rPr>
        <w:t>时，m取值0.3；3°&lt;θ</w:t>
      </w:r>
      <w:r>
        <w:rPr>
          <w:rFonts w:hint="eastAsia" w:ascii="微软雅黑" w:hAnsi="微软雅黑" w:eastAsia="微软雅黑" w:cs="微软雅黑"/>
          <w:color w:val="000000" w:themeColor="text1"/>
          <w:kern w:val="0"/>
          <w14:textFill>
            <w14:solidFill>
              <w14:schemeClr w14:val="tx1"/>
            </w14:solidFill>
          </w14:textFill>
        </w:rPr>
        <w:t>≦</w:t>
      </w:r>
      <w:r>
        <w:rPr>
          <w:rFonts w:hint="eastAsia" w:cs="Times New Roman"/>
          <w:color w:val="000000" w:themeColor="text1"/>
          <w:kern w:val="0"/>
          <w14:textFill>
            <w14:solidFill>
              <w14:schemeClr w14:val="tx1"/>
            </w14:solidFill>
          </w14:textFill>
        </w:rPr>
        <w:t>5</w:t>
      </w:r>
      <w:r>
        <w:rPr>
          <w:rFonts w:cs="Times New Roman"/>
          <w:color w:val="000000" w:themeColor="text1"/>
          <w:kern w:val="0"/>
          <w14:textFill>
            <w14:solidFill>
              <w14:schemeClr w14:val="tx1"/>
            </w14:solidFill>
          </w14:textFill>
        </w:rPr>
        <w:t xml:space="preserve"> º</w:t>
      </w:r>
      <w:r>
        <w:rPr>
          <w:rFonts w:hint="eastAsia" w:cs="Times New Roman"/>
          <w:color w:val="000000" w:themeColor="text1"/>
          <w:kern w:val="0"/>
          <w14:textFill>
            <w14:solidFill>
              <w14:schemeClr w14:val="tx1"/>
            </w14:solidFill>
          </w14:textFill>
        </w:rPr>
        <w:t>时，m取值0.4；θ&gt;5</w:t>
      </w:r>
      <w:r>
        <w:rPr>
          <w:rFonts w:cs="Times New Roman"/>
          <w:color w:val="000000" w:themeColor="text1"/>
          <w:kern w:val="0"/>
          <w14:textFill>
            <w14:solidFill>
              <w14:schemeClr w14:val="tx1"/>
            </w14:solidFill>
          </w14:textFill>
        </w:rPr>
        <w:t xml:space="preserve"> º</w:t>
      </w:r>
      <w:r>
        <w:rPr>
          <w:rFonts w:hint="eastAsia" w:cs="Times New Roman"/>
          <w:color w:val="000000" w:themeColor="text1"/>
          <w:kern w:val="0"/>
          <w14:textFill>
            <w14:solidFill>
              <w14:schemeClr w14:val="tx1"/>
            </w14:solidFill>
          </w14:textFill>
        </w:rPr>
        <w:t>时，m取0.5；</w:t>
      </w:r>
    </w:p>
    <w:p w14:paraId="1C3EED68">
      <w:pPr>
        <w:widowControl/>
        <w:autoSpaceDE w:val="0"/>
        <w:autoSpaceDN w:val="0"/>
        <w:spacing w:before="156" w:beforeLines="50" w:line="384" w:lineRule="auto"/>
        <w:ind w:firstLine="472"/>
        <w:jc w:val="left"/>
        <w:textAlignment w:val="baseline"/>
        <w:rPr>
          <w:rFonts w:eastAsia="仿宋" w:cs="仿宋"/>
          <w:b/>
          <w:bCs/>
          <w:snapToGrid w:val="0"/>
          <w:color w:val="000000" w:themeColor="text1"/>
          <w:spacing w:val="-5"/>
          <w:kern w:val="0"/>
          <w14:textFill>
            <w14:solidFill>
              <w14:schemeClr w14:val="tx1"/>
            </w14:solidFill>
          </w14:textFill>
        </w:rPr>
      </w:pPr>
      <w:r>
        <w:rPr>
          <w:rFonts w:eastAsia="仿宋" w:cs="仿宋"/>
          <w:b/>
          <w:bCs/>
          <w:snapToGrid w:val="0"/>
          <w:color w:val="000000" w:themeColor="text1"/>
          <w:spacing w:val="-5"/>
          <w:kern w:val="0"/>
          <w14:textFill>
            <w14:solidFill>
              <w14:schemeClr w14:val="tx1"/>
            </w14:solidFill>
          </w14:textFill>
        </w:rPr>
        <w:t>5</w:t>
      </w:r>
      <w:r>
        <w:rPr>
          <w:rFonts w:hint="eastAsia" w:eastAsia="仿宋" w:cs="仿宋"/>
          <w:b/>
          <w:bCs/>
          <w:snapToGrid w:val="0"/>
          <w:color w:val="000000" w:themeColor="text1"/>
          <w:spacing w:val="-5"/>
          <w:kern w:val="0"/>
          <w14:textFill>
            <w14:solidFill>
              <w14:schemeClr w14:val="tx1"/>
            </w14:solidFill>
          </w14:textFill>
        </w:rPr>
        <w:t>、坡度因子公式</w:t>
      </w:r>
    </w:p>
    <w:p w14:paraId="35267344">
      <w:pPr>
        <w:widowControl/>
        <w:autoSpaceDE w:val="0"/>
        <w:autoSpaceDN w:val="0"/>
        <w:spacing w:line="384" w:lineRule="auto"/>
        <w:ind w:firstLine="47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rFonts w:hint="eastAsia" w:ascii="仿宋_GB2312" w:hAnsi="仿宋" w:cs="仿宋"/>
          <w:snapToGrid w:val="0"/>
          <w:color w:val="000000" w:themeColor="text1"/>
          <w:spacing w:val="-5"/>
          <w:kern w:val="0"/>
          <w14:textFill>
            <w14:solidFill>
              <w14:schemeClr w14:val="tx1"/>
            </w14:solidFill>
          </w14:textFill>
        </w:rPr>
        <w:t>S</w:t>
      </w:r>
      <w:r>
        <w:rPr>
          <w:rFonts w:hint="eastAsia" w:ascii="仿宋_GB2312" w:hAnsi="仿宋" w:cs="仿宋"/>
          <w:snapToGrid w:val="0"/>
          <w:color w:val="000000" w:themeColor="text1"/>
          <w:spacing w:val="-5"/>
          <w:kern w:val="0"/>
          <w:vertAlign w:val="subscript"/>
          <w14:textFill>
            <w14:solidFill>
              <w14:schemeClr w14:val="tx1"/>
            </w14:solidFill>
          </w14:textFill>
        </w:rPr>
        <w:t>y</w:t>
      </w:r>
      <w:r>
        <w:rPr>
          <w:rFonts w:hint="eastAsia" w:ascii="仿宋_GB2312" w:hAnsi="仿宋" w:cs="仿宋"/>
          <w:snapToGrid w:val="0"/>
          <w:color w:val="000000" w:themeColor="text1"/>
          <w:spacing w:val="-5"/>
          <w:kern w:val="0"/>
          <w14:textFill>
            <w14:solidFill>
              <w14:schemeClr w14:val="tx1"/>
            </w14:solidFill>
          </w14:textFill>
        </w:rPr>
        <w:t>=-1.5+17/【1+e</w:t>
      </w:r>
      <w:r>
        <w:rPr>
          <w:rFonts w:hint="eastAsia" w:ascii="仿宋_GB2312" w:hAnsi="仿宋" w:cs="仿宋"/>
          <w:snapToGrid w:val="0"/>
          <w:color w:val="000000" w:themeColor="text1"/>
          <w:spacing w:val="-5"/>
          <w:kern w:val="0"/>
          <w:vertAlign w:val="superscript"/>
          <w14:textFill>
            <w14:solidFill>
              <w14:schemeClr w14:val="tx1"/>
            </w14:solidFill>
          </w14:textFill>
        </w:rPr>
        <w:t>（2.3-6.1sinθ）</w:t>
      </w:r>
      <w:r>
        <w:rPr>
          <w:rFonts w:hint="eastAsia" w:ascii="仿宋_GB2312" w:hAnsi="仿宋" w:cs="仿宋"/>
          <w:snapToGrid w:val="0"/>
          <w:color w:val="000000" w:themeColor="text1"/>
          <w:spacing w:val="-5"/>
          <w:kern w:val="0"/>
          <w14:textFill>
            <w14:solidFill>
              <w14:schemeClr w14:val="tx1"/>
            </w14:solidFill>
          </w14:textFill>
        </w:rPr>
        <w:t>】</w:t>
      </w:r>
    </w:p>
    <w:p w14:paraId="1F20D24B">
      <w:pPr>
        <w:widowControl/>
        <w:autoSpaceDE w:val="0"/>
        <w:autoSpaceDN w:val="0"/>
        <w:spacing w:line="384" w:lineRule="auto"/>
        <w:ind w:firstLine="47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rFonts w:hint="eastAsia" w:ascii="仿宋_GB2312" w:hAnsi="仿宋" w:cs="仿宋"/>
          <w:snapToGrid w:val="0"/>
          <w:color w:val="000000" w:themeColor="text1"/>
          <w:spacing w:val="-5"/>
          <w:kern w:val="0"/>
          <w14:textFill>
            <w14:solidFill>
              <w14:schemeClr w14:val="tx1"/>
            </w14:solidFill>
          </w14:textFill>
        </w:rPr>
        <w:t>e——自然对数的底，可取 2.72，坡度0≤35</w:t>
      </w:r>
      <w:r>
        <w:rPr>
          <w:rFonts w:cs="Times New Roman"/>
          <w:color w:val="000000" w:themeColor="text1"/>
          <w:kern w:val="0"/>
          <w14:textFill>
            <w14:solidFill>
              <w14:schemeClr w14:val="tx1"/>
            </w14:solidFill>
          </w14:textFill>
        </w:rPr>
        <w:t>º</w:t>
      </w:r>
      <w:r>
        <w:rPr>
          <w:rFonts w:hint="eastAsia" w:ascii="仿宋_GB2312" w:hAnsi="仿宋" w:cs="仿宋"/>
          <w:snapToGrid w:val="0"/>
          <w:color w:val="000000" w:themeColor="text1"/>
          <w:spacing w:val="-5"/>
          <w:kern w:val="0"/>
          <w14:textFill>
            <w14:solidFill>
              <w14:schemeClr w14:val="tx1"/>
            </w14:solidFill>
          </w14:textFill>
        </w:rPr>
        <w:t>时按实际值计算，超过35</w:t>
      </w:r>
      <w:r>
        <w:rPr>
          <w:rFonts w:cs="Times New Roman"/>
          <w:color w:val="000000" w:themeColor="text1"/>
          <w:kern w:val="0"/>
          <w14:textFill>
            <w14:solidFill>
              <w14:schemeClr w14:val="tx1"/>
            </w14:solidFill>
          </w14:textFill>
        </w:rPr>
        <w:t>º</w:t>
      </w:r>
      <w:r>
        <w:rPr>
          <w:rFonts w:hint="eastAsia" w:ascii="仿宋_GB2312" w:hAnsi="仿宋" w:cs="仿宋"/>
          <w:snapToGrid w:val="0"/>
          <w:color w:val="000000" w:themeColor="text1"/>
          <w:spacing w:val="-5"/>
          <w:kern w:val="0"/>
          <w14:textFill>
            <w14:solidFill>
              <w14:schemeClr w14:val="tx1"/>
            </w14:solidFill>
          </w14:textFill>
        </w:rPr>
        <w:t>时按35°计算。坡度为0°，S</w:t>
      </w:r>
      <w:r>
        <w:rPr>
          <w:rFonts w:hint="eastAsia" w:ascii="仿宋_GB2312" w:hAnsi="仿宋" w:cs="仿宋"/>
          <w:snapToGrid w:val="0"/>
          <w:color w:val="000000" w:themeColor="text1"/>
          <w:spacing w:val="-5"/>
          <w:kern w:val="0"/>
          <w:vertAlign w:val="subscript"/>
          <w14:textFill>
            <w14:solidFill>
              <w14:schemeClr w14:val="tx1"/>
            </w14:solidFill>
          </w14:textFill>
        </w:rPr>
        <w:t>y</w:t>
      </w:r>
      <w:r>
        <w:rPr>
          <w:rFonts w:hint="eastAsia" w:ascii="仿宋_GB2312" w:hAnsi="仿宋" w:cs="仿宋"/>
          <w:snapToGrid w:val="0"/>
          <w:color w:val="000000" w:themeColor="text1"/>
          <w:spacing w:val="-5"/>
          <w:kern w:val="0"/>
          <w14:textFill>
            <w14:solidFill>
              <w14:schemeClr w14:val="tx1"/>
            </w14:solidFill>
          </w14:textFill>
        </w:rPr>
        <w:t>取0。</w:t>
      </w:r>
    </w:p>
    <w:p w14:paraId="493051E0">
      <w:pPr>
        <w:widowControl/>
        <w:autoSpaceDE w:val="0"/>
        <w:autoSpaceDN w:val="0"/>
        <w:spacing w:line="384" w:lineRule="auto"/>
        <w:ind w:firstLine="47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rFonts w:hint="eastAsia" w:ascii="仿宋_GB2312" w:hAnsi="仿宋" w:cs="仿宋"/>
          <w:snapToGrid w:val="0"/>
          <w:color w:val="000000" w:themeColor="text1"/>
          <w:spacing w:val="-5"/>
          <w:kern w:val="0"/>
          <w14:textFill>
            <w14:solidFill>
              <w14:schemeClr w14:val="tx1"/>
            </w14:solidFill>
          </w14:textFill>
        </w:rPr>
        <w:t>建构筑物工程区、场内道路及硬化工程区、景观绿化工程区的施工期土壤流失量测算均采用地表翻扰型一般扰动地表土壤流失量计算公式进行测算。</w:t>
      </w:r>
    </w:p>
    <w:p w14:paraId="5DC1D4EA">
      <w:pPr>
        <w:widowControl/>
        <w:autoSpaceDE w:val="0"/>
        <w:autoSpaceDN w:val="0"/>
        <w:spacing w:line="384" w:lineRule="auto"/>
        <w:ind w:firstLine="412"/>
        <w:jc w:val="center"/>
        <w:textAlignment w:val="baseline"/>
        <w:rPr>
          <w:rFonts w:hint="eastAsia" w:ascii="仿宋_GB2312" w:hAnsi="仿宋" w:cs="仿宋"/>
          <w:b/>
          <w:bCs/>
          <w:snapToGrid w:val="0"/>
          <w:color w:val="000000" w:themeColor="text1"/>
          <w:spacing w:val="-5"/>
          <w:kern w:val="0"/>
          <w:sz w:val="21"/>
          <w:szCs w:val="21"/>
          <w14:textFill>
            <w14:solidFill>
              <w14:schemeClr w14:val="tx1"/>
            </w14:solidFill>
          </w14:textFill>
        </w:rPr>
      </w:pPr>
      <w:r>
        <w:rPr>
          <w:rFonts w:hint="eastAsia" w:ascii="仿宋_GB2312" w:hAnsi="仿宋" w:cs="仿宋"/>
          <w:b/>
          <w:bCs/>
          <w:snapToGrid w:val="0"/>
          <w:color w:val="000000" w:themeColor="text1"/>
          <w:spacing w:val="-5"/>
          <w:kern w:val="0"/>
          <w:sz w:val="21"/>
          <w:szCs w:val="21"/>
          <w14:textFill>
            <w14:solidFill>
              <w14:schemeClr w14:val="tx1"/>
            </w14:solidFill>
          </w14:textFill>
        </w:rPr>
        <w:t>表4</w:t>
      </w:r>
      <w:r>
        <w:rPr>
          <w:rFonts w:ascii="仿宋_GB2312" w:hAnsi="仿宋" w:cs="仿宋"/>
          <w:b/>
          <w:bCs/>
          <w:snapToGrid w:val="0"/>
          <w:color w:val="000000" w:themeColor="text1"/>
          <w:spacing w:val="-5"/>
          <w:kern w:val="0"/>
          <w:sz w:val="21"/>
          <w:szCs w:val="21"/>
          <w14:textFill>
            <w14:solidFill>
              <w14:schemeClr w14:val="tx1"/>
            </w14:solidFill>
          </w14:textFill>
        </w:rPr>
        <w:t xml:space="preserve">.3-3  </w:t>
      </w:r>
      <w:r>
        <w:rPr>
          <w:rFonts w:hint="eastAsia" w:ascii="仿宋_GB2312" w:hAnsi="仿宋" w:cs="仿宋"/>
          <w:b/>
          <w:bCs/>
          <w:snapToGrid w:val="0"/>
          <w:color w:val="000000" w:themeColor="text1"/>
          <w:spacing w:val="-5"/>
          <w:kern w:val="0"/>
          <w:sz w:val="21"/>
          <w:szCs w:val="21"/>
          <w14:textFill>
            <w14:solidFill>
              <w14:schemeClr w14:val="tx1"/>
            </w14:solidFill>
          </w14:textFill>
        </w:rPr>
        <w:t xml:space="preserve">地表翻扰型一般扰动地表土壤侵蚀模数测算 </w:t>
      </w:r>
      <w:r>
        <w:rPr>
          <w:rFonts w:ascii="仿宋_GB2312" w:hAnsi="仿宋" w:cs="仿宋"/>
          <w:b/>
          <w:bCs/>
          <w:snapToGrid w:val="0"/>
          <w:color w:val="000000" w:themeColor="text1"/>
          <w:spacing w:val="-5"/>
          <w:kern w:val="0"/>
          <w:sz w:val="21"/>
          <w:szCs w:val="21"/>
          <w14:textFill>
            <w14:solidFill>
              <w14:schemeClr w14:val="tx1"/>
            </w14:solidFill>
          </w14:textFill>
        </w:rPr>
        <w:t xml:space="preserve">  </w:t>
      </w:r>
      <w:r>
        <w:rPr>
          <w:rFonts w:hint="eastAsia" w:ascii="仿宋_GB2312" w:hAnsi="仿宋" w:cs="仿宋"/>
          <w:b/>
          <w:bCs/>
          <w:snapToGrid w:val="0"/>
          <w:color w:val="000000" w:themeColor="text1"/>
          <w:spacing w:val="-5"/>
          <w:kern w:val="0"/>
          <w:sz w:val="21"/>
          <w:szCs w:val="21"/>
          <w14:textFill>
            <w14:solidFill>
              <w14:schemeClr w14:val="tx1"/>
            </w14:solidFill>
          </w14:textFill>
        </w:rPr>
        <w:t>单位：</w:t>
      </w:r>
      <w:r>
        <w:rPr>
          <w:rFonts w:ascii="仿宋_GB2312" w:hAnsi="仿宋" w:cs="仿宋"/>
          <w:b/>
          <w:bCs/>
          <w:snapToGrid w:val="0"/>
          <w:color w:val="000000" w:themeColor="text1"/>
          <w:spacing w:val="-5"/>
          <w:kern w:val="0"/>
          <w:sz w:val="21"/>
          <w:szCs w:val="21"/>
          <w14:textFill>
            <w14:solidFill>
              <w14:schemeClr w14:val="tx1"/>
            </w14:solidFill>
          </w14:textFill>
        </w:rPr>
        <w:t>t/km</w:t>
      </w:r>
      <w:r>
        <w:rPr>
          <w:rFonts w:ascii="仿宋_GB2312" w:hAnsi="仿宋" w:cs="仿宋"/>
          <w:b/>
          <w:bCs/>
          <w:snapToGrid w:val="0"/>
          <w:color w:val="000000" w:themeColor="text1"/>
          <w:spacing w:val="-5"/>
          <w:kern w:val="0"/>
          <w:sz w:val="21"/>
          <w:szCs w:val="21"/>
          <w:vertAlign w:val="superscript"/>
          <w14:textFill>
            <w14:solidFill>
              <w14:schemeClr w14:val="tx1"/>
            </w14:solidFill>
          </w14:textFill>
        </w:rPr>
        <w:t>2</w:t>
      </w:r>
      <w:r>
        <w:rPr>
          <w:rFonts w:ascii="仿宋_GB2312" w:hAnsi="仿宋" w:cs="仿宋"/>
          <w:b/>
          <w:bCs/>
          <w:snapToGrid w:val="0"/>
          <w:color w:val="000000" w:themeColor="text1"/>
          <w:spacing w:val="-5"/>
          <w:kern w:val="0"/>
          <w:sz w:val="21"/>
          <w:szCs w:val="21"/>
          <w14:textFill>
            <w14:solidFill>
              <w14:schemeClr w14:val="tx1"/>
            </w14:solidFill>
          </w14:textFill>
        </w:rPr>
        <w:t>·a</w:t>
      </w:r>
    </w:p>
    <w:tbl>
      <w:tblPr>
        <w:tblStyle w:val="26"/>
        <w:tblW w:w="59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2"/>
        <w:gridCol w:w="1424"/>
        <w:gridCol w:w="1569"/>
        <w:gridCol w:w="948"/>
        <w:gridCol w:w="1009"/>
        <w:gridCol w:w="1041"/>
        <w:gridCol w:w="736"/>
        <w:gridCol w:w="929"/>
        <w:gridCol w:w="991"/>
      </w:tblGrid>
      <w:tr w14:paraId="0FA69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752" w:type="pct"/>
            <w:vMerge w:val="restart"/>
            <w:shd w:val="clear" w:color="auto" w:fill="auto"/>
            <w:vAlign w:val="center"/>
          </w:tcPr>
          <w:p w14:paraId="70120D57">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预测单元</w:t>
            </w:r>
          </w:p>
        </w:tc>
        <w:tc>
          <w:tcPr>
            <w:tcW w:w="699" w:type="pct"/>
            <w:shd w:val="clear" w:color="auto" w:fill="auto"/>
            <w:vAlign w:val="center"/>
          </w:tcPr>
          <w:p w14:paraId="7F96B7DD">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R</w:t>
            </w:r>
          </w:p>
        </w:tc>
        <w:tc>
          <w:tcPr>
            <w:tcW w:w="770" w:type="pct"/>
            <w:shd w:val="clear" w:color="auto" w:fill="auto"/>
            <w:vAlign w:val="center"/>
          </w:tcPr>
          <w:p w14:paraId="5418A3D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K</w:t>
            </w:r>
            <w:r>
              <w:rPr>
                <w:rFonts w:cs="Times New Roman"/>
                <w:color w:val="000000" w:themeColor="text1"/>
                <w:kern w:val="0"/>
                <w:sz w:val="18"/>
                <w:szCs w:val="18"/>
                <w:vertAlign w:val="subscript"/>
                <w14:textFill>
                  <w14:solidFill>
                    <w14:schemeClr w14:val="tx1"/>
                  </w14:solidFill>
                </w14:textFill>
              </w:rPr>
              <w:t>yd</w:t>
            </w:r>
          </w:p>
        </w:tc>
        <w:tc>
          <w:tcPr>
            <w:tcW w:w="465" w:type="pct"/>
            <w:shd w:val="clear" w:color="auto" w:fill="auto"/>
            <w:vAlign w:val="center"/>
          </w:tcPr>
          <w:p w14:paraId="5051D04F">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L</w:t>
            </w:r>
            <w:r>
              <w:rPr>
                <w:rFonts w:cs="Times New Roman"/>
                <w:color w:val="000000" w:themeColor="text1"/>
                <w:kern w:val="0"/>
                <w:sz w:val="18"/>
                <w:szCs w:val="18"/>
                <w:vertAlign w:val="subscript"/>
                <w14:textFill>
                  <w14:solidFill>
                    <w14:schemeClr w14:val="tx1"/>
                  </w14:solidFill>
                </w14:textFill>
              </w:rPr>
              <w:t>y</w:t>
            </w:r>
          </w:p>
        </w:tc>
        <w:tc>
          <w:tcPr>
            <w:tcW w:w="495" w:type="pct"/>
            <w:shd w:val="clear" w:color="auto" w:fill="auto"/>
            <w:vAlign w:val="center"/>
          </w:tcPr>
          <w:p w14:paraId="6DB14DCC">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S</w:t>
            </w:r>
            <w:r>
              <w:rPr>
                <w:rFonts w:cs="Times New Roman"/>
                <w:color w:val="000000" w:themeColor="text1"/>
                <w:kern w:val="0"/>
                <w:sz w:val="18"/>
                <w:szCs w:val="18"/>
                <w:vertAlign w:val="subscript"/>
                <w14:textFill>
                  <w14:solidFill>
                    <w14:schemeClr w14:val="tx1"/>
                  </w14:solidFill>
                </w14:textFill>
              </w:rPr>
              <w:t>y</w:t>
            </w:r>
          </w:p>
        </w:tc>
        <w:tc>
          <w:tcPr>
            <w:tcW w:w="511" w:type="pct"/>
            <w:shd w:val="clear" w:color="auto" w:fill="auto"/>
            <w:vAlign w:val="center"/>
          </w:tcPr>
          <w:p w14:paraId="460288EA">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B</w:t>
            </w:r>
          </w:p>
        </w:tc>
        <w:tc>
          <w:tcPr>
            <w:tcW w:w="361" w:type="pct"/>
            <w:shd w:val="clear" w:color="auto" w:fill="auto"/>
            <w:vAlign w:val="center"/>
          </w:tcPr>
          <w:p w14:paraId="6A4B51F2">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E</w:t>
            </w:r>
          </w:p>
        </w:tc>
        <w:tc>
          <w:tcPr>
            <w:tcW w:w="456" w:type="pct"/>
            <w:shd w:val="clear" w:color="auto" w:fill="auto"/>
            <w:vAlign w:val="center"/>
          </w:tcPr>
          <w:p w14:paraId="6693A20E">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T</w:t>
            </w:r>
          </w:p>
        </w:tc>
        <w:tc>
          <w:tcPr>
            <w:tcW w:w="486" w:type="pct"/>
            <w:vMerge w:val="restart"/>
            <w:shd w:val="clear" w:color="auto" w:fill="auto"/>
            <w:vAlign w:val="center"/>
          </w:tcPr>
          <w:p w14:paraId="48BCD791">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侵蚀模数</w:t>
            </w:r>
          </w:p>
        </w:tc>
      </w:tr>
      <w:tr w14:paraId="2D7F8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752" w:type="pct"/>
            <w:vMerge w:val="continue"/>
            <w:vAlign w:val="center"/>
          </w:tcPr>
          <w:p w14:paraId="063E286F">
            <w:pPr>
              <w:widowControl/>
              <w:adjustRightInd/>
              <w:snapToGrid/>
              <w:spacing w:line="240" w:lineRule="auto"/>
              <w:ind w:firstLine="0" w:firstLineChars="0"/>
              <w:jc w:val="left"/>
              <w:rPr>
                <w:rFonts w:cs="Times New Roman"/>
                <w:color w:val="000000" w:themeColor="text1"/>
                <w:kern w:val="0"/>
                <w:sz w:val="18"/>
                <w:szCs w:val="18"/>
                <w14:textFill>
                  <w14:solidFill>
                    <w14:schemeClr w14:val="tx1"/>
                  </w14:solidFill>
                </w14:textFill>
              </w:rPr>
            </w:pPr>
          </w:p>
        </w:tc>
        <w:tc>
          <w:tcPr>
            <w:tcW w:w="699" w:type="pct"/>
            <w:shd w:val="clear" w:color="auto" w:fill="auto"/>
            <w:vAlign w:val="center"/>
          </w:tcPr>
          <w:p w14:paraId="19A1E106">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降雨侵蚀力因子(0.067P</w:t>
            </w:r>
            <w:r>
              <w:rPr>
                <w:rFonts w:cs="Times New Roman"/>
                <w:color w:val="000000" w:themeColor="text1"/>
                <w:kern w:val="0"/>
                <w:sz w:val="18"/>
                <w:szCs w:val="18"/>
                <w:vertAlign w:val="subscript"/>
                <w14:textFill>
                  <w14:solidFill>
                    <w14:schemeClr w14:val="tx1"/>
                  </w14:solidFill>
                </w14:textFill>
              </w:rPr>
              <w:t>d</w:t>
            </w:r>
            <w:r>
              <w:rPr>
                <w:rFonts w:cs="Times New Roman"/>
                <w:color w:val="000000" w:themeColor="text1"/>
                <w:kern w:val="0"/>
                <w:sz w:val="18"/>
                <w:szCs w:val="18"/>
                <w:vertAlign w:val="superscript"/>
                <w14:textFill>
                  <w14:solidFill>
                    <w14:schemeClr w14:val="tx1"/>
                  </w14:solidFill>
                </w14:textFill>
              </w:rPr>
              <w:t>1.627</w:t>
            </w:r>
            <w:r>
              <w:rPr>
                <w:rFonts w:cs="Times New Roman"/>
                <w:color w:val="000000" w:themeColor="text1"/>
                <w:kern w:val="0"/>
                <w:sz w:val="18"/>
                <w:szCs w:val="18"/>
                <w14:textFill>
                  <w14:solidFill>
                    <w14:schemeClr w14:val="tx1"/>
                  </w14:solidFill>
                </w14:textFill>
              </w:rPr>
              <w:t>)</w:t>
            </w:r>
          </w:p>
        </w:tc>
        <w:tc>
          <w:tcPr>
            <w:tcW w:w="770" w:type="pct"/>
            <w:shd w:val="clear" w:color="auto" w:fill="auto"/>
            <w:vAlign w:val="center"/>
          </w:tcPr>
          <w:p w14:paraId="72426D95">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土壤可蚀性因子（0.0070*2.13）</w:t>
            </w:r>
          </w:p>
        </w:tc>
        <w:tc>
          <w:tcPr>
            <w:tcW w:w="465" w:type="pct"/>
            <w:shd w:val="clear" w:color="auto" w:fill="auto"/>
            <w:vAlign w:val="center"/>
          </w:tcPr>
          <w:p w14:paraId="7972D520">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坡长因子</w:t>
            </w:r>
          </w:p>
        </w:tc>
        <w:tc>
          <w:tcPr>
            <w:tcW w:w="495" w:type="pct"/>
            <w:shd w:val="clear" w:color="auto" w:fill="auto"/>
            <w:vAlign w:val="center"/>
          </w:tcPr>
          <w:p w14:paraId="45673153">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坡度因子</w:t>
            </w:r>
          </w:p>
        </w:tc>
        <w:tc>
          <w:tcPr>
            <w:tcW w:w="511" w:type="pct"/>
            <w:shd w:val="clear" w:color="auto" w:fill="auto"/>
            <w:vAlign w:val="center"/>
          </w:tcPr>
          <w:p w14:paraId="22DC0B01">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植被因子</w:t>
            </w:r>
          </w:p>
        </w:tc>
        <w:tc>
          <w:tcPr>
            <w:tcW w:w="361" w:type="pct"/>
            <w:shd w:val="clear" w:color="auto" w:fill="auto"/>
            <w:vAlign w:val="center"/>
          </w:tcPr>
          <w:p w14:paraId="6E9EF4A3">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工程措施因子</w:t>
            </w:r>
          </w:p>
        </w:tc>
        <w:tc>
          <w:tcPr>
            <w:tcW w:w="456" w:type="pct"/>
            <w:shd w:val="clear" w:color="auto" w:fill="auto"/>
            <w:vAlign w:val="center"/>
          </w:tcPr>
          <w:p w14:paraId="631BF1CC">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耕作措施因子</w:t>
            </w:r>
          </w:p>
        </w:tc>
        <w:tc>
          <w:tcPr>
            <w:tcW w:w="486" w:type="pct"/>
            <w:vMerge w:val="continue"/>
            <w:vAlign w:val="center"/>
          </w:tcPr>
          <w:p w14:paraId="4217FE32">
            <w:pPr>
              <w:widowControl/>
              <w:adjustRightInd/>
              <w:snapToGrid/>
              <w:spacing w:line="240" w:lineRule="auto"/>
              <w:ind w:firstLine="0" w:firstLineChars="0"/>
              <w:jc w:val="left"/>
              <w:rPr>
                <w:rFonts w:cs="Times New Roman"/>
                <w:color w:val="000000" w:themeColor="text1"/>
                <w:kern w:val="0"/>
                <w:sz w:val="18"/>
                <w:szCs w:val="18"/>
                <w14:textFill>
                  <w14:solidFill>
                    <w14:schemeClr w14:val="tx1"/>
                  </w14:solidFill>
                </w14:textFill>
              </w:rPr>
            </w:pPr>
          </w:p>
        </w:tc>
      </w:tr>
      <w:tr w14:paraId="24686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exact"/>
          <w:jc w:val="center"/>
        </w:trPr>
        <w:tc>
          <w:tcPr>
            <w:tcW w:w="752" w:type="pct"/>
            <w:shd w:val="clear" w:color="auto" w:fill="auto"/>
            <w:vAlign w:val="center"/>
          </w:tcPr>
          <w:p w14:paraId="11005F04">
            <w:pPr>
              <w:widowControl/>
              <w:adjustRightInd/>
              <w:snapToGrid/>
              <w:spacing w:line="240" w:lineRule="auto"/>
              <w:ind w:firstLine="0" w:firstLineChars="0"/>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建构筑物工程区</w:t>
            </w:r>
          </w:p>
        </w:tc>
        <w:tc>
          <w:tcPr>
            <w:tcW w:w="1424" w:type="dxa"/>
            <w:shd w:val="clear" w:color="auto" w:fill="auto"/>
            <w:vAlign w:val="center"/>
          </w:tcPr>
          <w:p w14:paraId="5649DE8A">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4315.2</w:t>
            </w:r>
          </w:p>
        </w:tc>
        <w:tc>
          <w:tcPr>
            <w:tcW w:w="1569" w:type="dxa"/>
            <w:shd w:val="clear" w:color="auto" w:fill="auto"/>
            <w:vAlign w:val="center"/>
          </w:tcPr>
          <w:p w14:paraId="6AEB35E9">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0.01491</w:t>
            </w:r>
          </w:p>
        </w:tc>
        <w:tc>
          <w:tcPr>
            <w:tcW w:w="948" w:type="dxa"/>
            <w:shd w:val="clear" w:color="auto" w:fill="auto"/>
            <w:vAlign w:val="center"/>
          </w:tcPr>
          <w:p w14:paraId="5C802D6B">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2.</w:t>
            </w:r>
            <w:r>
              <w:rPr>
                <w:rFonts w:hint="eastAsia" w:eastAsia="宋体" w:cs="Times New Roman"/>
                <w:color w:val="000000"/>
                <w:kern w:val="0"/>
                <w:sz w:val="18"/>
                <w:szCs w:val="18"/>
                <w:lang w:bidi="ar"/>
              </w:rPr>
              <w:t>3</w:t>
            </w:r>
            <w:r>
              <w:rPr>
                <w:rFonts w:eastAsia="宋体" w:cs="Times New Roman"/>
                <w:color w:val="000000"/>
                <w:kern w:val="0"/>
                <w:sz w:val="18"/>
                <w:szCs w:val="18"/>
                <w:lang w:bidi="ar"/>
              </w:rPr>
              <w:t>1</w:t>
            </w:r>
          </w:p>
        </w:tc>
        <w:tc>
          <w:tcPr>
            <w:tcW w:w="1009" w:type="dxa"/>
            <w:shd w:val="clear" w:color="auto" w:fill="auto"/>
            <w:vAlign w:val="center"/>
          </w:tcPr>
          <w:p w14:paraId="3C5B52CA">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w:t>
            </w:r>
            <w:r>
              <w:rPr>
                <w:rFonts w:hint="eastAsia" w:eastAsia="宋体" w:cs="Times New Roman"/>
                <w:color w:val="000000"/>
                <w:kern w:val="0"/>
                <w:sz w:val="18"/>
                <w:szCs w:val="18"/>
                <w:lang w:bidi="ar"/>
              </w:rPr>
              <w:t>46</w:t>
            </w:r>
          </w:p>
        </w:tc>
        <w:tc>
          <w:tcPr>
            <w:tcW w:w="1041" w:type="dxa"/>
            <w:shd w:val="clear" w:color="auto" w:fill="auto"/>
            <w:vAlign w:val="center"/>
          </w:tcPr>
          <w:p w14:paraId="1683DEF6">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0.516</w:t>
            </w:r>
          </w:p>
        </w:tc>
        <w:tc>
          <w:tcPr>
            <w:tcW w:w="736" w:type="dxa"/>
            <w:shd w:val="clear" w:color="auto" w:fill="auto"/>
            <w:vAlign w:val="center"/>
          </w:tcPr>
          <w:p w14:paraId="5C0D3318">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w:t>
            </w:r>
          </w:p>
        </w:tc>
        <w:tc>
          <w:tcPr>
            <w:tcW w:w="929" w:type="dxa"/>
            <w:shd w:val="clear" w:color="auto" w:fill="auto"/>
            <w:vAlign w:val="center"/>
          </w:tcPr>
          <w:p w14:paraId="016E149C">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0.152</w:t>
            </w:r>
          </w:p>
        </w:tc>
        <w:tc>
          <w:tcPr>
            <w:tcW w:w="991" w:type="dxa"/>
            <w:shd w:val="clear" w:color="auto" w:fill="auto"/>
            <w:vAlign w:val="center"/>
          </w:tcPr>
          <w:p w14:paraId="771965EE">
            <w:pPr>
              <w:widowControl/>
              <w:ind w:firstLine="0" w:firstLineChars="0"/>
              <w:jc w:val="center"/>
              <w:textAlignment w:val="center"/>
              <w:rPr>
                <w:rFonts w:cs="Times New Roman"/>
                <w:b/>
                <w:bCs/>
                <w:color w:val="000000" w:themeColor="text1"/>
                <w:kern w:val="0"/>
                <w:sz w:val="18"/>
                <w:szCs w:val="18"/>
                <w14:textFill>
                  <w14:solidFill>
                    <w14:schemeClr w14:val="tx1"/>
                  </w14:solidFill>
                </w14:textFill>
              </w:rPr>
            </w:pPr>
            <w:r>
              <w:rPr>
                <w:rFonts w:ascii="仿宋_GB2312" w:hAnsi="宋体" w:cs="仿宋_GB2312"/>
                <w:b/>
                <w:bCs/>
                <w:color w:val="000000"/>
                <w:kern w:val="0"/>
                <w:sz w:val="18"/>
                <w:szCs w:val="18"/>
                <w:lang w:bidi="ar"/>
              </w:rPr>
              <w:t>1701.91</w:t>
            </w:r>
          </w:p>
        </w:tc>
      </w:tr>
      <w:tr w14:paraId="48AB1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exact"/>
          <w:jc w:val="center"/>
        </w:trPr>
        <w:tc>
          <w:tcPr>
            <w:tcW w:w="752" w:type="pct"/>
            <w:shd w:val="clear" w:color="auto" w:fill="auto"/>
            <w:vAlign w:val="center"/>
          </w:tcPr>
          <w:p w14:paraId="53C4F821">
            <w:pPr>
              <w:widowControl/>
              <w:adjustRightInd/>
              <w:snapToGrid/>
              <w:spacing w:line="240" w:lineRule="auto"/>
              <w:ind w:firstLine="0" w:firstLineChars="0"/>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场内道路及硬化工程区</w:t>
            </w:r>
          </w:p>
        </w:tc>
        <w:tc>
          <w:tcPr>
            <w:tcW w:w="1424" w:type="dxa"/>
            <w:shd w:val="clear" w:color="auto" w:fill="auto"/>
            <w:vAlign w:val="center"/>
          </w:tcPr>
          <w:p w14:paraId="466FF5BC">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4315.2</w:t>
            </w:r>
          </w:p>
        </w:tc>
        <w:tc>
          <w:tcPr>
            <w:tcW w:w="1569" w:type="dxa"/>
            <w:shd w:val="clear" w:color="auto" w:fill="auto"/>
            <w:vAlign w:val="center"/>
          </w:tcPr>
          <w:p w14:paraId="50330EC7">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0.01491</w:t>
            </w:r>
          </w:p>
        </w:tc>
        <w:tc>
          <w:tcPr>
            <w:tcW w:w="948" w:type="dxa"/>
            <w:shd w:val="clear" w:color="auto" w:fill="auto"/>
            <w:vAlign w:val="center"/>
          </w:tcPr>
          <w:p w14:paraId="51CACE32">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2.</w:t>
            </w:r>
            <w:r>
              <w:rPr>
                <w:rFonts w:hint="eastAsia" w:eastAsia="宋体" w:cs="Times New Roman"/>
                <w:color w:val="000000"/>
                <w:kern w:val="0"/>
                <w:sz w:val="18"/>
                <w:szCs w:val="18"/>
                <w:lang w:bidi="ar"/>
              </w:rPr>
              <w:t>31</w:t>
            </w:r>
          </w:p>
        </w:tc>
        <w:tc>
          <w:tcPr>
            <w:tcW w:w="1009" w:type="dxa"/>
            <w:shd w:val="clear" w:color="auto" w:fill="auto"/>
            <w:vAlign w:val="center"/>
          </w:tcPr>
          <w:p w14:paraId="6C552F33">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w:t>
            </w:r>
            <w:r>
              <w:rPr>
                <w:rFonts w:hint="eastAsia" w:eastAsia="宋体" w:cs="Times New Roman"/>
                <w:color w:val="000000"/>
                <w:kern w:val="0"/>
                <w:sz w:val="18"/>
                <w:szCs w:val="18"/>
                <w:lang w:bidi="ar"/>
              </w:rPr>
              <w:t>46</w:t>
            </w:r>
          </w:p>
        </w:tc>
        <w:tc>
          <w:tcPr>
            <w:tcW w:w="1041" w:type="dxa"/>
            <w:shd w:val="clear" w:color="auto" w:fill="auto"/>
            <w:vAlign w:val="center"/>
          </w:tcPr>
          <w:p w14:paraId="1B00ABF8">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0.516</w:t>
            </w:r>
          </w:p>
        </w:tc>
        <w:tc>
          <w:tcPr>
            <w:tcW w:w="736" w:type="dxa"/>
            <w:shd w:val="clear" w:color="auto" w:fill="auto"/>
            <w:vAlign w:val="center"/>
          </w:tcPr>
          <w:p w14:paraId="03D20710">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w:t>
            </w:r>
          </w:p>
        </w:tc>
        <w:tc>
          <w:tcPr>
            <w:tcW w:w="929" w:type="dxa"/>
            <w:shd w:val="clear" w:color="auto" w:fill="auto"/>
            <w:vAlign w:val="center"/>
          </w:tcPr>
          <w:p w14:paraId="2B65AC9B">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0.152</w:t>
            </w:r>
          </w:p>
        </w:tc>
        <w:tc>
          <w:tcPr>
            <w:tcW w:w="991" w:type="dxa"/>
            <w:shd w:val="clear" w:color="auto" w:fill="auto"/>
            <w:vAlign w:val="center"/>
          </w:tcPr>
          <w:p w14:paraId="769B8E32">
            <w:pPr>
              <w:widowControl/>
              <w:ind w:firstLine="0" w:firstLineChars="0"/>
              <w:jc w:val="center"/>
              <w:textAlignment w:val="center"/>
              <w:rPr>
                <w:rFonts w:cs="Times New Roman"/>
                <w:b/>
                <w:bCs/>
                <w:color w:val="000000" w:themeColor="text1"/>
                <w:kern w:val="0"/>
                <w:sz w:val="18"/>
                <w:szCs w:val="18"/>
                <w14:textFill>
                  <w14:solidFill>
                    <w14:schemeClr w14:val="tx1"/>
                  </w14:solidFill>
                </w14:textFill>
              </w:rPr>
            </w:pPr>
            <w:r>
              <w:rPr>
                <w:rFonts w:ascii="仿宋_GB2312" w:hAnsi="宋体" w:cs="仿宋_GB2312"/>
                <w:b/>
                <w:bCs/>
                <w:color w:val="000000"/>
                <w:kern w:val="0"/>
                <w:sz w:val="18"/>
                <w:szCs w:val="18"/>
                <w:lang w:bidi="ar"/>
              </w:rPr>
              <w:t>1701.91</w:t>
            </w:r>
          </w:p>
        </w:tc>
      </w:tr>
      <w:tr w14:paraId="61A71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exact"/>
          <w:jc w:val="center"/>
        </w:trPr>
        <w:tc>
          <w:tcPr>
            <w:tcW w:w="752" w:type="pct"/>
            <w:shd w:val="clear" w:color="auto" w:fill="auto"/>
            <w:vAlign w:val="center"/>
          </w:tcPr>
          <w:p w14:paraId="6698078D">
            <w:pPr>
              <w:widowControl/>
              <w:adjustRightInd/>
              <w:snapToGrid/>
              <w:spacing w:line="240" w:lineRule="auto"/>
              <w:ind w:firstLine="0" w:firstLineChars="0"/>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景观绿化工程区</w:t>
            </w:r>
          </w:p>
        </w:tc>
        <w:tc>
          <w:tcPr>
            <w:tcW w:w="1424" w:type="dxa"/>
            <w:shd w:val="clear" w:color="auto" w:fill="auto"/>
            <w:vAlign w:val="center"/>
          </w:tcPr>
          <w:p w14:paraId="71669711">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4315.2</w:t>
            </w:r>
          </w:p>
        </w:tc>
        <w:tc>
          <w:tcPr>
            <w:tcW w:w="1569" w:type="dxa"/>
            <w:shd w:val="clear" w:color="auto" w:fill="auto"/>
            <w:vAlign w:val="center"/>
          </w:tcPr>
          <w:p w14:paraId="07BE6822">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0.01491</w:t>
            </w:r>
          </w:p>
        </w:tc>
        <w:tc>
          <w:tcPr>
            <w:tcW w:w="948" w:type="dxa"/>
            <w:shd w:val="clear" w:color="auto" w:fill="auto"/>
            <w:vAlign w:val="center"/>
          </w:tcPr>
          <w:p w14:paraId="2EAD84B1">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w:t>
            </w:r>
            <w:r>
              <w:rPr>
                <w:rFonts w:hint="eastAsia" w:eastAsia="宋体" w:cs="Times New Roman"/>
                <w:color w:val="000000"/>
                <w:kern w:val="0"/>
                <w:sz w:val="18"/>
                <w:szCs w:val="18"/>
                <w:lang w:bidi="ar"/>
              </w:rPr>
              <w:t>99</w:t>
            </w:r>
          </w:p>
        </w:tc>
        <w:tc>
          <w:tcPr>
            <w:tcW w:w="1009" w:type="dxa"/>
            <w:shd w:val="clear" w:color="auto" w:fill="auto"/>
            <w:vAlign w:val="center"/>
          </w:tcPr>
          <w:p w14:paraId="51C857CF">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w:t>
            </w:r>
            <w:r>
              <w:rPr>
                <w:rFonts w:hint="eastAsia" w:eastAsia="宋体" w:cs="Times New Roman"/>
                <w:color w:val="000000"/>
                <w:kern w:val="0"/>
                <w:sz w:val="18"/>
                <w:szCs w:val="18"/>
                <w:lang w:bidi="ar"/>
              </w:rPr>
              <w:t>38</w:t>
            </w:r>
          </w:p>
        </w:tc>
        <w:tc>
          <w:tcPr>
            <w:tcW w:w="1041" w:type="dxa"/>
            <w:shd w:val="clear" w:color="auto" w:fill="auto"/>
            <w:vAlign w:val="center"/>
          </w:tcPr>
          <w:p w14:paraId="0DDD946B">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0.516</w:t>
            </w:r>
          </w:p>
        </w:tc>
        <w:tc>
          <w:tcPr>
            <w:tcW w:w="736" w:type="dxa"/>
            <w:shd w:val="clear" w:color="auto" w:fill="auto"/>
            <w:vAlign w:val="center"/>
          </w:tcPr>
          <w:p w14:paraId="089375C9">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w:t>
            </w:r>
          </w:p>
        </w:tc>
        <w:tc>
          <w:tcPr>
            <w:tcW w:w="929" w:type="dxa"/>
            <w:shd w:val="clear" w:color="auto" w:fill="auto"/>
            <w:vAlign w:val="center"/>
          </w:tcPr>
          <w:p w14:paraId="1C1A5A3E">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0.152</w:t>
            </w:r>
          </w:p>
        </w:tc>
        <w:tc>
          <w:tcPr>
            <w:tcW w:w="991" w:type="dxa"/>
            <w:shd w:val="clear" w:color="auto" w:fill="auto"/>
            <w:vAlign w:val="center"/>
          </w:tcPr>
          <w:p w14:paraId="3A04B52B">
            <w:pPr>
              <w:widowControl/>
              <w:ind w:firstLine="0" w:firstLineChars="0"/>
              <w:jc w:val="center"/>
              <w:textAlignment w:val="center"/>
              <w:rPr>
                <w:rFonts w:cs="Times New Roman"/>
                <w:b/>
                <w:bCs/>
                <w:color w:val="000000" w:themeColor="text1"/>
                <w:kern w:val="0"/>
                <w:sz w:val="18"/>
                <w:szCs w:val="18"/>
                <w14:textFill>
                  <w14:solidFill>
                    <w14:schemeClr w14:val="tx1"/>
                  </w14:solidFill>
                </w14:textFill>
              </w:rPr>
            </w:pPr>
            <w:r>
              <w:rPr>
                <w:rFonts w:ascii="仿宋_GB2312" w:hAnsi="宋体" w:cs="仿宋_GB2312"/>
                <w:b/>
                <w:bCs/>
                <w:color w:val="000000"/>
                <w:kern w:val="0"/>
                <w:sz w:val="18"/>
                <w:szCs w:val="18"/>
                <w:lang w:bidi="ar"/>
              </w:rPr>
              <w:t>1385.81</w:t>
            </w:r>
          </w:p>
        </w:tc>
      </w:tr>
    </w:tbl>
    <w:p w14:paraId="626D4754">
      <w:pPr>
        <w:widowControl/>
        <w:autoSpaceDE w:val="0"/>
        <w:autoSpaceDN w:val="0"/>
        <w:spacing w:line="384" w:lineRule="auto"/>
        <w:ind w:firstLine="47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rFonts w:hint="eastAsia" w:ascii="仿宋_GB2312" w:hAnsi="仿宋" w:cs="仿宋"/>
          <w:snapToGrid w:val="0"/>
          <w:color w:val="000000" w:themeColor="text1"/>
          <w:spacing w:val="-5"/>
          <w:kern w:val="0"/>
          <w14:textFill>
            <w14:solidFill>
              <w14:schemeClr w14:val="tx1"/>
            </w14:solidFill>
          </w14:textFill>
        </w:rPr>
        <w:t>备注：根据《生产建设项目土壤流失量测算导则》（SL773-2018）6</w:t>
      </w:r>
      <w:r>
        <w:rPr>
          <w:rFonts w:ascii="仿宋_GB2312" w:hAnsi="仿宋" w:cs="仿宋"/>
          <w:snapToGrid w:val="0"/>
          <w:color w:val="000000" w:themeColor="text1"/>
          <w:spacing w:val="-5"/>
          <w:kern w:val="0"/>
          <w14:textFill>
            <w14:solidFill>
              <w14:schemeClr w14:val="tx1"/>
            </w14:solidFill>
          </w14:textFill>
        </w:rPr>
        <w:t>.2.2</w:t>
      </w:r>
      <w:r>
        <w:rPr>
          <w:rFonts w:hint="eastAsia" w:ascii="仿宋_GB2312" w:hAnsi="仿宋" w:cs="仿宋"/>
          <w:snapToGrid w:val="0"/>
          <w:color w:val="000000" w:themeColor="text1"/>
          <w:spacing w:val="-5"/>
          <w:kern w:val="0"/>
          <w14:textFill>
            <w14:solidFill>
              <w14:schemeClr w14:val="tx1"/>
            </w14:solidFill>
          </w14:textFill>
        </w:rPr>
        <w:t>条规定，计算地表翻扰型一般扰动地表的降雨侵蚀力因子，可获得多年平均降雨资料时，降雨侵蚀力因子R取值R</w:t>
      </w:r>
      <w:r>
        <w:rPr>
          <w:rFonts w:ascii="仿宋_GB2312" w:hAnsi="仿宋" w:cs="仿宋"/>
          <w:snapToGrid w:val="0"/>
          <w:color w:val="000000" w:themeColor="text1"/>
          <w:spacing w:val="-5"/>
          <w:kern w:val="0"/>
          <w:vertAlign w:val="subscript"/>
          <w14:textFill>
            <w14:solidFill>
              <w14:schemeClr w14:val="tx1"/>
            </w14:solidFill>
          </w14:textFill>
        </w:rPr>
        <w:t>d</w:t>
      </w:r>
      <w:r>
        <w:rPr>
          <w:rFonts w:hint="eastAsia" w:ascii="仿宋_GB2312" w:hAnsi="仿宋" w:cs="仿宋"/>
          <w:snapToGrid w:val="0"/>
          <w:color w:val="000000" w:themeColor="text1"/>
          <w:spacing w:val="-5"/>
          <w:kern w:val="0"/>
          <w14:textFill>
            <w14:solidFill>
              <w14:schemeClr w14:val="tx1"/>
            </w14:solidFill>
          </w14:textFill>
        </w:rPr>
        <w:t>,按公式(7) 计算多年平均降雨侵蚀力因子。</w:t>
      </w:r>
    </w:p>
    <w:p w14:paraId="15564998">
      <w:pPr>
        <w:widowControl/>
        <w:autoSpaceDE w:val="0"/>
        <w:autoSpaceDN w:val="0"/>
        <w:spacing w:line="384" w:lineRule="auto"/>
        <w:ind w:firstLine="48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color w:val="000000" w:themeColor="text1"/>
          <w14:textFill>
            <w14:solidFill>
              <w14:schemeClr w14:val="tx1"/>
            </w14:solidFill>
          </w14:textFill>
        </w:rPr>
        <w:drawing>
          <wp:inline distT="0" distB="0" distL="0" distR="0">
            <wp:extent cx="4091940" cy="312420"/>
            <wp:effectExtent l="0" t="0" r="0" b="0"/>
            <wp:docPr id="2042005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05021" name="图片 1"/>
                    <pic:cNvPicPr>
                      <a:picLocks noChangeAspect="1"/>
                    </pic:cNvPicPr>
                  </pic:nvPicPr>
                  <pic:blipFill>
                    <a:blip r:embed="rId60"/>
                    <a:stretch>
                      <a:fillRect/>
                    </a:stretch>
                  </pic:blipFill>
                  <pic:spPr>
                    <a:xfrm>
                      <a:off x="0" y="0"/>
                      <a:ext cx="4229739" cy="323367"/>
                    </a:xfrm>
                    <a:prstGeom prst="rect">
                      <a:avLst/>
                    </a:prstGeom>
                  </pic:spPr>
                </pic:pic>
              </a:graphicData>
            </a:graphic>
          </wp:inline>
        </w:drawing>
      </w:r>
    </w:p>
    <w:p w14:paraId="2A520B29">
      <w:pPr>
        <w:widowControl/>
        <w:autoSpaceDE w:val="0"/>
        <w:autoSpaceDN w:val="0"/>
        <w:spacing w:line="384" w:lineRule="auto"/>
        <w:ind w:firstLine="47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rFonts w:hint="eastAsia" w:ascii="仿宋_GB2312" w:hAnsi="仿宋" w:cs="仿宋"/>
          <w:snapToGrid w:val="0"/>
          <w:color w:val="000000" w:themeColor="text1"/>
          <w:spacing w:val="-5"/>
          <w:kern w:val="0"/>
          <w14:textFill>
            <w14:solidFill>
              <w14:schemeClr w14:val="tx1"/>
            </w14:solidFill>
          </w14:textFill>
        </w:rPr>
        <w:t>R</w:t>
      </w:r>
      <w:r>
        <w:rPr>
          <w:rFonts w:ascii="仿宋_GB2312" w:hAnsi="仿宋" w:cs="仿宋"/>
          <w:snapToGrid w:val="0"/>
          <w:color w:val="000000" w:themeColor="text1"/>
          <w:spacing w:val="-5"/>
          <w:kern w:val="0"/>
          <w:vertAlign w:val="subscript"/>
          <w14:textFill>
            <w14:solidFill>
              <w14:schemeClr w14:val="tx1"/>
            </w14:solidFill>
          </w14:textFill>
        </w:rPr>
        <w:t>d</w:t>
      </w:r>
      <w:r>
        <w:rPr>
          <w:rFonts w:hint="eastAsia" w:ascii="仿宋_GB2312" w:hAnsi="仿宋" w:cs="仿宋"/>
          <w:snapToGrid w:val="0"/>
          <w:color w:val="000000" w:themeColor="text1"/>
          <w:spacing w:val="-5"/>
          <w:kern w:val="0"/>
          <w14:textFill>
            <w14:solidFill>
              <w14:schemeClr w14:val="tx1"/>
            </w14:solidFill>
          </w14:textFill>
        </w:rPr>
        <w:t>-多年平均降雨侵蚀力因子，MJ</w:t>
      </w:r>
      <w:r>
        <w:rPr>
          <w:rFonts w:hint="eastAsia" w:ascii="微软雅黑" w:hAnsi="微软雅黑" w:eastAsia="微软雅黑" w:cs="微软雅黑"/>
          <w:snapToGrid w:val="0"/>
          <w:color w:val="000000" w:themeColor="text1"/>
          <w:spacing w:val="-5"/>
          <w:kern w:val="0"/>
          <w14:textFill>
            <w14:solidFill>
              <w14:schemeClr w14:val="tx1"/>
            </w14:solidFill>
          </w14:textFill>
        </w:rPr>
        <w:t>▪</w:t>
      </w:r>
      <w:r>
        <w:rPr>
          <w:rFonts w:hint="eastAsia" w:ascii="仿宋_GB2312" w:hAnsi="仿宋" w:cs="仿宋"/>
          <w:snapToGrid w:val="0"/>
          <w:color w:val="000000" w:themeColor="text1"/>
          <w:spacing w:val="-5"/>
          <w:kern w:val="0"/>
          <w14:textFill>
            <w14:solidFill>
              <w14:schemeClr w14:val="tx1"/>
            </w14:solidFill>
          </w14:textFill>
        </w:rPr>
        <w:t>mm/(hm</w:t>
      </w:r>
      <w:r>
        <w:rPr>
          <w:rFonts w:hint="eastAsia" w:ascii="仿宋_GB2312" w:hAnsi="仿宋" w:cs="仿宋"/>
          <w:snapToGrid w:val="0"/>
          <w:color w:val="000000" w:themeColor="text1"/>
          <w:spacing w:val="-5"/>
          <w:kern w:val="0"/>
          <w:vertAlign w:val="superscript"/>
          <w14:textFill>
            <w14:solidFill>
              <w14:schemeClr w14:val="tx1"/>
            </w14:solidFill>
          </w14:textFill>
        </w:rPr>
        <w:t>2</w:t>
      </w:r>
      <w:r>
        <w:rPr>
          <w:rFonts w:hint="eastAsia" w:ascii="微软雅黑" w:hAnsi="微软雅黑" w:eastAsia="微软雅黑" w:cs="微软雅黑"/>
          <w:snapToGrid w:val="0"/>
          <w:color w:val="000000" w:themeColor="text1"/>
          <w:spacing w:val="-5"/>
          <w:kern w:val="0"/>
          <w14:textFill>
            <w14:solidFill>
              <w14:schemeClr w14:val="tx1"/>
            </w14:solidFill>
          </w14:textFill>
        </w:rPr>
        <w:t>▪</w:t>
      </w:r>
      <w:r>
        <w:rPr>
          <w:rFonts w:hint="eastAsia" w:ascii="仿宋_GB2312" w:hAnsi="仿宋" w:cs="仿宋"/>
          <w:snapToGrid w:val="0"/>
          <w:color w:val="000000" w:themeColor="text1"/>
          <w:spacing w:val="-5"/>
          <w:kern w:val="0"/>
          <w14:textFill>
            <w14:solidFill>
              <w14:schemeClr w14:val="tx1"/>
            </w14:solidFill>
          </w14:textFill>
        </w:rPr>
        <w:t>h);</w:t>
      </w:r>
    </w:p>
    <w:p w14:paraId="2882ED8D">
      <w:pPr>
        <w:widowControl/>
        <w:autoSpaceDE w:val="0"/>
        <w:autoSpaceDN w:val="0"/>
        <w:spacing w:line="384" w:lineRule="auto"/>
        <w:ind w:firstLine="47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rFonts w:hint="eastAsia" w:ascii="仿宋_GB2312" w:hAnsi="仿宋" w:cs="仿宋"/>
          <w:snapToGrid w:val="0"/>
          <w:color w:val="000000" w:themeColor="text1"/>
          <w:spacing w:val="-5"/>
          <w:kern w:val="0"/>
          <w14:textFill>
            <w14:solidFill>
              <w14:schemeClr w14:val="tx1"/>
            </w14:solidFill>
          </w14:textFill>
        </w:rPr>
        <w:t>p</w:t>
      </w:r>
      <w:r>
        <w:rPr>
          <w:rFonts w:ascii="仿宋_GB2312" w:hAnsi="仿宋" w:cs="仿宋"/>
          <w:snapToGrid w:val="0"/>
          <w:color w:val="000000" w:themeColor="text1"/>
          <w:spacing w:val="-5"/>
          <w:kern w:val="0"/>
          <w:vertAlign w:val="subscript"/>
          <w14:textFill>
            <w14:solidFill>
              <w14:schemeClr w14:val="tx1"/>
            </w14:solidFill>
          </w14:textFill>
        </w:rPr>
        <w:t>d</w:t>
      </w:r>
      <w:r>
        <w:rPr>
          <w:rFonts w:hint="eastAsia" w:ascii="仿宋_GB2312" w:hAnsi="仿宋" w:cs="仿宋"/>
          <w:snapToGrid w:val="0"/>
          <w:color w:val="000000" w:themeColor="text1"/>
          <w:spacing w:val="-5"/>
          <w:kern w:val="0"/>
          <w14:textFill>
            <w14:solidFill>
              <w14:schemeClr w14:val="tx1"/>
            </w14:solidFill>
          </w14:textFill>
        </w:rPr>
        <w:t>-多年平均降雨量，mm.</w:t>
      </w:r>
    </w:p>
    <w:p w14:paraId="41E002E7">
      <w:pPr>
        <w:widowControl/>
        <w:autoSpaceDE w:val="0"/>
        <w:autoSpaceDN w:val="0"/>
        <w:spacing w:line="384" w:lineRule="auto"/>
        <w:ind w:firstLine="47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rFonts w:hint="eastAsia" w:ascii="仿宋_GB2312" w:hAnsi="仿宋" w:cs="仿宋"/>
          <w:snapToGrid w:val="0"/>
          <w:color w:val="000000" w:themeColor="text1"/>
          <w:spacing w:val="-5"/>
          <w:kern w:val="0"/>
          <w14:textFill>
            <w14:solidFill>
              <w14:schemeClr w14:val="tx1"/>
            </w14:solidFill>
          </w14:textFill>
        </w:rPr>
        <w:t>无降雨资料时，宜优先采用项目所在地邻近气象站的降雨资料计算降雨侵蚀力因子。确无条件获取资料的，按附录C选用计算单元所在县级行政区的降雨侵蚀力因子。</w:t>
      </w:r>
    </w:p>
    <w:p w14:paraId="49DC391A">
      <w:pPr>
        <w:widowControl/>
        <w:autoSpaceDE w:val="0"/>
        <w:autoSpaceDN w:val="0"/>
        <w:spacing w:line="384" w:lineRule="auto"/>
        <w:ind w:firstLine="47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rFonts w:hint="eastAsia" w:ascii="仿宋_GB2312" w:hAnsi="仿宋" w:cs="仿宋"/>
          <w:snapToGrid w:val="0"/>
          <w:color w:val="000000" w:themeColor="text1"/>
          <w:spacing w:val="-5"/>
          <w:kern w:val="0"/>
          <w14:textFill>
            <w14:solidFill>
              <w14:schemeClr w14:val="tx1"/>
            </w14:solidFill>
          </w14:textFill>
        </w:rPr>
        <w:t>地表翻扰后土壤可蚀性因子增大系数根据《生产建设项目土壤流失量测算导则》（SL773-2018）取2</w:t>
      </w:r>
      <w:r>
        <w:rPr>
          <w:rFonts w:ascii="仿宋_GB2312" w:hAnsi="仿宋" w:cs="仿宋"/>
          <w:snapToGrid w:val="0"/>
          <w:color w:val="000000" w:themeColor="text1"/>
          <w:spacing w:val="-5"/>
          <w:kern w:val="0"/>
          <w14:textFill>
            <w14:solidFill>
              <w14:schemeClr w14:val="tx1"/>
            </w14:solidFill>
          </w14:textFill>
        </w:rPr>
        <w:t>.13</w:t>
      </w:r>
      <w:r>
        <w:rPr>
          <w:rFonts w:hint="eastAsia" w:ascii="仿宋_GB2312" w:hAnsi="仿宋" w:cs="仿宋"/>
          <w:snapToGrid w:val="0"/>
          <w:color w:val="000000" w:themeColor="text1"/>
          <w:spacing w:val="-5"/>
          <w:kern w:val="0"/>
          <w14:textFill>
            <w14:solidFill>
              <w14:schemeClr w14:val="tx1"/>
            </w14:solidFill>
          </w14:textFill>
        </w:rPr>
        <w:t>。</w:t>
      </w:r>
    </w:p>
    <w:p w14:paraId="2087647A">
      <w:pPr>
        <w:widowControl/>
        <w:autoSpaceDE w:val="0"/>
        <w:autoSpaceDN w:val="0"/>
        <w:spacing w:line="384" w:lineRule="auto"/>
        <w:ind w:firstLine="470"/>
        <w:jc w:val="left"/>
        <w:textAlignment w:val="baseline"/>
        <w:rPr>
          <w:rFonts w:hint="eastAsia" w:ascii="仿宋_GB2312" w:hAnsi="仿宋" w:cs="仿宋"/>
          <w:snapToGrid w:val="0"/>
          <w:color w:val="000000" w:themeColor="text1"/>
          <w:spacing w:val="-5"/>
          <w:kern w:val="0"/>
          <w14:textFill>
            <w14:solidFill>
              <w14:schemeClr w14:val="tx1"/>
            </w14:solidFill>
          </w14:textFill>
        </w:rPr>
      </w:pPr>
      <w:r>
        <w:rPr>
          <w:rFonts w:hint="eastAsia" w:ascii="仿宋_GB2312" w:hAnsi="仿宋" w:cs="仿宋"/>
          <w:snapToGrid w:val="0"/>
          <w:color w:val="000000" w:themeColor="text1"/>
          <w:spacing w:val="-5"/>
          <w:kern w:val="0"/>
          <w14:textFill>
            <w14:solidFill>
              <w14:schemeClr w14:val="tx1"/>
            </w14:solidFill>
          </w14:textFill>
        </w:rPr>
        <w:t>景观绿化工程区自然恢复期按照按植被破坏型一般扰动地表进行测算。景观绿化工程区自然恢复期草地、灌木林地植被覆盖因子覆盖度第1年按</w:t>
      </w:r>
      <w:r>
        <w:rPr>
          <w:rFonts w:ascii="仿宋_GB2312" w:hAnsi="仿宋" w:cs="仿宋"/>
          <w:snapToGrid w:val="0"/>
          <w:color w:val="000000" w:themeColor="text1"/>
          <w:spacing w:val="-5"/>
          <w:kern w:val="0"/>
          <w14:textFill>
            <w14:solidFill>
              <w14:schemeClr w14:val="tx1"/>
            </w14:solidFill>
          </w14:textFill>
        </w:rPr>
        <w:t>20%</w:t>
      </w:r>
      <w:r>
        <w:rPr>
          <w:rFonts w:hint="eastAsia" w:ascii="仿宋_GB2312" w:hAnsi="仿宋" w:cs="仿宋"/>
          <w:snapToGrid w:val="0"/>
          <w:color w:val="000000" w:themeColor="text1"/>
          <w:spacing w:val="-5"/>
          <w:kern w:val="0"/>
          <w14:textFill>
            <w14:solidFill>
              <w14:schemeClr w14:val="tx1"/>
            </w14:solidFill>
          </w14:textFill>
        </w:rPr>
        <w:t>计算，第2年按</w:t>
      </w:r>
      <w:r>
        <w:rPr>
          <w:rFonts w:ascii="仿宋_GB2312" w:hAnsi="仿宋" w:cs="仿宋"/>
          <w:snapToGrid w:val="0"/>
          <w:color w:val="000000" w:themeColor="text1"/>
          <w:spacing w:val="-5"/>
          <w:kern w:val="0"/>
          <w14:textFill>
            <w14:solidFill>
              <w14:schemeClr w14:val="tx1"/>
            </w14:solidFill>
          </w14:textFill>
        </w:rPr>
        <w:t>35</w:t>
      </w:r>
      <w:r>
        <w:rPr>
          <w:rFonts w:hint="eastAsia" w:ascii="仿宋_GB2312" w:hAnsi="仿宋" w:cs="仿宋"/>
          <w:snapToGrid w:val="0"/>
          <w:color w:val="000000" w:themeColor="text1"/>
          <w:spacing w:val="-5"/>
          <w:kern w:val="0"/>
          <w14:textFill>
            <w14:solidFill>
              <w14:schemeClr w14:val="tx1"/>
            </w14:solidFill>
          </w14:textFill>
        </w:rPr>
        <w:t>%计算。</w:t>
      </w:r>
    </w:p>
    <w:p w14:paraId="0526617C">
      <w:pPr>
        <w:widowControl/>
        <w:autoSpaceDE w:val="0"/>
        <w:autoSpaceDN w:val="0"/>
        <w:spacing w:line="384" w:lineRule="auto"/>
        <w:ind w:firstLine="412"/>
        <w:textAlignment w:val="baseline"/>
        <w:rPr>
          <w:rFonts w:hint="eastAsia" w:ascii="仿宋_GB2312" w:hAnsi="仿宋" w:cs="仿宋"/>
          <w:b/>
          <w:bCs/>
          <w:snapToGrid w:val="0"/>
          <w:color w:val="000000" w:themeColor="text1"/>
          <w:spacing w:val="-5"/>
          <w:kern w:val="0"/>
          <w:sz w:val="21"/>
          <w:szCs w:val="21"/>
          <w14:textFill>
            <w14:solidFill>
              <w14:schemeClr w14:val="tx1"/>
            </w14:solidFill>
          </w14:textFill>
        </w:rPr>
      </w:pPr>
      <w:r>
        <w:rPr>
          <w:rFonts w:hint="eastAsia" w:ascii="仿宋_GB2312" w:hAnsi="仿宋" w:cs="仿宋"/>
          <w:b/>
          <w:bCs/>
          <w:snapToGrid w:val="0"/>
          <w:color w:val="000000" w:themeColor="text1"/>
          <w:spacing w:val="-5"/>
          <w:kern w:val="0"/>
          <w:sz w:val="21"/>
          <w:szCs w:val="21"/>
          <w14:textFill>
            <w14:solidFill>
              <w14:schemeClr w14:val="tx1"/>
            </w14:solidFill>
          </w14:textFill>
        </w:rPr>
        <w:t>表4</w:t>
      </w:r>
      <w:r>
        <w:rPr>
          <w:rFonts w:ascii="仿宋_GB2312" w:hAnsi="仿宋" w:cs="仿宋"/>
          <w:b/>
          <w:bCs/>
          <w:snapToGrid w:val="0"/>
          <w:color w:val="000000" w:themeColor="text1"/>
          <w:spacing w:val="-5"/>
          <w:kern w:val="0"/>
          <w:sz w:val="21"/>
          <w:szCs w:val="21"/>
          <w14:textFill>
            <w14:solidFill>
              <w14:schemeClr w14:val="tx1"/>
            </w14:solidFill>
          </w14:textFill>
        </w:rPr>
        <w:t xml:space="preserve">.3-4  </w:t>
      </w:r>
      <w:r>
        <w:rPr>
          <w:rFonts w:hint="eastAsia" w:ascii="仿宋_GB2312" w:hAnsi="仿宋" w:cs="仿宋"/>
          <w:b/>
          <w:bCs/>
          <w:snapToGrid w:val="0"/>
          <w:color w:val="000000" w:themeColor="text1"/>
          <w:spacing w:val="-5"/>
          <w:kern w:val="0"/>
          <w:sz w:val="21"/>
          <w:szCs w:val="21"/>
          <w14:textFill>
            <w14:solidFill>
              <w14:schemeClr w14:val="tx1"/>
            </w14:solidFill>
          </w14:textFill>
        </w:rPr>
        <w:t xml:space="preserve">植被破坏型一般扰动地表土壤侵蚀模数测算 </w:t>
      </w:r>
      <w:r>
        <w:rPr>
          <w:rFonts w:ascii="仿宋_GB2312" w:hAnsi="仿宋" w:cs="仿宋"/>
          <w:b/>
          <w:bCs/>
          <w:snapToGrid w:val="0"/>
          <w:color w:val="000000" w:themeColor="text1"/>
          <w:spacing w:val="-5"/>
          <w:kern w:val="0"/>
          <w:sz w:val="21"/>
          <w:szCs w:val="21"/>
          <w14:textFill>
            <w14:solidFill>
              <w14:schemeClr w14:val="tx1"/>
            </w14:solidFill>
          </w14:textFill>
        </w:rPr>
        <w:t xml:space="preserve">  </w:t>
      </w:r>
      <w:r>
        <w:rPr>
          <w:rFonts w:hint="eastAsia" w:ascii="仿宋_GB2312" w:hAnsi="仿宋" w:cs="仿宋"/>
          <w:b/>
          <w:bCs/>
          <w:snapToGrid w:val="0"/>
          <w:color w:val="000000" w:themeColor="text1"/>
          <w:spacing w:val="-5"/>
          <w:kern w:val="0"/>
          <w:sz w:val="21"/>
          <w:szCs w:val="21"/>
          <w14:textFill>
            <w14:solidFill>
              <w14:schemeClr w14:val="tx1"/>
            </w14:solidFill>
          </w14:textFill>
        </w:rPr>
        <w:t>单位：</w:t>
      </w:r>
      <w:r>
        <w:rPr>
          <w:rFonts w:ascii="仿宋_GB2312" w:hAnsi="仿宋" w:cs="仿宋"/>
          <w:b/>
          <w:bCs/>
          <w:snapToGrid w:val="0"/>
          <w:color w:val="000000" w:themeColor="text1"/>
          <w:spacing w:val="-5"/>
          <w:kern w:val="0"/>
          <w:sz w:val="21"/>
          <w:szCs w:val="21"/>
          <w14:textFill>
            <w14:solidFill>
              <w14:schemeClr w14:val="tx1"/>
            </w14:solidFill>
          </w14:textFill>
        </w:rPr>
        <w:t>t/km</w:t>
      </w:r>
      <w:r>
        <w:rPr>
          <w:rFonts w:ascii="仿宋_GB2312" w:hAnsi="仿宋" w:cs="仿宋"/>
          <w:b/>
          <w:bCs/>
          <w:snapToGrid w:val="0"/>
          <w:color w:val="000000" w:themeColor="text1"/>
          <w:spacing w:val="-5"/>
          <w:kern w:val="0"/>
          <w:sz w:val="21"/>
          <w:szCs w:val="21"/>
          <w:vertAlign w:val="superscript"/>
          <w14:textFill>
            <w14:solidFill>
              <w14:schemeClr w14:val="tx1"/>
            </w14:solidFill>
          </w14:textFill>
        </w:rPr>
        <w:t>2</w:t>
      </w:r>
      <w:r>
        <w:rPr>
          <w:rFonts w:ascii="仿宋_GB2312" w:hAnsi="仿宋" w:cs="仿宋"/>
          <w:b/>
          <w:bCs/>
          <w:snapToGrid w:val="0"/>
          <w:color w:val="000000" w:themeColor="text1"/>
          <w:spacing w:val="-5"/>
          <w:kern w:val="0"/>
          <w:sz w:val="21"/>
          <w:szCs w:val="21"/>
          <w14:textFill>
            <w14:solidFill>
              <w14:schemeClr w14:val="tx1"/>
            </w14:solidFill>
          </w14:textFill>
        </w:rPr>
        <w:t>·a</w:t>
      </w:r>
    </w:p>
    <w:tbl>
      <w:tblPr>
        <w:tblStyle w:val="26"/>
        <w:tblW w:w="55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1"/>
        <w:gridCol w:w="1273"/>
        <w:gridCol w:w="1010"/>
        <w:gridCol w:w="888"/>
        <w:gridCol w:w="1252"/>
        <w:gridCol w:w="1016"/>
        <w:gridCol w:w="1200"/>
        <w:gridCol w:w="899"/>
        <w:gridCol w:w="1076"/>
      </w:tblGrid>
      <w:tr w14:paraId="2F8EB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416" w:type="pct"/>
            <w:vMerge w:val="restart"/>
            <w:shd w:val="clear" w:color="auto" w:fill="auto"/>
            <w:vAlign w:val="center"/>
          </w:tcPr>
          <w:p w14:paraId="2C767843">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预测单元</w:t>
            </w:r>
          </w:p>
        </w:tc>
        <w:tc>
          <w:tcPr>
            <w:tcW w:w="677" w:type="pct"/>
            <w:shd w:val="clear" w:color="auto" w:fill="auto"/>
            <w:vAlign w:val="center"/>
          </w:tcPr>
          <w:p w14:paraId="57F06E3E">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R</w:t>
            </w:r>
          </w:p>
        </w:tc>
        <w:tc>
          <w:tcPr>
            <w:tcW w:w="537" w:type="pct"/>
            <w:shd w:val="clear" w:color="auto" w:fill="auto"/>
            <w:vAlign w:val="center"/>
          </w:tcPr>
          <w:p w14:paraId="3DC21A70">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K</w:t>
            </w:r>
            <w:r>
              <w:rPr>
                <w:rFonts w:cs="Times New Roman"/>
                <w:color w:val="000000" w:themeColor="text1"/>
                <w:kern w:val="0"/>
                <w:sz w:val="18"/>
                <w:szCs w:val="18"/>
                <w:vertAlign w:val="subscript"/>
                <w14:textFill>
                  <w14:solidFill>
                    <w14:schemeClr w14:val="tx1"/>
                  </w14:solidFill>
                </w14:textFill>
              </w:rPr>
              <w:t>yd</w:t>
            </w:r>
          </w:p>
        </w:tc>
        <w:tc>
          <w:tcPr>
            <w:tcW w:w="472" w:type="pct"/>
            <w:shd w:val="clear" w:color="auto" w:fill="auto"/>
            <w:vAlign w:val="center"/>
          </w:tcPr>
          <w:p w14:paraId="5A7D135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L</w:t>
            </w:r>
            <w:r>
              <w:rPr>
                <w:rFonts w:cs="Times New Roman"/>
                <w:color w:val="000000" w:themeColor="text1"/>
                <w:kern w:val="0"/>
                <w:sz w:val="18"/>
                <w:szCs w:val="18"/>
                <w:vertAlign w:val="subscript"/>
                <w14:textFill>
                  <w14:solidFill>
                    <w14:schemeClr w14:val="tx1"/>
                  </w14:solidFill>
                </w14:textFill>
              </w:rPr>
              <w:t>y</w:t>
            </w:r>
          </w:p>
        </w:tc>
        <w:tc>
          <w:tcPr>
            <w:tcW w:w="666" w:type="pct"/>
            <w:shd w:val="clear" w:color="auto" w:fill="auto"/>
            <w:vAlign w:val="center"/>
          </w:tcPr>
          <w:p w14:paraId="0B5B52CA">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S</w:t>
            </w:r>
            <w:r>
              <w:rPr>
                <w:rFonts w:cs="Times New Roman"/>
                <w:color w:val="000000" w:themeColor="text1"/>
                <w:kern w:val="0"/>
                <w:sz w:val="18"/>
                <w:szCs w:val="18"/>
                <w:vertAlign w:val="subscript"/>
                <w14:textFill>
                  <w14:solidFill>
                    <w14:schemeClr w14:val="tx1"/>
                  </w14:solidFill>
                </w14:textFill>
              </w:rPr>
              <w:t>y</w:t>
            </w:r>
          </w:p>
        </w:tc>
        <w:tc>
          <w:tcPr>
            <w:tcW w:w="540" w:type="pct"/>
            <w:shd w:val="clear" w:color="auto" w:fill="auto"/>
            <w:vAlign w:val="center"/>
          </w:tcPr>
          <w:p w14:paraId="4983B79E">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B</w:t>
            </w:r>
          </w:p>
        </w:tc>
        <w:tc>
          <w:tcPr>
            <w:tcW w:w="638" w:type="pct"/>
            <w:shd w:val="clear" w:color="auto" w:fill="auto"/>
            <w:vAlign w:val="center"/>
          </w:tcPr>
          <w:p w14:paraId="5D2816FE">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E</w:t>
            </w:r>
          </w:p>
        </w:tc>
        <w:tc>
          <w:tcPr>
            <w:tcW w:w="478" w:type="pct"/>
            <w:shd w:val="clear" w:color="auto" w:fill="auto"/>
            <w:vAlign w:val="center"/>
          </w:tcPr>
          <w:p w14:paraId="6606EC02">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T</w:t>
            </w:r>
          </w:p>
        </w:tc>
        <w:tc>
          <w:tcPr>
            <w:tcW w:w="572" w:type="pct"/>
            <w:vMerge w:val="restart"/>
            <w:shd w:val="clear" w:color="auto" w:fill="auto"/>
            <w:vAlign w:val="center"/>
          </w:tcPr>
          <w:p w14:paraId="3298EB7C">
            <w:pPr>
              <w:widowControl/>
              <w:adjustRightInd/>
              <w:snapToGrid/>
              <w:spacing w:line="240" w:lineRule="auto"/>
              <w:ind w:firstLine="0" w:firstLineChars="0"/>
              <w:jc w:val="center"/>
              <w:rPr>
                <w:rFonts w:hint="eastAsia" w:ascii="仿宋_GB2312" w:hAnsi="宋体" w:cs="宋体"/>
                <w:b/>
                <w:bCs/>
                <w:color w:val="000000" w:themeColor="text1"/>
                <w:kern w:val="0"/>
                <w:sz w:val="18"/>
                <w:szCs w:val="18"/>
                <w14:textFill>
                  <w14:solidFill>
                    <w14:schemeClr w14:val="tx1"/>
                  </w14:solidFill>
                </w14:textFill>
              </w:rPr>
            </w:pPr>
            <w:r>
              <w:rPr>
                <w:rFonts w:hint="eastAsia" w:ascii="仿宋_GB2312" w:hAnsi="宋体" w:cs="宋体"/>
                <w:b/>
                <w:bCs/>
                <w:color w:val="000000" w:themeColor="text1"/>
                <w:kern w:val="0"/>
                <w:sz w:val="18"/>
                <w:szCs w:val="18"/>
                <w14:textFill>
                  <w14:solidFill>
                    <w14:schemeClr w14:val="tx1"/>
                  </w14:solidFill>
                </w14:textFill>
              </w:rPr>
              <w:t>侵蚀模数</w:t>
            </w:r>
          </w:p>
        </w:tc>
      </w:tr>
      <w:tr w14:paraId="140BD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416" w:type="pct"/>
            <w:vMerge w:val="continue"/>
            <w:vAlign w:val="center"/>
          </w:tcPr>
          <w:p w14:paraId="110DB6B7">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677" w:type="pct"/>
            <w:shd w:val="clear" w:color="auto" w:fill="auto"/>
            <w:vAlign w:val="center"/>
          </w:tcPr>
          <w:p w14:paraId="5627388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降雨侵蚀力因子</w:t>
            </w:r>
          </w:p>
        </w:tc>
        <w:tc>
          <w:tcPr>
            <w:tcW w:w="537" w:type="pct"/>
            <w:shd w:val="clear" w:color="auto" w:fill="auto"/>
            <w:vAlign w:val="center"/>
          </w:tcPr>
          <w:p w14:paraId="39B1BAFD">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土壤可蚀性因子</w:t>
            </w:r>
          </w:p>
        </w:tc>
        <w:tc>
          <w:tcPr>
            <w:tcW w:w="472" w:type="pct"/>
            <w:shd w:val="clear" w:color="auto" w:fill="auto"/>
            <w:vAlign w:val="center"/>
          </w:tcPr>
          <w:p w14:paraId="725F4B1B">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坡长因子</w:t>
            </w:r>
          </w:p>
        </w:tc>
        <w:tc>
          <w:tcPr>
            <w:tcW w:w="666" w:type="pct"/>
            <w:shd w:val="clear" w:color="auto" w:fill="auto"/>
            <w:vAlign w:val="center"/>
          </w:tcPr>
          <w:p w14:paraId="4CD14AC9">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坡度因子</w:t>
            </w:r>
          </w:p>
        </w:tc>
        <w:tc>
          <w:tcPr>
            <w:tcW w:w="540" w:type="pct"/>
            <w:shd w:val="clear" w:color="auto" w:fill="auto"/>
            <w:vAlign w:val="center"/>
          </w:tcPr>
          <w:p w14:paraId="142EE427">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植被因子</w:t>
            </w:r>
          </w:p>
        </w:tc>
        <w:tc>
          <w:tcPr>
            <w:tcW w:w="638" w:type="pct"/>
            <w:shd w:val="clear" w:color="auto" w:fill="auto"/>
            <w:vAlign w:val="center"/>
          </w:tcPr>
          <w:p w14:paraId="65F36B8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工程措施因子</w:t>
            </w:r>
          </w:p>
        </w:tc>
        <w:tc>
          <w:tcPr>
            <w:tcW w:w="478" w:type="pct"/>
            <w:shd w:val="clear" w:color="auto" w:fill="auto"/>
            <w:vAlign w:val="center"/>
          </w:tcPr>
          <w:p w14:paraId="46721A0D">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耕作措施因子</w:t>
            </w:r>
          </w:p>
        </w:tc>
        <w:tc>
          <w:tcPr>
            <w:tcW w:w="572" w:type="pct"/>
            <w:vMerge w:val="continue"/>
            <w:vAlign w:val="center"/>
          </w:tcPr>
          <w:p w14:paraId="225E3B0B">
            <w:pPr>
              <w:widowControl/>
              <w:adjustRightInd/>
              <w:snapToGrid/>
              <w:spacing w:line="240" w:lineRule="auto"/>
              <w:ind w:firstLine="0" w:firstLineChars="0"/>
              <w:jc w:val="left"/>
              <w:rPr>
                <w:rFonts w:hint="eastAsia" w:ascii="仿宋_GB2312" w:hAnsi="宋体" w:cs="宋体"/>
                <w:b/>
                <w:bCs/>
                <w:color w:val="000000" w:themeColor="text1"/>
                <w:kern w:val="0"/>
                <w:sz w:val="18"/>
                <w:szCs w:val="18"/>
                <w14:textFill>
                  <w14:solidFill>
                    <w14:schemeClr w14:val="tx1"/>
                  </w14:solidFill>
                </w14:textFill>
              </w:rPr>
            </w:pPr>
          </w:p>
        </w:tc>
      </w:tr>
      <w:tr w14:paraId="2DAE2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16" w:type="pct"/>
            <w:shd w:val="clear" w:color="auto" w:fill="auto"/>
            <w:vAlign w:val="center"/>
          </w:tcPr>
          <w:p w14:paraId="24868B14">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景观绿化工程区</w:t>
            </w:r>
          </w:p>
        </w:tc>
        <w:tc>
          <w:tcPr>
            <w:tcW w:w="1273" w:type="dxa"/>
            <w:shd w:val="clear" w:color="auto" w:fill="auto"/>
            <w:vAlign w:val="center"/>
          </w:tcPr>
          <w:p w14:paraId="58923AE2">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4315.2</w:t>
            </w:r>
          </w:p>
        </w:tc>
        <w:tc>
          <w:tcPr>
            <w:tcW w:w="1010" w:type="dxa"/>
            <w:shd w:val="clear" w:color="auto" w:fill="auto"/>
            <w:vAlign w:val="center"/>
          </w:tcPr>
          <w:p w14:paraId="7CE9C7EA">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0.007</w:t>
            </w:r>
          </w:p>
        </w:tc>
        <w:tc>
          <w:tcPr>
            <w:tcW w:w="888" w:type="dxa"/>
            <w:shd w:val="clear" w:color="auto" w:fill="auto"/>
            <w:vAlign w:val="center"/>
          </w:tcPr>
          <w:p w14:paraId="2FA757B7">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1.99</w:t>
            </w:r>
          </w:p>
        </w:tc>
        <w:tc>
          <w:tcPr>
            <w:tcW w:w="1252" w:type="dxa"/>
            <w:shd w:val="clear" w:color="auto" w:fill="auto"/>
            <w:vAlign w:val="center"/>
          </w:tcPr>
          <w:p w14:paraId="41DCDD20">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1.38</w:t>
            </w:r>
          </w:p>
        </w:tc>
        <w:tc>
          <w:tcPr>
            <w:tcW w:w="1016" w:type="dxa"/>
            <w:shd w:val="clear" w:color="auto" w:fill="auto"/>
            <w:vAlign w:val="center"/>
          </w:tcPr>
          <w:p w14:paraId="511BDFB4">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0.345</w:t>
            </w:r>
          </w:p>
        </w:tc>
        <w:tc>
          <w:tcPr>
            <w:tcW w:w="1200" w:type="dxa"/>
            <w:shd w:val="clear" w:color="auto" w:fill="auto"/>
            <w:vAlign w:val="center"/>
          </w:tcPr>
          <w:p w14:paraId="3561D661">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w:t>
            </w:r>
          </w:p>
        </w:tc>
        <w:tc>
          <w:tcPr>
            <w:tcW w:w="899" w:type="dxa"/>
            <w:shd w:val="clear" w:color="auto" w:fill="auto"/>
            <w:vAlign w:val="center"/>
          </w:tcPr>
          <w:p w14:paraId="056A26DA">
            <w:pPr>
              <w:widowControl/>
              <w:ind w:firstLine="0" w:firstLineChars="0"/>
              <w:jc w:val="center"/>
              <w:textAlignment w:val="center"/>
              <w:rPr>
                <w:rFonts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0.152</w:t>
            </w:r>
          </w:p>
        </w:tc>
        <w:tc>
          <w:tcPr>
            <w:tcW w:w="1076" w:type="dxa"/>
            <w:shd w:val="clear" w:color="auto" w:fill="auto"/>
            <w:vAlign w:val="center"/>
          </w:tcPr>
          <w:p w14:paraId="546123FA">
            <w:pPr>
              <w:widowControl/>
              <w:ind w:firstLine="0" w:firstLineChars="0"/>
              <w:jc w:val="center"/>
              <w:textAlignment w:val="center"/>
              <w:rPr>
                <w:rFonts w:cs="Times New Roman"/>
                <w:b/>
                <w:bCs/>
                <w:color w:val="000000" w:themeColor="text1"/>
                <w:kern w:val="0"/>
                <w:sz w:val="18"/>
                <w:szCs w:val="18"/>
                <w14:textFill>
                  <w14:solidFill>
                    <w14:schemeClr w14:val="tx1"/>
                  </w14:solidFill>
                </w14:textFill>
              </w:rPr>
            </w:pPr>
            <w:r>
              <w:rPr>
                <w:rFonts w:ascii="仿宋_GB2312" w:hAnsi="宋体" w:cs="仿宋_GB2312"/>
                <w:b/>
                <w:bCs/>
                <w:color w:val="000000"/>
                <w:kern w:val="0"/>
                <w:sz w:val="18"/>
                <w:szCs w:val="18"/>
                <w:lang w:bidi="ar"/>
              </w:rPr>
              <w:t>435.00</w:t>
            </w:r>
          </w:p>
        </w:tc>
      </w:tr>
    </w:tbl>
    <w:p w14:paraId="0C87A09B">
      <w:pPr>
        <w:widowControl/>
        <w:autoSpaceDE w:val="0"/>
        <w:autoSpaceDN w:val="0"/>
        <w:spacing w:line="384" w:lineRule="auto"/>
        <w:ind w:firstLine="1004" w:firstLineChars="500"/>
        <w:textAlignment w:val="baseline"/>
        <w:rPr>
          <w:rFonts w:hint="eastAsia" w:ascii="仿宋_GB2312" w:hAnsi="仿宋" w:cs="仿宋"/>
          <w:b/>
          <w:bCs/>
          <w:snapToGrid w:val="0"/>
          <w:color w:val="000000" w:themeColor="text1"/>
          <w:spacing w:val="-5"/>
          <w:kern w:val="0"/>
          <w:sz w:val="21"/>
          <w:szCs w:val="21"/>
          <w14:textFill>
            <w14:solidFill>
              <w14:schemeClr w14:val="tx1"/>
            </w14:solidFill>
          </w14:textFill>
        </w:rPr>
      </w:pPr>
      <w:r>
        <w:rPr>
          <w:rFonts w:hint="eastAsia" w:ascii="仿宋_GB2312" w:hAnsi="仿宋" w:cs="仿宋"/>
          <w:b/>
          <w:bCs/>
          <w:snapToGrid w:val="0"/>
          <w:color w:val="000000" w:themeColor="text1"/>
          <w:spacing w:val="-5"/>
          <w:kern w:val="0"/>
          <w:sz w:val="21"/>
          <w:szCs w:val="21"/>
          <w14:textFill>
            <w14:solidFill>
              <w14:schemeClr w14:val="tx1"/>
            </w14:solidFill>
          </w14:textFill>
        </w:rPr>
        <w:t>表4</w:t>
      </w:r>
      <w:r>
        <w:rPr>
          <w:rFonts w:ascii="仿宋_GB2312" w:hAnsi="仿宋" w:cs="仿宋"/>
          <w:b/>
          <w:bCs/>
          <w:snapToGrid w:val="0"/>
          <w:color w:val="000000" w:themeColor="text1"/>
          <w:spacing w:val="-5"/>
          <w:kern w:val="0"/>
          <w:sz w:val="21"/>
          <w:szCs w:val="21"/>
          <w14:textFill>
            <w14:solidFill>
              <w14:schemeClr w14:val="tx1"/>
            </w14:solidFill>
          </w14:textFill>
        </w:rPr>
        <w:t xml:space="preserve">.3-5  </w:t>
      </w:r>
      <w:r>
        <w:rPr>
          <w:rFonts w:hint="eastAsia" w:ascii="仿宋_GB2312" w:hAnsi="仿宋" w:cs="仿宋"/>
          <w:b/>
          <w:bCs/>
          <w:snapToGrid w:val="0"/>
          <w:color w:val="000000" w:themeColor="text1"/>
          <w:spacing w:val="-5"/>
          <w:kern w:val="0"/>
          <w:sz w:val="21"/>
          <w:szCs w:val="21"/>
          <w14:textFill>
            <w14:solidFill>
              <w14:schemeClr w14:val="tx1"/>
            </w14:solidFill>
          </w14:textFill>
        </w:rPr>
        <w:t xml:space="preserve">上方无来水工程开挖面土壤侵蚀模数测算 </w:t>
      </w:r>
      <w:r>
        <w:rPr>
          <w:rFonts w:ascii="仿宋_GB2312" w:hAnsi="仿宋" w:cs="仿宋"/>
          <w:b/>
          <w:bCs/>
          <w:snapToGrid w:val="0"/>
          <w:color w:val="000000" w:themeColor="text1"/>
          <w:spacing w:val="-5"/>
          <w:kern w:val="0"/>
          <w:sz w:val="21"/>
          <w:szCs w:val="21"/>
          <w14:textFill>
            <w14:solidFill>
              <w14:schemeClr w14:val="tx1"/>
            </w14:solidFill>
          </w14:textFill>
        </w:rPr>
        <w:t xml:space="preserve">  </w:t>
      </w:r>
      <w:r>
        <w:rPr>
          <w:rFonts w:hint="eastAsia" w:ascii="仿宋_GB2312" w:hAnsi="仿宋" w:cs="仿宋"/>
          <w:b/>
          <w:bCs/>
          <w:snapToGrid w:val="0"/>
          <w:color w:val="000000" w:themeColor="text1"/>
          <w:spacing w:val="-5"/>
          <w:kern w:val="0"/>
          <w:sz w:val="21"/>
          <w:szCs w:val="21"/>
          <w14:textFill>
            <w14:solidFill>
              <w14:schemeClr w14:val="tx1"/>
            </w14:solidFill>
          </w14:textFill>
        </w:rPr>
        <w:t>单位：</w:t>
      </w:r>
      <w:r>
        <w:rPr>
          <w:rFonts w:ascii="仿宋_GB2312" w:hAnsi="仿宋" w:cs="仿宋"/>
          <w:b/>
          <w:bCs/>
          <w:snapToGrid w:val="0"/>
          <w:color w:val="000000" w:themeColor="text1"/>
          <w:spacing w:val="-5"/>
          <w:kern w:val="0"/>
          <w:sz w:val="21"/>
          <w:szCs w:val="21"/>
          <w14:textFill>
            <w14:solidFill>
              <w14:schemeClr w14:val="tx1"/>
            </w14:solidFill>
          </w14:textFill>
        </w:rPr>
        <w:t>t/km</w:t>
      </w:r>
      <w:r>
        <w:rPr>
          <w:rFonts w:ascii="仿宋_GB2312" w:hAnsi="仿宋" w:cs="仿宋"/>
          <w:b/>
          <w:bCs/>
          <w:snapToGrid w:val="0"/>
          <w:color w:val="000000" w:themeColor="text1"/>
          <w:spacing w:val="-5"/>
          <w:kern w:val="0"/>
          <w:sz w:val="21"/>
          <w:szCs w:val="21"/>
          <w:vertAlign w:val="superscript"/>
          <w14:textFill>
            <w14:solidFill>
              <w14:schemeClr w14:val="tx1"/>
            </w14:solidFill>
          </w14:textFill>
        </w:rPr>
        <w:t>2</w:t>
      </w:r>
      <w:r>
        <w:rPr>
          <w:rFonts w:ascii="仿宋_GB2312" w:hAnsi="仿宋" w:cs="仿宋"/>
          <w:b/>
          <w:bCs/>
          <w:snapToGrid w:val="0"/>
          <w:color w:val="000000" w:themeColor="text1"/>
          <w:spacing w:val="-5"/>
          <w:kern w:val="0"/>
          <w:sz w:val="21"/>
          <w:szCs w:val="21"/>
          <w14:textFill>
            <w14:solidFill>
              <w14:schemeClr w14:val="tx1"/>
            </w14:solidFill>
          </w14:textFill>
        </w:rPr>
        <w:t>·a</w:t>
      </w:r>
    </w:p>
    <w:tbl>
      <w:tblPr>
        <w:tblStyle w:val="26"/>
        <w:tblW w:w="94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1559"/>
        <w:gridCol w:w="1583"/>
        <w:gridCol w:w="1900"/>
        <w:gridCol w:w="1540"/>
        <w:gridCol w:w="1641"/>
      </w:tblGrid>
      <w:tr w14:paraId="0CE29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229" w:type="dxa"/>
            <w:vMerge w:val="restart"/>
            <w:shd w:val="clear" w:color="auto" w:fill="auto"/>
            <w:vAlign w:val="center"/>
          </w:tcPr>
          <w:p w14:paraId="4A292370">
            <w:pPr>
              <w:widowControl/>
              <w:adjustRightInd/>
              <w:snapToGrid/>
              <w:spacing w:line="240" w:lineRule="auto"/>
              <w:ind w:firstLine="0" w:firstLineChars="0"/>
              <w:jc w:val="center"/>
              <w:rPr>
                <w:rFonts w:hint="eastAsia" w:ascii="仿宋_GB2312" w:hAnsi="宋体" w:cs="宋体"/>
                <w:b/>
                <w:bCs/>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预测单元</w:t>
            </w:r>
          </w:p>
        </w:tc>
        <w:tc>
          <w:tcPr>
            <w:tcW w:w="1559" w:type="dxa"/>
            <w:shd w:val="clear" w:color="auto" w:fill="auto"/>
            <w:vAlign w:val="center"/>
          </w:tcPr>
          <w:p w14:paraId="27416451">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R</w:t>
            </w:r>
          </w:p>
        </w:tc>
        <w:tc>
          <w:tcPr>
            <w:tcW w:w="1583" w:type="dxa"/>
            <w:shd w:val="clear" w:color="auto" w:fill="auto"/>
            <w:vAlign w:val="center"/>
          </w:tcPr>
          <w:p w14:paraId="12B24F18">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G</w:t>
            </w:r>
            <w:r>
              <w:rPr>
                <w:rFonts w:cs="Times New Roman"/>
                <w:color w:val="000000" w:themeColor="text1"/>
                <w:kern w:val="0"/>
                <w:sz w:val="18"/>
                <w:szCs w:val="18"/>
                <w:vertAlign w:val="subscript"/>
                <w14:textFill>
                  <w14:solidFill>
                    <w14:schemeClr w14:val="tx1"/>
                  </w14:solidFill>
                </w14:textFill>
              </w:rPr>
              <w:t>kw</w:t>
            </w:r>
          </w:p>
        </w:tc>
        <w:tc>
          <w:tcPr>
            <w:tcW w:w="1900" w:type="dxa"/>
            <w:shd w:val="clear" w:color="auto" w:fill="auto"/>
            <w:vAlign w:val="center"/>
          </w:tcPr>
          <w:p w14:paraId="5D911320">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L</w:t>
            </w:r>
            <w:r>
              <w:rPr>
                <w:rFonts w:cs="Times New Roman"/>
                <w:color w:val="000000" w:themeColor="text1"/>
                <w:kern w:val="0"/>
                <w:sz w:val="18"/>
                <w:szCs w:val="18"/>
                <w:vertAlign w:val="subscript"/>
                <w14:textFill>
                  <w14:solidFill>
                    <w14:schemeClr w14:val="tx1"/>
                  </w14:solidFill>
                </w14:textFill>
              </w:rPr>
              <w:t>kw</w:t>
            </w:r>
          </w:p>
        </w:tc>
        <w:tc>
          <w:tcPr>
            <w:tcW w:w="1540" w:type="dxa"/>
            <w:shd w:val="clear" w:color="auto" w:fill="auto"/>
            <w:vAlign w:val="center"/>
          </w:tcPr>
          <w:p w14:paraId="21979070">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S</w:t>
            </w:r>
            <w:r>
              <w:rPr>
                <w:rFonts w:cs="Times New Roman"/>
                <w:color w:val="000000" w:themeColor="text1"/>
                <w:kern w:val="0"/>
                <w:sz w:val="18"/>
                <w:szCs w:val="18"/>
                <w:vertAlign w:val="subscript"/>
                <w14:textFill>
                  <w14:solidFill>
                    <w14:schemeClr w14:val="tx1"/>
                  </w14:solidFill>
                </w14:textFill>
              </w:rPr>
              <w:t>kw</w:t>
            </w:r>
          </w:p>
        </w:tc>
        <w:tc>
          <w:tcPr>
            <w:tcW w:w="1641" w:type="dxa"/>
            <w:vMerge w:val="restart"/>
            <w:shd w:val="clear" w:color="auto" w:fill="auto"/>
            <w:vAlign w:val="center"/>
          </w:tcPr>
          <w:p w14:paraId="4E8CDC0C">
            <w:pPr>
              <w:widowControl/>
              <w:adjustRightInd/>
              <w:snapToGrid/>
              <w:spacing w:line="240" w:lineRule="auto"/>
              <w:ind w:firstLine="0" w:firstLineChars="0"/>
              <w:jc w:val="center"/>
              <w:rPr>
                <w:rFonts w:hint="eastAsia" w:ascii="仿宋_GB2312" w:hAnsi="宋体" w:cs="宋体"/>
                <w:b/>
                <w:bCs/>
                <w:color w:val="000000" w:themeColor="text1"/>
                <w:kern w:val="0"/>
                <w:sz w:val="18"/>
                <w:szCs w:val="18"/>
                <w14:textFill>
                  <w14:solidFill>
                    <w14:schemeClr w14:val="tx1"/>
                  </w14:solidFill>
                </w14:textFill>
              </w:rPr>
            </w:pPr>
            <w:r>
              <w:rPr>
                <w:rFonts w:hint="eastAsia" w:ascii="仿宋_GB2312" w:hAnsi="宋体" w:cs="宋体"/>
                <w:b/>
                <w:bCs/>
                <w:color w:val="000000" w:themeColor="text1"/>
                <w:kern w:val="0"/>
                <w:sz w:val="18"/>
                <w:szCs w:val="18"/>
                <w14:textFill>
                  <w14:solidFill>
                    <w14:schemeClr w14:val="tx1"/>
                  </w14:solidFill>
                </w14:textFill>
              </w:rPr>
              <w:t>侵蚀模数</w:t>
            </w:r>
          </w:p>
        </w:tc>
      </w:tr>
      <w:tr w14:paraId="1A02E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1229" w:type="dxa"/>
            <w:vMerge w:val="continue"/>
            <w:vAlign w:val="center"/>
          </w:tcPr>
          <w:p w14:paraId="6CC18CAB">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1559" w:type="dxa"/>
            <w:shd w:val="clear" w:color="auto" w:fill="auto"/>
            <w:vAlign w:val="center"/>
          </w:tcPr>
          <w:p w14:paraId="583E7368">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降雨侵蚀力因子</w:t>
            </w:r>
          </w:p>
          <w:p w14:paraId="6EDE3D36">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w:t>
            </w:r>
            <w:r>
              <w:rPr>
                <w:rFonts w:ascii="仿宋_GB2312" w:hAnsi="宋体" w:cs="宋体"/>
                <w:color w:val="000000" w:themeColor="text1"/>
                <w:kern w:val="0"/>
                <w:sz w:val="18"/>
                <w:szCs w:val="18"/>
                <w14:textFill>
                  <w14:solidFill>
                    <w14:schemeClr w14:val="tx1"/>
                  </w14:solidFill>
                </w14:textFill>
              </w:rPr>
              <w:t>0.067P</w:t>
            </w:r>
            <w:r>
              <w:rPr>
                <w:rFonts w:hint="eastAsia" w:ascii="仿宋_GB2312" w:hAnsi="宋体" w:cs="宋体"/>
                <w:color w:val="000000" w:themeColor="text1"/>
                <w:kern w:val="0"/>
                <w:sz w:val="18"/>
                <w:szCs w:val="18"/>
                <w:vertAlign w:val="subscript"/>
                <w14:textFill>
                  <w14:solidFill>
                    <w14:schemeClr w14:val="tx1"/>
                  </w14:solidFill>
                </w14:textFill>
              </w:rPr>
              <w:t>d</w:t>
            </w:r>
            <w:r>
              <w:rPr>
                <w:rFonts w:ascii="仿宋_GB2312" w:hAnsi="宋体" w:cs="宋体"/>
                <w:color w:val="000000" w:themeColor="text1"/>
                <w:kern w:val="0"/>
                <w:sz w:val="18"/>
                <w:szCs w:val="18"/>
                <w:vertAlign w:val="superscript"/>
                <w14:textFill>
                  <w14:solidFill>
                    <w14:schemeClr w14:val="tx1"/>
                  </w14:solidFill>
                </w14:textFill>
              </w:rPr>
              <w:t>1.627</w:t>
            </w:r>
            <w:r>
              <w:rPr>
                <w:rFonts w:ascii="仿宋_GB2312" w:hAnsi="宋体" w:cs="宋体"/>
                <w:color w:val="000000" w:themeColor="text1"/>
                <w:kern w:val="0"/>
                <w:sz w:val="18"/>
                <w:szCs w:val="18"/>
                <w14:textFill>
                  <w14:solidFill>
                    <w14:schemeClr w14:val="tx1"/>
                  </w14:solidFill>
                </w14:textFill>
              </w:rPr>
              <w:t>)</w:t>
            </w:r>
          </w:p>
        </w:tc>
        <w:tc>
          <w:tcPr>
            <w:tcW w:w="1583" w:type="dxa"/>
            <w:shd w:val="clear" w:color="auto" w:fill="auto"/>
            <w:vAlign w:val="center"/>
          </w:tcPr>
          <w:p w14:paraId="5EDF380D">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上方无来水工程开挖面土质因子</w:t>
            </w:r>
          </w:p>
        </w:tc>
        <w:tc>
          <w:tcPr>
            <w:tcW w:w="1900" w:type="dxa"/>
            <w:shd w:val="clear" w:color="auto" w:fill="auto"/>
            <w:vAlign w:val="center"/>
          </w:tcPr>
          <w:p w14:paraId="3476393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上方无来水坡长因子</w:t>
            </w:r>
          </w:p>
        </w:tc>
        <w:tc>
          <w:tcPr>
            <w:tcW w:w="1540" w:type="dxa"/>
            <w:shd w:val="clear" w:color="auto" w:fill="auto"/>
            <w:vAlign w:val="center"/>
          </w:tcPr>
          <w:p w14:paraId="367ED64B">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上方无来水坡度因子</w:t>
            </w:r>
          </w:p>
        </w:tc>
        <w:tc>
          <w:tcPr>
            <w:tcW w:w="1641" w:type="dxa"/>
            <w:vMerge w:val="continue"/>
            <w:vAlign w:val="center"/>
          </w:tcPr>
          <w:p w14:paraId="3AEFBBC3">
            <w:pPr>
              <w:widowControl/>
              <w:adjustRightInd/>
              <w:snapToGrid/>
              <w:spacing w:line="240" w:lineRule="auto"/>
              <w:ind w:firstLine="0" w:firstLineChars="0"/>
              <w:jc w:val="left"/>
              <w:rPr>
                <w:rFonts w:hint="eastAsia" w:ascii="仿宋_GB2312" w:hAnsi="宋体" w:cs="宋体"/>
                <w:b/>
                <w:bCs/>
                <w:color w:val="000000" w:themeColor="text1"/>
                <w:kern w:val="0"/>
                <w:sz w:val="18"/>
                <w:szCs w:val="18"/>
                <w14:textFill>
                  <w14:solidFill>
                    <w14:schemeClr w14:val="tx1"/>
                  </w14:solidFill>
                </w14:textFill>
              </w:rPr>
            </w:pPr>
          </w:p>
        </w:tc>
      </w:tr>
      <w:tr w14:paraId="7BEA9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229" w:type="dxa"/>
            <w:shd w:val="clear" w:color="auto" w:fill="auto"/>
            <w:vAlign w:val="center"/>
          </w:tcPr>
          <w:p w14:paraId="7CE64A1A">
            <w:pPr>
              <w:widowControl/>
              <w:adjustRightInd/>
              <w:snapToGrid/>
              <w:spacing w:line="240" w:lineRule="auto"/>
              <w:ind w:firstLine="0" w:firstLineChars="0"/>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地下工程区</w:t>
            </w:r>
          </w:p>
        </w:tc>
        <w:tc>
          <w:tcPr>
            <w:tcW w:w="1559" w:type="dxa"/>
            <w:shd w:val="clear" w:color="auto" w:fill="auto"/>
            <w:vAlign w:val="center"/>
          </w:tcPr>
          <w:p w14:paraId="29B5B07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4315.2</w:t>
            </w:r>
          </w:p>
        </w:tc>
        <w:tc>
          <w:tcPr>
            <w:tcW w:w="1583" w:type="dxa"/>
            <w:shd w:val="clear" w:color="auto" w:fill="auto"/>
            <w:vAlign w:val="center"/>
          </w:tcPr>
          <w:p w14:paraId="3A40C517">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0.012</w:t>
            </w:r>
          </w:p>
        </w:tc>
        <w:tc>
          <w:tcPr>
            <w:tcW w:w="1900" w:type="dxa"/>
            <w:shd w:val="clear" w:color="auto" w:fill="auto"/>
            <w:vAlign w:val="center"/>
          </w:tcPr>
          <w:p w14:paraId="61D5CBBC">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w:t>
            </w:r>
            <w:r>
              <w:rPr>
                <w:rFonts w:eastAsia="宋体" w:cs="Times New Roman"/>
                <w:color w:val="000000" w:themeColor="text1"/>
                <w:kern w:val="0"/>
                <w:sz w:val="18"/>
                <w:szCs w:val="18"/>
                <w14:textFill>
                  <w14:solidFill>
                    <w14:schemeClr w14:val="tx1"/>
                  </w14:solidFill>
                </w14:textFill>
              </w:rPr>
              <w:t>.68</w:t>
            </w:r>
          </w:p>
        </w:tc>
        <w:tc>
          <w:tcPr>
            <w:tcW w:w="1540" w:type="dxa"/>
            <w:shd w:val="clear" w:color="auto" w:fill="auto"/>
            <w:vAlign w:val="center"/>
          </w:tcPr>
          <w:p w14:paraId="61F5D6F8">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w:t>
            </w:r>
            <w:r>
              <w:rPr>
                <w:rFonts w:eastAsia="宋体" w:cs="Times New Roman"/>
                <w:color w:val="000000" w:themeColor="text1"/>
                <w:kern w:val="0"/>
                <w:sz w:val="18"/>
                <w:szCs w:val="18"/>
                <w14:textFill>
                  <w14:solidFill>
                    <w14:schemeClr w14:val="tx1"/>
                  </w14:solidFill>
                </w14:textFill>
              </w:rPr>
              <w:t>8</w:t>
            </w:r>
            <w:r>
              <w:rPr>
                <w:rFonts w:hint="eastAsia" w:eastAsia="宋体" w:cs="Times New Roman"/>
                <w:color w:val="000000" w:themeColor="text1"/>
                <w:kern w:val="0"/>
                <w:sz w:val="18"/>
                <w:szCs w:val="18"/>
                <w14:textFill>
                  <w14:solidFill>
                    <w14:schemeClr w14:val="tx1"/>
                  </w14:solidFill>
                </w14:textFill>
              </w:rPr>
              <w:t>2</w:t>
            </w:r>
          </w:p>
        </w:tc>
        <w:tc>
          <w:tcPr>
            <w:tcW w:w="1641" w:type="dxa"/>
            <w:shd w:val="clear" w:color="auto" w:fill="auto"/>
            <w:vAlign w:val="center"/>
          </w:tcPr>
          <w:p w14:paraId="2F44C29C">
            <w:pPr>
              <w:widowControl/>
              <w:ind w:firstLine="0" w:firstLineChars="0"/>
              <w:jc w:val="center"/>
              <w:textAlignment w:val="center"/>
              <w:rPr>
                <w:rFonts w:hint="eastAsia" w:ascii="仿宋_GB2312" w:hAnsi="宋体" w:cs="仿宋_GB2312"/>
                <w:b/>
                <w:bCs/>
                <w:color w:val="000000"/>
                <w:sz w:val="18"/>
                <w:szCs w:val="18"/>
              </w:rPr>
            </w:pPr>
            <w:r>
              <w:rPr>
                <w:rFonts w:ascii="仿宋_GB2312" w:hAnsi="宋体" w:cs="仿宋_GB2312"/>
                <w:b/>
                <w:bCs/>
                <w:color w:val="000000"/>
                <w:kern w:val="0"/>
                <w:sz w:val="18"/>
                <w:szCs w:val="18"/>
                <w:lang w:bidi="ar"/>
              </w:rPr>
              <w:t>2887.39</w:t>
            </w:r>
          </w:p>
        </w:tc>
      </w:tr>
    </w:tbl>
    <w:p w14:paraId="72C8FD8A">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.3.4</w:t>
      </w:r>
      <w:r>
        <w:rPr>
          <w:rFonts w:hint="eastAsia"/>
          <w:color w:val="000000" w:themeColor="text1"/>
          <w14:textFill>
            <w14:solidFill>
              <w14:schemeClr w14:val="tx1"/>
            </w14:solidFill>
          </w14:textFill>
        </w:rPr>
        <w:t>调查/预测结果</w:t>
      </w:r>
    </w:p>
    <w:p w14:paraId="23B38F3F">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.3.4.1 </w:t>
      </w:r>
      <w:r>
        <w:rPr>
          <w:rFonts w:hint="eastAsia"/>
          <w:color w:val="000000" w:themeColor="text1"/>
          <w14:textFill>
            <w14:solidFill>
              <w14:schemeClr w14:val="tx1"/>
            </w14:solidFill>
          </w14:textFill>
        </w:rPr>
        <w:t>土壤流失量调查</w:t>
      </w:r>
    </w:p>
    <w:p w14:paraId="3A8B1DF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2024年5 月，我公司工作人员参照主体施工资料，对本项目实施的水土保持措施进行了现场调查和评估，现场调查主要以查阅施工资料、走访周边群众形式进行。调查期间未发生水土流失事故，项目区施工营地已经全部完成，建筑主体结构已施工完成，通过回顾调查复核，项目区现场场地较为平整，项目采取了临时排水、车辆冲洗设施、临时苫盖等水土保持措施，有较好的水土保持效果，经过调查评估，在项目施工调查期内水土流失为轻度。</w:t>
      </w:r>
    </w:p>
    <w:p w14:paraId="06091115">
      <w:pPr>
        <w:ind w:firstLine="422"/>
        <w:jc w:val="center"/>
        <w:rPr>
          <w:rFonts w:cs="Times New Roman"/>
          <w:b/>
          <w:bCs/>
          <w:color w:val="000000" w:themeColor="text1"/>
          <w:sz w:val="21"/>
          <w:szCs w:val="21"/>
          <w14:textFill>
            <w14:solidFill>
              <w14:schemeClr w14:val="tx1"/>
            </w14:solidFill>
          </w14:textFill>
        </w:rPr>
      </w:pPr>
      <w:bookmarkStart w:id="99" w:name="_Hlk144306527"/>
      <w:r>
        <w:rPr>
          <w:rFonts w:hint="eastAsia" w:cs="Times New Roman"/>
          <w:b/>
          <w:bCs/>
          <w:color w:val="000000" w:themeColor="text1"/>
          <w:sz w:val="21"/>
          <w:szCs w:val="21"/>
          <w14:textFill>
            <w14:solidFill>
              <w14:schemeClr w14:val="tx1"/>
            </w14:solidFill>
          </w14:textFill>
        </w:rPr>
        <w:t>表4</w:t>
      </w:r>
      <w:r>
        <w:rPr>
          <w:rFonts w:cs="Times New Roman"/>
          <w:b/>
          <w:bCs/>
          <w:color w:val="000000" w:themeColor="text1"/>
          <w:sz w:val="21"/>
          <w:szCs w:val="21"/>
          <w14:textFill>
            <w14:solidFill>
              <w14:schemeClr w14:val="tx1"/>
            </w14:solidFill>
          </w14:textFill>
        </w:rPr>
        <w:t xml:space="preserve">.3-6  </w:t>
      </w:r>
      <w:r>
        <w:rPr>
          <w:rFonts w:hint="eastAsia" w:cs="Times New Roman"/>
          <w:b/>
          <w:bCs/>
          <w:color w:val="000000" w:themeColor="text1"/>
          <w:sz w:val="21"/>
          <w:szCs w:val="21"/>
          <w14:textFill>
            <w14:solidFill>
              <w14:schemeClr w14:val="tx1"/>
            </w14:solidFill>
          </w14:textFill>
        </w:rPr>
        <w:t>项目区土壤流失量调查汇总表</w:t>
      </w:r>
    </w:p>
    <w:bookmarkEnd w:id="99"/>
    <w:tbl>
      <w:tblPr>
        <w:tblStyle w:val="26"/>
        <w:tblW w:w="632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1123"/>
        <w:gridCol w:w="688"/>
        <w:gridCol w:w="987"/>
        <w:gridCol w:w="1321"/>
        <w:gridCol w:w="1774"/>
        <w:gridCol w:w="1321"/>
        <w:gridCol w:w="690"/>
        <w:gridCol w:w="892"/>
        <w:gridCol w:w="791"/>
        <w:gridCol w:w="789"/>
      </w:tblGrid>
      <w:tr w14:paraId="2BF57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 w:hRule="atLeast"/>
          <w:jc w:val="center"/>
        </w:trPr>
        <w:tc>
          <w:tcPr>
            <w:tcW w:w="183" w:type="pct"/>
            <w:shd w:val="clear" w:color="auto" w:fill="auto"/>
            <w:vAlign w:val="center"/>
          </w:tcPr>
          <w:p w14:paraId="24E0F446">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序号</w:t>
            </w:r>
          </w:p>
        </w:tc>
        <w:tc>
          <w:tcPr>
            <w:tcW w:w="521" w:type="pct"/>
            <w:shd w:val="clear" w:color="auto" w:fill="auto"/>
            <w:vAlign w:val="center"/>
          </w:tcPr>
          <w:p w14:paraId="6507EA42">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调查单元</w:t>
            </w:r>
          </w:p>
        </w:tc>
        <w:tc>
          <w:tcPr>
            <w:tcW w:w="319" w:type="pct"/>
            <w:shd w:val="clear" w:color="auto" w:fill="auto"/>
            <w:vAlign w:val="center"/>
          </w:tcPr>
          <w:p w14:paraId="7BB2D518">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调查时段</w:t>
            </w:r>
          </w:p>
        </w:tc>
        <w:tc>
          <w:tcPr>
            <w:tcW w:w="458" w:type="pct"/>
            <w:shd w:val="clear" w:color="auto" w:fill="auto"/>
            <w:vAlign w:val="center"/>
          </w:tcPr>
          <w:p w14:paraId="16A5E1D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侵蚀面积（hm</w:t>
            </w:r>
            <w:r>
              <w:rPr>
                <w:rFonts w:hint="eastAsia" w:ascii="仿宋_GB2312" w:hAnsi="宋体" w:cs="宋体"/>
                <w:color w:val="000000" w:themeColor="text1"/>
                <w:kern w:val="0"/>
                <w:sz w:val="18"/>
                <w:szCs w:val="18"/>
                <w:vertAlign w:val="superscript"/>
                <w14:textFill>
                  <w14:solidFill>
                    <w14:schemeClr w14:val="tx1"/>
                  </w14:solidFill>
                </w14:textFill>
              </w:rPr>
              <w:t>2</w:t>
            </w:r>
            <w:r>
              <w:rPr>
                <w:rFonts w:hint="eastAsia" w:ascii="仿宋_GB2312" w:hAnsi="宋体" w:cs="宋体"/>
                <w:color w:val="000000" w:themeColor="text1"/>
                <w:kern w:val="0"/>
                <w:sz w:val="18"/>
                <w:szCs w:val="18"/>
                <w14:textFill>
                  <w14:solidFill>
                    <w14:schemeClr w14:val="tx1"/>
                  </w14:solidFill>
                </w14:textFill>
              </w:rPr>
              <w:t>）</w:t>
            </w:r>
          </w:p>
        </w:tc>
        <w:tc>
          <w:tcPr>
            <w:tcW w:w="613" w:type="pct"/>
            <w:shd w:val="clear" w:color="auto" w:fill="auto"/>
            <w:vAlign w:val="center"/>
          </w:tcPr>
          <w:p w14:paraId="74D6EE11">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侵蚀模数背景值（t/km</w:t>
            </w:r>
            <w:r>
              <w:rPr>
                <w:rFonts w:hint="eastAsia" w:ascii="仿宋_GB2312" w:hAnsi="宋体" w:cs="宋体"/>
                <w:color w:val="000000" w:themeColor="text1"/>
                <w:kern w:val="0"/>
                <w:sz w:val="18"/>
                <w:szCs w:val="18"/>
                <w:vertAlign w:val="superscript"/>
                <w14:textFill>
                  <w14:solidFill>
                    <w14:schemeClr w14:val="tx1"/>
                  </w14:solidFill>
                </w14:textFill>
              </w:rPr>
              <w:t>2</w:t>
            </w:r>
            <w:r>
              <w:rPr>
                <w:rFonts w:hint="eastAsia" w:ascii="仿宋_GB2312" w:hAnsi="宋体" w:cs="宋体"/>
                <w:color w:val="000000" w:themeColor="text1"/>
                <w:kern w:val="0"/>
                <w:sz w:val="18"/>
                <w:szCs w:val="18"/>
                <w14:textFill>
                  <w14:solidFill>
                    <w14:schemeClr w14:val="tx1"/>
                  </w14:solidFill>
                </w14:textFill>
              </w:rPr>
              <w:t>.a）</w:t>
            </w:r>
          </w:p>
        </w:tc>
        <w:tc>
          <w:tcPr>
            <w:tcW w:w="823" w:type="pct"/>
            <w:shd w:val="clear" w:color="auto" w:fill="auto"/>
            <w:vAlign w:val="center"/>
          </w:tcPr>
          <w:p w14:paraId="7477FC02">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土壤流失类型</w:t>
            </w:r>
          </w:p>
        </w:tc>
        <w:tc>
          <w:tcPr>
            <w:tcW w:w="613" w:type="pct"/>
            <w:shd w:val="clear" w:color="auto" w:fill="auto"/>
            <w:vAlign w:val="center"/>
          </w:tcPr>
          <w:p w14:paraId="3A0BC00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扰动后侵蚀模数（t/km</w:t>
            </w:r>
            <w:r>
              <w:rPr>
                <w:rFonts w:hint="eastAsia" w:ascii="仿宋_GB2312" w:hAnsi="宋体" w:cs="宋体"/>
                <w:color w:val="000000" w:themeColor="text1"/>
                <w:kern w:val="0"/>
                <w:sz w:val="18"/>
                <w:szCs w:val="18"/>
                <w:vertAlign w:val="superscript"/>
                <w14:textFill>
                  <w14:solidFill>
                    <w14:schemeClr w14:val="tx1"/>
                  </w14:solidFill>
                </w14:textFill>
              </w:rPr>
              <w:t>2</w:t>
            </w:r>
            <w:r>
              <w:rPr>
                <w:rFonts w:hint="eastAsia" w:ascii="仿宋_GB2312" w:hAnsi="宋体" w:cs="宋体"/>
                <w:color w:val="000000" w:themeColor="text1"/>
                <w:kern w:val="0"/>
                <w:sz w:val="18"/>
                <w:szCs w:val="18"/>
                <w14:textFill>
                  <w14:solidFill>
                    <w14:schemeClr w14:val="tx1"/>
                  </w14:solidFill>
                </w14:textFill>
              </w:rPr>
              <w:t>.a）</w:t>
            </w:r>
          </w:p>
        </w:tc>
        <w:tc>
          <w:tcPr>
            <w:tcW w:w="317" w:type="pct"/>
            <w:shd w:val="clear" w:color="auto" w:fill="auto"/>
            <w:vAlign w:val="center"/>
          </w:tcPr>
          <w:p w14:paraId="6FD39F24">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调查时段（</w:t>
            </w:r>
            <w:r>
              <w:rPr>
                <w:rFonts w:cs="Times New Roman"/>
                <w:color w:val="000000" w:themeColor="text1"/>
                <w:kern w:val="0"/>
                <w:sz w:val="18"/>
                <w:szCs w:val="18"/>
                <w14:textFill>
                  <w14:solidFill>
                    <w14:schemeClr w14:val="tx1"/>
                  </w14:solidFill>
                </w14:textFill>
              </w:rPr>
              <w:t>a</w:t>
            </w:r>
            <w:r>
              <w:rPr>
                <w:rFonts w:hint="eastAsia" w:ascii="仿宋_GB2312" w:hAnsi="宋体" w:cs="宋体"/>
                <w:color w:val="000000" w:themeColor="text1"/>
                <w:kern w:val="0"/>
                <w:sz w:val="18"/>
                <w:szCs w:val="18"/>
                <w14:textFill>
                  <w14:solidFill>
                    <w14:schemeClr w14:val="tx1"/>
                  </w14:solidFill>
                </w14:textFill>
              </w:rPr>
              <w:t>）</w:t>
            </w:r>
          </w:p>
        </w:tc>
        <w:tc>
          <w:tcPr>
            <w:tcW w:w="414" w:type="pct"/>
            <w:shd w:val="clear" w:color="auto" w:fill="auto"/>
            <w:vAlign w:val="center"/>
          </w:tcPr>
          <w:p w14:paraId="248D21EA">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扰动后土壤流失量（</w:t>
            </w:r>
            <w:r>
              <w:rPr>
                <w:rFonts w:cs="Times New Roman"/>
                <w:color w:val="000000" w:themeColor="text1"/>
                <w:kern w:val="0"/>
                <w:sz w:val="18"/>
                <w:szCs w:val="18"/>
                <w14:textFill>
                  <w14:solidFill>
                    <w14:schemeClr w14:val="tx1"/>
                  </w14:solidFill>
                </w14:textFill>
              </w:rPr>
              <w:t>t</w:t>
            </w:r>
            <w:r>
              <w:rPr>
                <w:rFonts w:hint="eastAsia" w:ascii="仿宋_GB2312" w:hAnsi="宋体" w:cs="宋体"/>
                <w:color w:val="000000" w:themeColor="text1"/>
                <w:kern w:val="0"/>
                <w:sz w:val="18"/>
                <w:szCs w:val="18"/>
                <w14:textFill>
                  <w14:solidFill>
                    <w14:schemeClr w14:val="tx1"/>
                  </w14:solidFill>
                </w14:textFill>
              </w:rPr>
              <w:t>）</w:t>
            </w:r>
          </w:p>
        </w:tc>
        <w:tc>
          <w:tcPr>
            <w:tcW w:w="367" w:type="pct"/>
            <w:shd w:val="clear" w:color="auto" w:fill="auto"/>
            <w:vAlign w:val="center"/>
          </w:tcPr>
          <w:p w14:paraId="555ACEF8">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背景土壤流失量（</w:t>
            </w:r>
            <w:r>
              <w:rPr>
                <w:rFonts w:cs="Times New Roman"/>
                <w:color w:val="000000" w:themeColor="text1"/>
                <w:kern w:val="0"/>
                <w:sz w:val="18"/>
                <w:szCs w:val="18"/>
                <w14:textFill>
                  <w14:solidFill>
                    <w14:schemeClr w14:val="tx1"/>
                  </w14:solidFill>
                </w14:textFill>
              </w:rPr>
              <w:t>t</w:t>
            </w:r>
            <w:r>
              <w:rPr>
                <w:rFonts w:hint="eastAsia" w:ascii="仿宋_GB2312" w:hAnsi="宋体" w:cs="宋体"/>
                <w:color w:val="000000" w:themeColor="text1"/>
                <w:kern w:val="0"/>
                <w:sz w:val="18"/>
                <w:szCs w:val="18"/>
                <w14:textFill>
                  <w14:solidFill>
                    <w14:schemeClr w14:val="tx1"/>
                  </w14:solidFill>
                </w14:textFill>
              </w:rPr>
              <w:t>）</w:t>
            </w:r>
          </w:p>
        </w:tc>
        <w:tc>
          <w:tcPr>
            <w:tcW w:w="366" w:type="pct"/>
            <w:shd w:val="clear" w:color="auto" w:fill="auto"/>
            <w:vAlign w:val="center"/>
          </w:tcPr>
          <w:p w14:paraId="17C2EC71">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新增土壤流失量（</w:t>
            </w:r>
            <w:r>
              <w:rPr>
                <w:rFonts w:cs="Times New Roman"/>
                <w:color w:val="000000" w:themeColor="text1"/>
                <w:kern w:val="0"/>
                <w:sz w:val="18"/>
                <w:szCs w:val="18"/>
                <w14:textFill>
                  <w14:solidFill>
                    <w14:schemeClr w14:val="tx1"/>
                  </w14:solidFill>
                </w14:textFill>
              </w:rPr>
              <w:t>t</w:t>
            </w:r>
            <w:r>
              <w:rPr>
                <w:rFonts w:hint="eastAsia" w:ascii="仿宋_GB2312" w:hAnsi="宋体" w:cs="宋体"/>
                <w:color w:val="000000" w:themeColor="text1"/>
                <w:kern w:val="0"/>
                <w:sz w:val="18"/>
                <w:szCs w:val="18"/>
                <w14:textFill>
                  <w14:solidFill>
                    <w14:schemeClr w14:val="tx1"/>
                  </w14:solidFill>
                </w14:textFill>
              </w:rPr>
              <w:t>）</w:t>
            </w:r>
          </w:p>
        </w:tc>
      </w:tr>
      <w:tr w14:paraId="111B8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83" w:type="pct"/>
            <w:shd w:val="clear" w:color="auto" w:fill="auto"/>
            <w:noWrap/>
            <w:vAlign w:val="center"/>
          </w:tcPr>
          <w:p w14:paraId="02F84786">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1</w:t>
            </w:r>
          </w:p>
        </w:tc>
        <w:tc>
          <w:tcPr>
            <w:tcW w:w="521" w:type="pct"/>
            <w:shd w:val="clear" w:color="auto" w:fill="auto"/>
            <w:vAlign w:val="center"/>
          </w:tcPr>
          <w:p w14:paraId="09DC975B">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地下工程区</w:t>
            </w:r>
          </w:p>
        </w:tc>
        <w:tc>
          <w:tcPr>
            <w:tcW w:w="319" w:type="pct"/>
            <w:vMerge w:val="restart"/>
            <w:vAlign w:val="center"/>
          </w:tcPr>
          <w:p w14:paraId="6EA72FF6">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施工期</w:t>
            </w:r>
          </w:p>
        </w:tc>
        <w:tc>
          <w:tcPr>
            <w:tcW w:w="458" w:type="pct"/>
            <w:shd w:val="clear" w:color="auto" w:fill="auto"/>
            <w:vAlign w:val="center"/>
          </w:tcPr>
          <w:p w14:paraId="1EE7E027">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0.44</w:t>
            </w:r>
          </w:p>
        </w:tc>
        <w:tc>
          <w:tcPr>
            <w:tcW w:w="613" w:type="pct"/>
            <w:shd w:val="clear" w:color="auto" w:fill="auto"/>
            <w:vAlign w:val="center"/>
          </w:tcPr>
          <w:p w14:paraId="408F032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500</w:t>
            </w:r>
          </w:p>
        </w:tc>
        <w:tc>
          <w:tcPr>
            <w:tcW w:w="823" w:type="pct"/>
            <w:shd w:val="clear" w:color="auto" w:fill="auto"/>
            <w:vAlign w:val="center"/>
          </w:tcPr>
          <w:p w14:paraId="49798201">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上方无来水工程开挖面</w:t>
            </w:r>
          </w:p>
        </w:tc>
        <w:tc>
          <w:tcPr>
            <w:tcW w:w="613" w:type="pct"/>
            <w:shd w:val="clear" w:color="auto" w:fill="auto"/>
            <w:vAlign w:val="center"/>
          </w:tcPr>
          <w:p w14:paraId="557D4418">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2887.39</w:t>
            </w:r>
          </w:p>
        </w:tc>
        <w:tc>
          <w:tcPr>
            <w:tcW w:w="317" w:type="pct"/>
            <w:shd w:val="clear" w:color="auto" w:fill="auto"/>
            <w:vAlign w:val="center"/>
          </w:tcPr>
          <w:p w14:paraId="41AA1D7E">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0.5</w:t>
            </w:r>
          </w:p>
        </w:tc>
        <w:tc>
          <w:tcPr>
            <w:tcW w:w="892" w:type="dxa"/>
            <w:shd w:val="clear" w:color="auto" w:fill="auto"/>
            <w:vAlign w:val="center"/>
          </w:tcPr>
          <w:p w14:paraId="363A3D45">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6.35</w:t>
            </w:r>
          </w:p>
        </w:tc>
        <w:tc>
          <w:tcPr>
            <w:tcW w:w="791" w:type="dxa"/>
            <w:shd w:val="clear" w:color="auto" w:fill="auto"/>
            <w:vAlign w:val="center"/>
          </w:tcPr>
          <w:p w14:paraId="734D5961">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1.10</w:t>
            </w:r>
          </w:p>
        </w:tc>
        <w:tc>
          <w:tcPr>
            <w:tcW w:w="789" w:type="dxa"/>
            <w:shd w:val="clear" w:color="auto" w:fill="auto"/>
            <w:vAlign w:val="center"/>
          </w:tcPr>
          <w:p w14:paraId="796ACBDB">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5.25</w:t>
            </w:r>
          </w:p>
        </w:tc>
      </w:tr>
      <w:tr w14:paraId="2468F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83" w:type="pct"/>
            <w:shd w:val="clear" w:color="auto" w:fill="auto"/>
            <w:noWrap/>
            <w:vAlign w:val="center"/>
          </w:tcPr>
          <w:p w14:paraId="6811EBA8">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2</w:t>
            </w:r>
          </w:p>
        </w:tc>
        <w:tc>
          <w:tcPr>
            <w:tcW w:w="521" w:type="pct"/>
            <w:shd w:val="clear" w:color="auto" w:fill="auto"/>
            <w:vAlign w:val="center"/>
          </w:tcPr>
          <w:p w14:paraId="128A7349">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建构筑物工程区</w:t>
            </w:r>
          </w:p>
        </w:tc>
        <w:tc>
          <w:tcPr>
            <w:tcW w:w="319" w:type="pct"/>
            <w:vMerge w:val="continue"/>
            <w:vAlign w:val="center"/>
          </w:tcPr>
          <w:p w14:paraId="64757688">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458" w:type="pct"/>
            <w:shd w:val="clear" w:color="auto" w:fill="auto"/>
            <w:vAlign w:val="center"/>
          </w:tcPr>
          <w:p w14:paraId="09513665">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0.45</w:t>
            </w:r>
          </w:p>
        </w:tc>
        <w:tc>
          <w:tcPr>
            <w:tcW w:w="613" w:type="pct"/>
            <w:shd w:val="clear" w:color="auto" w:fill="auto"/>
            <w:vAlign w:val="center"/>
          </w:tcPr>
          <w:p w14:paraId="0BA08541">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500</w:t>
            </w:r>
          </w:p>
        </w:tc>
        <w:tc>
          <w:tcPr>
            <w:tcW w:w="823" w:type="pct"/>
            <w:shd w:val="clear" w:color="auto" w:fill="auto"/>
            <w:vAlign w:val="center"/>
          </w:tcPr>
          <w:p w14:paraId="2824C9C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地表翻扰型一般扰动地表</w:t>
            </w:r>
          </w:p>
        </w:tc>
        <w:tc>
          <w:tcPr>
            <w:tcW w:w="1321" w:type="dxa"/>
            <w:shd w:val="clear" w:color="auto" w:fill="auto"/>
            <w:vAlign w:val="center"/>
          </w:tcPr>
          <w:p w14:paraId="265ED0B5">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1701.91</w:t>
            </w:r>
          </w:p>
        </w:tc>
        <w:tc>
          <w:tcPr>
            <w:tcW w:w="317" w:type="pct"/>
            <w:shd w:val="clear" w:color="auto" w:fill="auto"/>
            <w:vAlign w:val="center"/>
          </w:tcPr>
          <w:p w14:paraId="1E7986A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1</w:t>
            </w:r>
            <w:r>
              <w:rPr>
                <w:rFonts w:eastAsia="宋体" w:cs="Times New Roman"/>
                <w:color w:val="000000" w:themeColor="text1"/>
                <w:kern w:val="0"/>
                <w:sz w:val="18"/>
                <w:szCs w:val="18"/>
                <w14:textFill>
                  <w14:solidFill>
                    <w14:schemeClr w14:val="tx1"/>
                  </w14:solidFill>
                </w14:textFill>
              </w:rPr>
              <w:t>.0</w:t>
            </w:r>
          </w:p>
        </w:tc>
        <w:tc>
          <w:tcPr>
            <w:tcW w:w="892" w:type="dxa"/>
            <w:shd w:val="clear" w:color="auto" w:fill="auto"/>
            <w:vAlign w:val="center"/>
          </w:tcPr>
          <w:p w14:paraId="373042EF">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7.66</w:t>
            </w:r>
          </w:p>
        </w:tc>
        <w:tc>
          <w:tcPr>
            <w:tcW w:w="791" w:type="dxa"/>
            <w:shd w:val="clear" w:color="auto" w:fill="auto"/>
            <w:vAlign w:val="center"/>
          </w:tcPr>
          <w:p w14:paraId="5184AB7B">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2.25</w:t>
            </w:r>
          </w:p>
        </w:tc>
        <w:tc>
          <w:tcPr>
            <w:tcW w:w="789" w:type="dxa"/>
            <w:shd w:val="clear" w:color="auto" w:fill="auto"/>
            <w:vAlign w:val="center"/>
          </w:tcPr>
          <w:p w14:paraId="69B373A9">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5.41</w:t>
            </w:r>
          </w:p>
        </w:tc>
      </w:tr>
      <w:tr w14:paraId="7BEA7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83" w:type="pct"/>
            <w:shd w:val="clear" w:color="auto" w:fill="auto"/>
            <w:noWrap/>
            <w:vAlign w:val="center"/>
          </w:tcPr>
          <w:p w14:paraId="6AA7C55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3</w:t>
            </w:r>
          </w:p>
        </w:tc>
        <w:tc>
          <w:tcPr>
            <w:tcW w:w="521" w:type="pct"/>
            <w:shd w:val="clear" w:color="auto" w:fill="auto"/>
            <w:vAlign w:val="center"/>
          </w:tcPr>
          <w:p w14:paraId="414BB211">
            <w:pPr>
              <w:widowControl/>
              <w:adjustRightInd/>
              <w:snapToGrid/>
              <w:spacing w:line="240" w:lineRule="auto"/>
              <w:ind w:firstLine="0" w:firstLineChars="0"/>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场内道路及硬化工程区</w:t>
            </w:r>
          </w:p>
        </w:tc>
        <w:tc>
          <w:tcPr>
            <w:tcW w:w="319" w:type="pct"/>
            <w:vMerge w:val="continue"/>
            <w:vAlign w:val="center"/>
          </w:tcPr>
          <w:p w14:paraId="0FFB06E0">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458" w:type="pct"/>
            <w:shd w:val="clear" w:color="auto" w:fill="auto"/>
            <w:vAlign w:val="center"/>
          </w:tcPr>
          <w:p w14:paraId="2C438AE7">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0.38</w:t>
            </w:r>
          </w:p>
        </w:tc>
        <w:tc>
          <w:tcPr>
            <w:tcW w:w="613" w:type="pct"/>
            <w:shd w:val="clear" w:color="auto" w:fill="auto"/>
            <w:vAlign w:val="center"/>
          </w:tcPr>
          <w:p w14:paraId="36349D5B">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500</w:t>
            </w:r>
          </w:p>
        </w:tc>
        <w:tc>
          <w:tcPr>
            <w:tcW w:w="823" w:type="pct"/>
            <w:shd w:val="clear" w:color="auto" w:fill="auto"/>
            <w:vAlign w:val="center"/>
          </w:tcPr>
          <w:p w14:paraId="1B8572F1">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地表翻扰型一般扰动地表</w:t>
            </w:r>
          </w:p>
        </w:tc>
        <w:tc>
          <w:tcPr>
            <w:tcW w:w="1321" w:type="dxa"/>
            <w:shd w:val="clear" w:color="auto" w:fill="auto"/>
            <w:vAlign w:val="center"/>
          </w:tcPr>
          <w:p w14:paraId="69975AF2">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1701.91</w:t>
            </w:r>
          </w:p>
        </w:tc>
        <w:tc>
          <w:tcPr>
            <w:tcW w:w="317" w:type="pct"/>
            <w:shd w:val="clear" w:color="auto" w:fill="auto"/>
            <w:vAlign w:val="center"/>
          </w:tcPr>
          <w:p w14:paraId="6E88D61F">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1</w:t>
            </w:r>
            <w:r>
              <w:rPr>
                <w:rFonts w:eastAsia="宋体" w:cs="Times New Roman"/>
                <w:color w:val="000000" w:themeColor="text1"/>
                <w:kern w:val="0"/>
                <w:sz w:val="18"/>
                <w:szCs w:val="18"/>
                <w14:textFill>
                  <w14:solidFill>
                    <w14:schemeClr w14:val="tx1"/>
                  </w14:solidFill>
                </w14:textFill>
              </w:rPr>
              <w:t>.0</w:t>
            </w:r>
          </w:p>
        </w:tc>
        <w:tc>
          <w:tcPr>
            <w:tcW w:w="892" w:type="dxa"/>
            <w:shd w:val="clear" w:color="auto" w:fill="auto"/>
            <w:vAlign w:val="center"/>
          </w:tcPr>
          <w:p w14:paraId="128B45CC">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6.47</w:t>
            </w:r>
          </w:p>
        </w:tc>
        <w:tc>
          <w:tcPr>
            <w:tcW w:w="791" w:type="dxa"/>
            <w:shd w:val="clear" w:color="auto" w:fill="auto"/>
            <w:vAlign w:val="center"/>
          </w:tcPr>
          <w:p w14:paraId="04015132">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1.90</w:t>
            </w:r>
          </w:p>
        </w:tc>
        <w:tc>
          <w:tcPr>
            <w:tcW w:w="789" w:type="dxa"/>
            <w:shd w:val="clear" w:color="auto" w:fill="auto"/>
            <w:vAlign w:val="center"/>
          </w:tcPr>
          <w:p w14:paraId="4194937A">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4.57</w:t>
            </w:r>
          </w:p>
        </w:tc>
      </w:tr>
      <w:tr w14:paraId="44CEE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83" w:type="pct"/>
            <w:shd w:val="clear" w:color="auto" w:fill="auto"/>
            <w:noWrap/>
            <w:vAlign w:val="center"/>
          </w:tcPr>
          <w:p w14:paraId="6E048DE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4</w:t>
            </w:r>
          </w:p>
        </w:tc>
        <w:tc>
          <w:tcPr>
            <w:tcW w:w="521" w:type="pct"/>
            <w:shd w:val="clear" w:color="auto" w:fill="auto"/>
            <w:vAlign w:val="center"/>
          </w:tcPr>
          <w:p w14:paraId="3FC5C697">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景观绿化工程区</w:t>
            </w:r>
          </w:p>
        </w:tc>
        <w:tc>
          <w:tcPr>
            <w:tcW w:w="319" w:type="pct"/>
            <w:vMerge w:val="continue"/>
            <w:vAlign w:val="center"/>
          </w:tcPr>
          <w:p w14:paraId="216074AF">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458" w:type="pct"/>
            <w:shd w:val="clear" w:color="auto" w:fill="auto"/>
            <w:vAlign w:val="center"/>
          </w:tcPr>
          <w:p w14:paraId="0C6931A6">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0.12</w:t>
            </w:r>
          </w:p>
        </w:tc>
        <w:tc>
          <w:tcPr>
            <w:tcW w:w="613" w:type="pct"/>
            <w:shd w:val="clear" w:color="auto" w:fill="auto"/>
            <w:vAlign w:val="center"/>
          </w:tcPr>
          <w:p w14:paraId="3AA25923">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500</w:t>
            </w:r>
          </w:p>
        </w:tc>
        <w:tc>
          <w:tcPr>
            <w:tcW w:w="823" w:type="pct"/>
            <w:shd w:val="clear" w:color="auto" w:fill="auto"/>
            <w:vAlign w:val="center"/>
          </w:tcPr>
          <w:p w14:paraId="01427786">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地表翻扰型一般扰动地表</w:t>
            </w:r>
          </w:p>
        </w:tc>
        <w:tc>
          <w:tcPr>
            <w:tcW w:w="1321" w:type="dxa"/>
            <w:shd w:val="clear" w:color="auto" w:fill="auto"/>
            <w:vAlign w:val="center"/>
          </w:tcPr>
          <w:p w14:paraId="6DF0010E">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1385.81</w:t>
            </w:r>
          </w:p>
        </w:tc>
        <w:tc>
          <w:tcPr>
            <w:tcW w:w="317" w:type="pct"/>
            <w:shd w:val="clear" w:color="auto" w:fill="auto"/>
            <w:vAlign w:val="center"/>
          </w:tcPr>
          <w:p w14:paraId="2B656AD4">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1</w:t>
            </w:r>
            <w:r>
              <w:rPr>
                <w:rFonts w:eastAsia="宋体" w:cs="Times New Roman"/>
                <w:color w:val="000000" w:themeColor="text1"/>
                <w:kern w:val="0"/>
                <w:sz w:val="18"/>
                <w:szCs w:val="18"/>
                <w14:textFill>
                  <w14:solidFill>
                    <w14:schemeClr w14:val="tx1"/>
                  </w14:solidFill>
                </w14:textFill>
              </w:rPr>
              <w:t>.0</w:t>
            </w:r>
          </w:p>
        </w:tc>
        <w:tc>
          <w:tcPr>
            <w:tcW w:w="892" w:type="dxa"/>
            <w:shd w:val="clear" w:color="auto" w:fill="auto"/>
            <w:vAlign w:val="center"/>
          </w:tcPr>
          <w:p w14:paraId="6CC005E1">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1.66</w:t>
            </w:r>
          </w:p>
        </w:tc>
        <w:tc>
          <w:tcPr>
            <w:tcW w:w="791" w:type="dxa"/>
            <w:shd w:val="clear" w:color="auto" w:fill="auto"/>
            <w:vAlign w:val="center"/>
          </w:tcPr>
          <w:p w14:paraId="1DAE71CA">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0.60</w:t>
            </w:r>
          </w:p>
        </w:tc>
        <w:tc>
          <w:tcPr>
            <w:tcW w:w="789" w:type="dxa"/>
            <w:shd w:val="clear" w:color="auto" w:fill="auto"/>
            <w:vAlign w:val="center"/>
          </w:tcPr>
          <w:p w14:paraId="48501F56">
            <w:pPr>
              <w:widowControl/>
              <w:ind w:firstLine="0" w:firstLineChars="0"/>
              <w:jc w:val="center"/>
              <w:textAlignment w:val="center"/>
              <w:rPr>
                <w:rFonts w:hint="eastAsia" w:ascii="仿宋_GB2312" w:hAnsi="宋体" w:cs="宋体"/>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1.06</w:t>
            </w:r>
          </w:p>
        </w:tc>
      </w:tr>
      <w:tr w14:paraId="5526F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83" w:type="pct"/>
            <w:shd w:val="clear" w:color="auto" w:fill="auto"/>
            <w:noWrap/>
            <w:vAlign w:val="center"/>
          </w:tcPr>
          <w:p w14:paraId="51A5356F">
            <w:pPr>
              <w:widowControl/>
              <w:adjustRightInd/>
              <w:snapToGrid/>
              <w:spacing w:line="240" w:lineRule="auto"/>
              <w:ind w:firstLine="0" w:firstLineChars="0"/>
              <w:jc w:val="left"/>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　</w:t>
            </w:r>
          </w:p>
        </w:tc>
        <w:tc>
          <w:tcPr>
            <w:tcW w:w="3667" w:type="pct"/>
            <w:gridSpan w:val="7"/>
            <w:shd w:val="clear" w:color="auto" w:fill="auto"/>
            <w:vAlign w:val="center"/>
          </w:tcPr>
          <w:p w14:paraId="49FFBDD6">
            <w:pPr>
              <w:widowControl/>
              <w:adjustRightInd/>
              <w:snapToGrid/>
              <w:spacing w:line="240" w:lineRule="auto"/>
              <w:ind w:firstLine="0" w:firstLineChars="0"/>
              <w:jc w:val="center"/>
              <w:rPr>
                <w:rFonts w:hint="eastAsia" w:ascii="宋体" w:hAnsi="宋体" w:eastAsia="宋体" w:cs="宋体"/>
                <w:b/>
                <w:bCs/>
                <w:color w:val="000000" w:themeColor="text1"/>
                <w:kern w:val="0"/>
                <w:sz w:val="18"/>
                <w:szCs w:val="18"/>
                <w14:textFill>
                  <w14:solidFill>
                    <w14:schemeClr w14:val="tx1"/>
                  </w14:solidFill>
                </w14:textFill>
              </w:rPr>
            </w:pPr>
            <w:r>
              <w:rPr>
                <w:rFonts w:hint="eastAsia" w:ascii="宋体" w:hAnsi="宋体" w:eastAsia="宋体" w:cs="宋体"/>
                <w:b/>
                <w:bCs/>
                <w:color w:val="000000" w:themeColor="text1"/>
                <w:kern w:val="0"/>
                <w:sz w:val="18"/>
                <w:szCs w:val="18"/>
                <w14:textFill>
                  <w14:solidFill>
                    <w14:schemeClr w14:val="tx1"/>
                  </w14:solidFill>
                </w14:textFill>
              </w:rPr>
              <w:t>合计</w:t>
            </w:r>
          </w:p>
        </w:tc>
        <w:tc>
          <w:tcPr>
            <w:tcW w:w="892" w:type="dxa"/>
            <w:shd w:val="clear" w:color="auto" w:fill="auto"/>
            <w:vAlign w:val="center"/>
          </w:tcPr>
          <w:p w14:paraId="7322A4C3">
            <w:pPr>
              <w:keepNext w:val="0"/>
              <w:keepLines w:val="0"/>
              <w:widowControl/>
              <w:suppressLineNumbers w:val="0"/>
              <w:ind w:left="0" w:leftChars="0" w:firstLine="0" w:firstLineChars="0"/>
              <w:jc w:val="center"/>
              <w:textAlignment w:val="center"/>
              <w:rPr>
                <w:rFonts w:hint="eastAsia" w:eastAsia="宋体" w:cs="Times New Roman"/>
                <w:b/>
                <w:bCs/>
                <w:color w:val="000000" w:themeColor="text1"/>
                <w:kern w:val="0"/>
                <w:sz w:val="18"/>
                <w:szCs w:val="18"/>
                <w:lang w:eastAsia="zh-CN"/>
                <w14:textFill>
                  <w14:solidFill>
                    <w14:schemeClr w14:val="tx1"/>
                  </w14:solidFill>
                </w14:textFill>
              </w:rPr>
            </w:pPr>
            <w:r>
              <w:rPr>
                <w:rFonts w:hint="default" w:ascii="Times New Roman" w:hAnsi="Times New Roman" w:eastAsia="宋体" w:cs="Times New Roman"/>
                <w:b/>
                <w:bCs/>
                <w:i w:val="0"/>
                <w:iCs w:val="0"/>
                <w:color w:val="000000"/>
                <w:kern w:val="0"/>
                <w:sz w:val="18"/>
                <w:szCs w:val="18"/>
                <w:u w:val="none"/>
                <w:lang w:val="en-US" w:eastAsia="zh-CN" w:bidi="ar"/>
              </w:rPr>
              <w:t>22.14</w:t>
            </w:r>
          </w:p>
        </w:tc>
        <w:tc>
          <w:tcPr>
            <w:tcW w:w="791" w:type="dxa"/>
            <w:shd w:val="clear" w:color="auto" w:fill="auto"/>
            <w:vAlign w:val="center"/>
          </w:tcPr>
          <w:p w14:paraId="1317CDDF">
            <w:pPr>
              <w:keepNext w:val="0"/>
              <w:keepLines w:val="0"/>
              <w:widowControl/>
              <w:suppressLineNumbers w:val="0"/>
              <w:ind w:left="0" w:leftChars="0" w:firstLine="0" w:firstLineChars="0"/>
              <w:jc w:val="center"/>
              <w:textAlignment w:val="center"/>
              <w:rPr>
                <w:rFonts w:eastAsia="宋体" w:cs="Times New Roman"/>
                <w:b/>
                <w:bCs/>
                <w:color w:val="000000" w:themeColor="text1"/>
                <w:kern w:val="0"/>
                <w:sz w:val="18"/>
                <w:szCs w:val="18"/>
                <w14:textFill>
                  <w14:solidFill>
                    <w14:schemeClr w14:val="tx1"/>
                  </w14:solidFill>
                </w14:textFill>
              </w:rPr>
            </w:pPr>
            <w:r>
              <w:rPr>
                <w:rFonts w:hint="default" w:ascii="Times New Roman" w:hAnsi="Times New Roman" w:eastAsia="宋体" w:cs="Times New Roman"/>
                <w:b/>
                <w:bCs/>
                <w:i w:val="0"/>
                <w:iCs w:val="0"/>
                <w:color w:val="000000"/>
                <w:kern w:val="0"/>
                <w:sz w:val="18"/>
                <w:szCs w:val="18"/>
                <w:u w:val="none"/>
                <w:lang w:val="en-US" w:eastAsia="zh-CN" w:bidi="ar"/>
              </w:rPr>
              <w:t>5.85</w:t>
            </w:r>
          </w:p>
        </w:tc>
        <w:tc>
          <w:tcPr>
            <w:tcW w:w="789" w:type="dxa"/>
            <w:shd w:val="clear" w:color="auto" w:fill="auto"/>
            <w:vAlign w:val="center"/>
          </w:tcPr>
          <w:p w14:paraId="13418F66">
            <w:pPr>
              <w:keepNext w:val="0"/>
              <w:keepLines w:val="0"/>
              <w:widowControl/>
              <w:suppressLineNumbers w:val="0"/>
              <w:ind w:left="0" w:leftChars="0" w:firstLine="0" w:firstLineChars="0"/>
              <w:jc w:val="center"/>
              <w:textAlignment w:val="center"/>
              <w:rPr>
                <w:rFonts w:eastAsia="宋体" w:cs="Times New Roman"/>
                <w:b/>
                <w:bCs/>
                <w:color w:val="000000" w:themeColor="text1"/>
                <w:kern w:val="0"/>
                <w:sz w:val="18"/>
                <w:szCs w:val="18"/>
                <w14:textFill>
                  <w14:solidFill>
                    <w14:schemeClr w14:val="tx1"/>
                  </w14:solidFill>
                </w14:textFill>
              </w:rPr>
            </w:pPr>
            <w:r>
              <w:rPr>
                <w:rFonts w:hint="default" w:ascii="Times New Roman" w:hAnsi="Times New Roman" w:eastAsia="宋体" w:cs="Times New Roman"/>
                <w:b/>
                <w:bCs/>
                <w:i w:val="0"/>
                <w:iCs w:val="0"/>
                <w:color w:val="000000"/>
                <w:kern w:val="0"/>
                <w:sz w:val="18"/>
                <w:szCs w:val="18"/>
                <w:u w:val="none"/>
                <w:lang w:val="en-US" w:eastAsia="zh-CN" w:bidi="ar"/>
              </w:rPr>
              <w:t>16.29</w:t>
            </w:r>
          </w:p>
        </w:tc>
      </w:tr>
    </w:tbl>
    <w:p w14:paraId="52BA1AD3">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.3.4.2</w:t>
      </w:r>
      <w:r>
        <w:rPr>
          <w:rFonts w:hint="eastAsia"/>
          <w:color w:val="000000" w:themeColor="text1"/>
          <w14:textFill>
            <w14:solidFill>
              <w14:schemeClr w14:val="tx1"/>
            </w14:solidFill>
          </w14:textFill>
        </w:rPr>
        <w:t>土壤流失量预测</w:t>
      </w:r>
    </w:p>
    <w:p w14:paraId="48A40324">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土壤流失量预测按下式计算，当预测单元土壤侵蚀强度恢复到原地貌土壤侵蚀模数以下时，不再计算。</w:t>
      </w:r>
    </w:p>
    <w:p w14:paraId="57196AE5">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土壤</w:t>
      </w:r>
      <w:r>
        <w:rPr>
          <w:rFonts w:cs="Times New Roman"/>
          <w:color w:val="000000" w:themeColor="text1"/>
          <w14:textFill>
            <w14:solidFill>
              <w14:schemeClr w14:val="tx1"/>
            </w14:solidFill>
          </w14:textFill>
        </w:rPr>
        <w:t>流失量计算采用公式：</w:t>
      </w:r>
    </w:p>
    <w:p w14:paraId="0526C5D6">
      <w:pPr>
        <w:ind w:firstLine="480"/>
        <w:rPr>
          <w:rFonts w:cs="Times New Roman"/>
          <w:color w:val="000000" w:themeColor="text1"/>
          <w14:textFill>
            <w14:solidFill>
              <w14:schemeClr w14:val="tx1"/>
            </w14:solidFill>
          </w14:textFill>
        </w:rPr>
      </w:pPr>
      <w:r>
        <w:rPr>
          <w:rFonts w:cs="Times New Roman"/>
          <w:color w:val="000000" w:themeColor="text1"/>
          <w:position w:val="-30"/>
          <w14:textFill>
            <w14:solidFill>
              <w14:schemeClr w14:val="tx1"/>
            </w14:solidFill>
          </w14:textFill>
        </w:rPr>
        <w:object>
          <v:shape id="_x0000_i1025" o:spt="75" type="#_x0000_t75" style="height:41pt;width:140pt;" o:ole="t" filled="f" o:preferrelative="t" stroked="f" coordsize="21600,21600">
            <v:path/>
            <v:fill on="f" focussize="0,0"/>
            <v:stroke on="f" joinstyle="miter"/>
            <v:imagedata r:id="rId62" o:title=""/>
            <o:lock v:ext="edit" aspectratio="t"/>
            <w10:wrap type="none"/>
            <w10:anchorlock/>
          </v:shape>
          <o:OLEObject Type="Embed" ProgID="Equation.3" ShapeID="_x0000_i1025" DrawAspect="Content" ObjectID="_1468075725" r:id="rId61">
            <o:LockedField>false</o:LockedField>
          </o:OLEObject>
        </w:object>
      </w:r>
    </w:p>
    <w:p w14:paraId="3B8052C6">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式中：</w:t>
      </w:r>
      <w:r>
        <w:rPr>
          <w:rFonts w:cs="Times New Roman"/>
          <w:color w:val="000000" w:themeColor="text1"/>
          <w14:textFill>
            <w14:solidFill>
              <w14:schemeClr w14:val="tx1"/>
            </w14:solidFill>
          </w14:textFill>
        </w:rPr>
        <w:object>
          <v:shape id="_x0000_i1026" o:spt="75" type="#_x0000_t75" style="height:16pt;width:16pt;" o:ole="t" filled="f" o:preferrelative="t" stroked="f" coordsize="21600,21600">
            <v:path/>
            <v:fill on="f" focussize="0,0"/>
            <v:stroke on="f" joinstyle="miter"/>
            <v:imagedata r:id="rId64" o:title=""/>
            <o:lock v:ext="edit" aspectratio="t"/>
            <w10:wrap type="none"/>
            <w10:anchorlock/>
          </v:shape>
          <o:OLEObject Type="Embed" ProgID="Equation.3" ShapeID="_x0000_i1026" DrawAspect="Content" ObjectID="_1468075726" r:id="rId63">
            <o:LockedField>false</o:LockedField>
          </o:OLEObject>
        </w:object>
      </w:r>
      <w:r>
        <w:rPr>
          <w:rFonts w:cs="Times New Roman"/>
          <w:color w:val="000000" w:themeColor="text1"/>
          <w14:textFill>
            <w14:solidFill>
              <w14:schemeClr w14:val="tx1"/>
            </w14:solidFill>
          </w14:textFill>
        </w:rPr>
        <w:t>－土壤流失量，ｔ；</w:t>
      </w:r>
    </w:p>
    <w:p w14:paraId="44F439F7">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j</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预测时段，j=</w:t>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2</w:t>
      </w:r>
      <w:r>
        <w:rPr>
          <w:rFonts w:hint="eastAsia" w:cs="Times New Roman"/>
          <w:color w:val="000000" w:themeColor="text1"/>
          <w14:textFill>
            <w14:solidFill>
              <w14:schemeClr w14:val="tx1"/>
            </w14:solidFill>
          </w14:textFill>
        </w:rPr>
        <w:t>，即指施工期（含施工准备期）和自然恢复期两个时段</w:t>
      </w:r>
      <w:r>
        <w:rPr>
          <w:rFonts w:cs="Times New Roman"/>
          <w:color w:val="000000" w:themeColor="text1"/>
          <w14:textFill>
            <w14:solidFill>
              <w14:schemeClr w14:val="tx1"/>
            </w14:solidFill>
          </w14:textFill>
        </w:rPr>
        <w:t>；</w:t>
      </w:r>
    </w:p>
    <w:p w14:paraId="68608FDF">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i—预测单元，i</w:t>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2</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3</w:t>
      </w:r>
      <w:r>
        <w:rPr>
          <w:rFonts w:hint="eastAsia" w:cs="Times New Roman"/>
          <w:color w:val="000000" w:themeColor="text1"/>
          <w14:textFill>
            <w14:solidFill>
              <w14:schemeClr w14:val="tx1"/>
            </w14:solidFill>
          </w14:textFill>
        </w:rPr>
        <w:t>，…，n</w:t>
      </w:r>
      <w:r>
        <w:rPr>
          <w:rFonts w:cs="Times New Roman"/>
          <w:color w:val="000000" w:themeColor="text1"/>
          <w14:textFill>
            <w14:solidFill>
              <w14:schemeClr w14:val="tx1"/>
            </w14:solidFill>
          </w14:textFill>
        </w:rPr>
        <w:t>-1</w:t>
      </w:r>
      <w:r>
        <w:rPr>
          <w:rFonts w:hint="eastAsia" w:cs="Times New Roman"/>
          <w:color w:val="000000" w:themeColor="text1"/>
          <w14:textFill>
            <w14:solidFill>
              <w14:schemeClr w14:val="tx1"/>
            </w14:solidFill>
          </w14:textFill>
        </w:rPr>
        <w:t>，n；</w:t>
      </w:r>
    </w:p>
    <w:p w14:paraId="5B7C415E">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object>
          <v:shape id="_x0000_i1027" o:spt="75" type="#_x0000_t75" style="height:18pt;width:16pt;" o:ole="t" filled="f" o:preferrelative="t" stroked="f" coordsize="21600,21600">
            <v:path/>
            <v:fill on="f" focussize="0,0"/>
            <v:stroke on="f" joinstyle="miter"/>
            <v:imagedata r:id="rId66" o:title=""/>
            <o:lock v:ext="edit" aspectratio="t"/>
            <w10:wrap type="none"/>
            <w10:anchorlock/>
          </v:shape>
          <o:OLEObject Type="Embed" ProgID="Equation.3" ShapeID="_x0000_i1027" DrawAspect="Content" ObjectID="_1468075727" r:id="rId65">
            <o:LockedField>false</o:LockedField>
          </o:OLEObject>
        </w:objec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第j预测时段、第i预测单元的面积</w:t>
      </w:r>
      <w:r>
        <w:rPr>
          <w:rFonts w:cs="Times New Roman"/>
          <w:color w:val="000000" w:themeColor="text1"/>
          <w14:textFill>
            <w14:solidFill>
              <w14:schemeClr w14:val="tx1"/>
            </w14:solidFill>
          </w14:textFill>
        </w:rPr>
        <w:t>，km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w:t>
      </w:r>
    </w:p>
    <w:p w14:paraId="48E48771">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object>
          <v:shape id="_x0000_i1028" o:spt="75" type="#_x0000_t75" style="height:18pt;width:20pt;" o:ole="t" filled="f" o:preferrelative="t" stroked="f" coordsize="21600,21600">
            <v:path/>
            <v:fill on="f" focussize="0,0"/>
            <v:stroke on="f" joinstyle="miter"/>
            <v:imagedata r:id="rId68" o:title=""/>
            <o:lock v:ext="edit" aspectratio="t"/>
            <w10:wrap type="none"/>
            <w10:anchorlock/>
          </v:shape>
          <o:OLEObject Type="Embed" ProgID="Equation.3" ShapeID="_x0000_i1028" DrawAspect="Content" ObjectID="_1468075728" r:id="rId67">
            <o:LockedField>false</o:LockedField>
          </o:OLEObject>
        </w:objec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第j预测时段、第i预测单元的</w:t>
      </w:r>
      <w:r>
        <w:rPr>
          <w:rFonts w:cs="Times New Roman"/>
          <w:color w:val="000000" w:themeColor="text1"/>
          <w14:textFill>
            <w14:solidFill>
              <w14:schemeClr w14:val="tx1"/>
            </w14:solidFill>
          </w14:textFill>
        </w:rPr>
        <w:t>土壤侵蚀模数，t/(km</w:t>
      </w:r>
      <w:r>
        <w:rPr>
          <w:rFonts w:cs="Times New Roman"/>
          <w:color w:val="000000" w:themeColor="text1"/>
          <w:vertAlign w:val="superscript"/>
          <w14:textFill>
            <w14:solidFill>
              <w14:schemeClr w14:val="tx1"/>
            </w14:solidFill>
          </w14:textFill>
        </w:rPr>
        <w:t>2</w:t>
      </w:r>
      <w:r>
        <w:rPr>
          <w:rFonts w:cs="Times New Roman"/>
          <w:color w:val="000000" w:themeColor="text1"/>
          <w14:textFill>
            <w14:solidFill>
              <w14:schemeClr w14:val="tx1"/>
            </w14:solidFill>
          </w14:textFill>
        </w:rPr>
        <w:t>.a)；</w:t>
      </w:r>
    </w:p>
    <w:p w14:paraId="022CE128">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object>
          <v:shape id="_x0000_i1029" o:spt="75" type="#_x0000_t75" style="height:20pt;width:18pt;" o:ole="t" filled="f" o:preferrelative="t" stroked="f" coordsize="21600,21600">
            <v:path/>
            <v:fill on="f" focussize="0,0"/>
            <v:stroke on="f" joinstyle="miter"/>
            <v:imagedata r:id="rId70" o:title=""/>
            <o:lock v:ext="edit" aspectratio="t"/>
            <w10:wrap type="none"/>
            <w10:anchorlock/>
          </v:shape>
          <o:OLEObject Type="Embed" ProgID="Equation.3" ShapeID="_x0000_i1029" DrawAspect="Content" ObjectID="_1468075729" r:id="rId69">
            <o:LockedField>false</o:LockedField>
          </o:OLEObject>
        </w:objec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第j预测时段、第i预测单元的</w:t>
      </w:r>
      <w:r>
        <w:rPr>
          <w:rFonts w:cs="Times New Roman"/>
          <w:color w:val="000000" w:themeColor="text1"/>
          <w14:textFill>
            <w14:solidFill>
              <w14:schemeClr w14:val="tx1"/>
            </w14:solidFill>
          </w14:textFill>
        </w:rPr>
        <w:t>预测时间，a。</w:t>
      </w:r>
    </w:p>
    <w:p w14:paraId="0EC66C9D">
      <w:pPr>
        <w:ind w:firstLine="422"/>
        <w:jc w:val="center"/>
        <w:rPr>
          <w:rFonts w:cs="Times New Roman"/>
          <w:b/>
          <w:bCs/>
          <w:color w:val="000000" w:themeColor="text1"/>
          <w:sz w:val="21"/>
          <w:szCs w:val="21"/>
          <w14:textFill>
            <w14:solidFill>
              <w14:schemeClr w14:val="tx1"/>
            </w14:solidFill>
          </w14:textFill>
        </w:rPr>
      </w:pPr>
      <w:r>
        <w:rPr>
          <w:rFonts w:hint="eastAsia" w:cs="Times New Roman"/>
          <w:b/>
          <w:bCs/>
          <w:color w:val="000000" w:themeColor="text1"/>
          <w:sz w:val="21"/>
          <w:szCs w:val="21"/>
          <w14:textFill>
            <w14:solidFill>
              <w14:schemeClr w14:val="tx1"/>
            </w14:solidFill>
          </w14:textFill>
        </w:rPr>
        <w:t>表4</w:t>
      </w:r>
      <w:r>
        <w:rPr>
          <w:rFonts w:cs="Times New Roman"/>
          <w:b/>
          <w:bCs/>
          <w:color w:val="000000" w:themeColor="text1"/>
          <w:sz w:val="21"/>
          <w:szCs w:val="21"/>
          <w14:textFill>
            <w14:solidFill>
              <w14:schemeClr w14:val="tx1"/>
            </w14:solidFill>
          </w14:textFill>
        </w:rPr>
        <w:t xml:space="preserve">.3-7  </w:t>
      </w:r>
      <w:r>
        <w:rPr>
          <w:rFonts w:hint="eastAsia" w:cs="Times New Roman"/>
          <w:b/>
          <w:bCs/>
          <w:color w:val="000000" w:themeColor="text1"/>
          <w:sz w:val="21"/>
          <w:szCs w:val="21"/>
          <w14:textFill>
            <w14:solidFill>
              <w14:schemeClr w14:val="tx1"/>
            </w14:solidFill>
          </w14:textFill>
        </w:rPr>
        <w:t>项目区土壤流失量预测表</w:t>
      </w:r>
    </w:p>
    <w:tbl>
      <w:tblPr>
        <w:tblStyle w:val="26"/>
        <w:tblW w:w="632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1107"/>
        <w:gridCol w:w="704"/>
        <w:gridCol w:w="987"/>
        <w:gridCol w:w="1321"/>
        <w:gridCol w:w="1774"/>
        <w:gridCol w:w="1321"/>
        <w:gridCol w:w="690"/>
        <w:gridCol w:w="892"/>
        <w:gridCol w:w="791"/>
        <w:gridCol w:w="789"/>
      </w:tblGrid>
      <w:tr w14:paraId="4C9EE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 w:hRule="atLeast"/>
          <w:jc w:val="center"/>
        </w:trPr>
        <w:tc>
          <w:tcPr>
            <w:tcW w:w="183" w:type="pct"/>
            <w:shd w:val="clear" w:color="auto" w:fill="auto"/>
            <w:vAlign w:val="center"/>
          </w:tcPr>
          <w:p w14:paraId="6D417589">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序号</w:t>
            </w:r>
          </w:p>
        </w:tc>
        <w:tc>
          <w:tcPr>
            <w:tcW w:w="514" w:type="pct"/>
            <w:shd w:val="clear" w:color="auto" w:fill="auto"/>
            <w:vAlign w:val="center"/>
          </w:tcPr>
          <w:p w14:paraId="034709F3">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预测单元</w:t>
            </w:r>
          </w:p>
        </w:tc>
        <w:tc>
          <w:tcPr>
            <w:tcW w:w="327" w:type="pct"/>
            <w:shd w:val="clear" w:color="auto" w:fill="auto"/>
            <w:vAlign w:val="center"/>
          </w:tcPr>
          <w:p w14:paraId="57556872">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预测时段</w:t>
            </w:r>
          </w:p>
        </w:tc>
        <w:tc>
          <w:tcPr>
            <w:tcW w:w="458" w:type="pct"/>
            <w:shd w:val="clear" w:color="auto" w:fill="auto"/>
            <w:vAlign w:val="center"/>
          </w:tcPr>
          <w:p w14:paraId="0294CDF6">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侵蚀面积（hm</w:t>
            </w:r>
            <w:r>
              <w:rPr>
                <w:rFonts w:hint="eastAsia" w:ascii="仿宋_GB2312" w:hAnsi="宋体" w:cs="宋体"/>
                <w:color w:val="000000" w:themeColor="text1"/>
                <w:kern w:val="0"/>
                <w:sz w:val="18"/>
                <w:szCs w:val="18"/>
                <w:vertAlign w:val="superscript"/>
                <w14:textFill>
                  <w14:solidFill>
                    <w14:schemeClr w14:val="tx1"/>
                  </w14:solidFill>
                </w14:textFill>
              </w:rPr>
              <w:t>2</w:t>
            </w:r>
            <w:r>
              <w:rPr>
                <w:rFonts w:hint="eastAsia" w:ascii="仿宋_GB2312" w:hAnsi="宋体" w:cs="宋体"/>
                <w:color w:val="000000" w:themeColor="text1"/>
                <w:kern w:val="0"/>
                <w:sz w:val="18"/>
                <w:szCs w:val="18"/>
                <w14:textFill>
                  <w14:solidFill>
                    <w14:schemeClr w14:val="tx1"/>
                  </w14:solidFill>
                </w14:textFill>
              </w:rPr>
              <w:t>）</w:t>
            </w:r>
          </w:p>
        </w:tc>
        <w:tc>
          <w:tcPr>
            <w:tcW w:w="613" w:type="pct"/>
            <w:shd w:val="clear" w:color="auto" w:fill="auto"/>
            <w:vAlign w:val="center"/>
          </w:tcPr>
          <w:p w14:paraId="21AE1A1B">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侵蚀模数背景值（t/km</w:t>
            </w:r>
            <w:r>
              <w:rPr>
                <w:rFonts w:hint="eastAsia" w:ascii="仿宋_GB2312" w:hAnsi="宋体" w:cs="宋体"/>
                <w:color w:val="000000" w:themeColor="text1"/>
                <w:kern w:val="0"/>
                <w:sz w:val="18"/>
                <w:szCs w:val="18"/>
                <w:vertAlign w:val="superscript"/>
                <w14:textFill>
                  <w14:solidFill>
                    <w14:schemeClr w14:val="tx1"/>
                  </w14:solidFill>
                </w14:textFill>
              </w:rPr>
              <w:t>2</w:t>
            </w:r>
            <w:r>
              <w:rPr>
                <w:rFonts w:hint="eastAsia" w:ascii="仿宋_GB2312" w:hAnsi="宋体" w:cs="宋体"/>
                <w:color w:val="000000" w:themeColor="text1"/>
                <w:kern w:val="0"/>
                <w:sz w:val="18"/>
                <w:szCs w:val="18"/>
                <w14:textFill>
                  <w14:solidFill>
                    <w14:schemeClr w14:val="tx1"/>
                  </w14:solidFill>
                </w14:textFill>
              </w:rPr>
              <w:t>.a）</w:t>
            </w:r>
          </w:p>
        </w:tc>
        <w:tc>
          <w:tcPr>
            <w:tcW w:w="823" w:type="pct"/>
            <w:shd w:val="clear" w:color="auto" w:fill="auto"/>
            <w:vAlign w:val="center"/>
          </w:tcPr>
          <w:p w14:paraId="2F2C3915">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土壤流失类型</w:t>
            </w:r>
          </w:p>
        </w:tc>
        <w:tc>
          <w:tcPr>
            <w:tcW w:w="613" w:type="pct"/>
            <w:shd w:val="clear" w:color="auto" w:fill="auto"/>
            <w:vAlign w:val="center"/>
          </w:tcPr>
          <w:p w14:paraId="4E9698B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扰动后侵蚀模数（t/km</w:t>
            </w:r>
            <w:r>
              <w:rPr>
                <w:rFonts w:hint="eastAsia" w:ascii="仿宋_GB2312" w:hAnsi="宋体" w:cs="宋体"/>
                <w:color w:val="000000" w:themeColor="text1"/>
                <w:kern w:val="0"/>
                <w:sz w:val="18"/>
                <w:szCs w:val="18"/>
                <w:vertAlign w:val="superscript"/>
                <w14:textFill>
                  <w14:solidFill>
                    <w14:schemeClr w14:val="tx1"/>
                  </w14:solidFill>
                </w14:textFill>
              </w:rPr>
              <w:t>2</w:t>
            </w:r>
            <w:r>
              <w:rPr>
                <w:rFonts w:hint="eastAsia" w:ascii="仿宋_GB2312" w:hAnsi="宋体" w:cs="宋体"/>
                <w:color w:val="000000" w:themeColor="text1"/>
                <w:kern w:val="0"/>
                <w:sz w:val="18"/>
                <w:szCs w:val="18"/>
                <w14:textFill>
                  <w14:solidFill>
                    <w14:schemeClr w14:val="tx1"/>
                  </w14:solidFill>
                </w14:textFill>
              </w:rPr>
              <w:t>.a）</w:t>
            </w:r>
          </w:p>
        </w:tc>
        <w:tc>
          <w:tcPr>
            <w:tcW w:w="319" w:type="pct"/>
            <w:shd w:val="clear" w:color="auto" w:fill="auto"/>
            <w:vAlign w:val="center"/>
          </w:tcPr>
          <w:p w14:paraId="026EA11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预测时段（</w:t>
            </w:r>
            <w:r>
              <w:rPr>
                <w:rFonts w:cs="Times New Roman"/>
                <w:color w:val="000000" w:themeColor="text1"/>
                <w:kern w:val="0"/>
                <w:sz w:val="18"/>
                <w:szCs w:val="18"/>
                <w14:textFill>
                  <w14:solidFill>
                    <w14:schemeClr w14:val="tx1"/>
                  </w14:solidFill>
                </w14:textFill>
              </w:rPr>
              <w:t>a</w:t>
            </w:r>
            <w:r>
              <w:rPr>
                <w:rFonts w:hint="eastAsia" w:ascii="仿宋_GB2312" w:hAnsi="宋体" w:cs="宋体"/>
                <w:color w:val="000000" w:themeColor="text1"/>
                <w:kern w:val="0"/>
                <w:sz w:val="18"/>
                <w:szCs w:val="18"/>
                <w14:textFill>
                  <w14:solidFill>
                    <w14:schemeClr w14:val="tx1"/>
                  </w14:solidFill>
                </w14:textFill>
              </w:rPr>
              <w:t>）</w:t>
            </w:r>
          </w:p>
        </w:tc>
        <w:tc>
          <w:tcPr>
            <w:tcW w:w="414" w:type="pct"/>
            <w:shd w:val="clear" w:color="auto" w:fill="auto"/>
            <w:vAlign w:val="center"/>
          </w:tcPr>
          <w:p w14:paraId="6927CB8C">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扰动后土壤流失量（</w:t>
            </w:r>
            <w:r>
              <w:rPr>
                <w:rFonts w:cs="Times New Roman"/>
                <w:color w:val="000000" w:themeColor="text1"/>
                <w:kern w:val="0"/>
                <w:sz w:val="18"/>
                <w:szCs w:val="18"/>
                <w14:textFill>
                  <w14:solidFill>
                    <w14:schemeClr w14:val="tx1"/>
                  </w14:solidFill>
                </w14:textFill>
              </w:rPr>
              <w:t>t</w:t>
            </w:r>
            <w:r>
              <w:rPr>
                <w:rFonts w:hint="eastAsia" w:ascii="仿宋_GB2312" w:hAnsi="宋体" w:cs="宋体"/>
                <w:color w:val="000000" w:themeColor="text1"/>
                <w:kern w:val="0"/>
                <w:sz w:val="18"/>
                <w:szCs w:val="18"/>
                <w14:textFill>
                  <w14:solidFill>
                    <w14:schemeClr w14:val="tx1"/>
                  </w14:solidFill>
                </w14:textFill>
              </w:rPr>
              <w:t>）</w:t>
            </w:r>
          </w:p>
        </w:tc>
        <w:tc>
          <w:tcPr>
            <w:tcW w:w="367" w:type="pct"/>
            <w:shd w:val="clear" w:color="auto" w:fill="auto"/>
            <w:vAlign w:val="center"/>
          </w:tcPr>
          <w:p w14:paraId="36B896EC">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背景土壤流失量（</w:t>
            </w:r>
            <w:r>
              <w:rPr>
                <w:rFonts w:cs="Times New Roman"/>
                <w:color w:val="000000" w:themeColor="text1"/>
                <w:kern w:val="0"/>
                <w:sz w:val="18"/>
                <w:szCs w:val="18"/>
                <w14:textFill>
                  <w14:solidFill>
                    <w14:schemeClr w14:val="tx1"/>
                  </w14:solidFill>
                </w14:textFill>
              </w:rPr>
              <w:t>t</w:t>
            </w:r>
            <w:r>
              <w:rPr>
                <w:rFonts w:hint="eastAsia" w:ascii="仿宋_GB2312" w:hAnsi="宋体" w:cs="宋体"/>
                <w:color w:val="000000" w:themeColor="text1"/>
                <w:kern w:val="0"/>
                <w:sz w:val="18"/>
                <w:szCs w:val="18"/>
                <w14:textFill>
                  <w14:solidFill>
                    <w14:schemeClr w14:val="tx1"/>
                  </w14:solidFill>
                </w14:textFill>
              </w:rPr>
              <w:t>）</w:t>
            </w:r>
          </w:p>
        </w:tc>
        <w:tc>
          <w:tcPr>
            <w:tcW w:w="366" w:type="pct"/>
            <w:shd w:val="clear" w:color="auto" w:fill="auto"/>
            <w:vAlign w:val="center"/>
          </w:tcPr>
          <w:p w14:paraId="6282BD24">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新增土壤流失量（</w:t>
            </w:r>
            <w:r>
              <w:rPr>
                <w:rFonts w:cs="Times New Roman"/>
                <w:color w:val="000000" w:themeColor="text1"/>
                <w:kern w:val="0"/>
                <w:sz w:val="18"/>
                <w:szCs w:val="18"/>
                <w14:textFill>
                  <w14:solidFill>
                    <w14:schemeClr w14:val="tx1"/>
                  </w14:solidFill>
                </w14:textFill>
              </w:rPr>
              <w:t>t</w:t>
            </w:r>
            <w:r>
              <w:rPr>
                <w:rFonts w:hint="eastAsia" w:ascii="仿宋_GB2312" w:hAnsi="宋体" w:cs="宋体"/>
                <w:color w:val="000000" w:themeColor="text1"/>
                <w:kern w:val="0"/>
                <w:sz w:val="18"/>
                <w:szCs w:val="18"/>
                <w14:textFill>
                  <w14:solidFill>
                    <w14:schemeClr w14:val="tx1"/>
                  </w14:solidFill>
                </w14:textFill>
              </w:rPr>
              <w:t>）</w:t>
            </w:r>
          </w:p>
        </w:tc>
      </w:tr>
      <w:tr w14:paraId="015DA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83" w:type="pct"/>
            <w:shd w:val="clear" w:color="auto" w:fill="auto"/>
            <w:noWrap/>
            <w:vAlign w:val="center"/>
          </w:tcPr>
          <w:p w14:paraId="07F76B41">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1</w:t>
            </w:r>
          </w:p>
        </w:tc>
        <w:tc>
          <w:tcPr>
            <w:tcW w:w="514" w:type="pct"/>
            <w:shd w:val="clear" w:color="auto" w:fill="auto"/>
            <w:vAlign w:val="center"/>
          </w:tcPr>
          <w:p w14:paraId="39DA43F4">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地下工程区</w:t>
            </w:r>
          </w:p>
        </w:tc>
        <w:tc>
          <w:tcPr>
            <w:tcW w:w="327" w:type="pct"/>
            <w:vMerge w:val="restart"/>
            <w:vAlign w:val="center"/>
          </w:tcPr>
          <w:p w14:paraId="056DA8FB">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施工期</w:t>
            </w:r>
          </w:p>
        </w:tc>
        <w:tc>
          <w:tcPr>
            <w:tcW w:w="458" w:type="pct"/>
            <w:shd w:val="clear" w:color="auto" w:fill="auto"/>
            <w:vAlign w:val="center"/>
          </w:tcPr>
          <w:p w14:paraId="5AF867A5">
            <w:pPr>
              <w:widowControl/>
              <w:adjustRightInd/>
              <w:snapToGrid/>
              <w:spacing w:line="240" w:lineRule="auto"/>
              <w:ind w:firstLine="0" w:firstLineChars="0"/>
              <w:jc w:val="center"/>
              <w:rPr>
                <w:rFonts w:hint="eastAsia" w:ascii="仿宋_GB2312" w:hAnsi="宋体" w:eastAsia="仿宋_GB2312" w:cs="宋体"/>
                <w:color w:val="000000" w:themeColor="text1"/>
                <w:kern w:val="0"/>
                <w:sz w:val="18"/>
                <w:szCs w:val="18"/>
                <w:lang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w:t>
            </w:r>
          </w:p>
        </w:tc>
        <w:tc>
          <w:tcPr>
            <w:tcW w:w="613" w:type="pct"/>
            <w:shd w:val="clear" w:color="auto" w:fill="auto"/>
            <w:vAlign w:val="center"/>
          </w:tcPr>
          <w:p w14:paraId="06AD0334">
            <w:pPr>
              <w:widowControl/>
              <w:adjustRightInd/>
              <w:snapToGrid/>
              <w:spacing w:line="240" w:lineRule="auto"/>
              <w:ind w:firstLine="0" w:firstLineChars="0"/>
              <w:jc w:val="center"/>
              <w:rPr>
                <w:rFonts w:hint="eastAsia" w:eastAsia="宋体" w:cs="Times New Roman"/>
                <w:color w:val="000000" w:themeColor="text1"/>
                <w:kern w:val="0"/>
                <w:sz w:val="18"/>
                <w:szCs w:val="18"/>
                <w:lang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w:t>
            </w:r>
          </w:p>
        </w:tc>
        <w:tc>
          <w:tcPr>
            <w:tcW w:w="823" w:type="pct"/>
            <w:shd w:val="clear" w:color="auto" w:fill="auto"/>
            <w:vAlign w:val="center"/>
          </w:tcPr>
          <w:p w14:paraId="3660A8B3">
            <w:pPr>
              <w:widowControl/>
              <w:adjustRightInd/>
              <w:snapToGrid/>
              <w:spacing w:line="240" w:lineRule="auto"/>
              <w:ind w:firstLine="0" w:firstLineChars="0"/>
              <w:jc w:val="center"/>
              <w:rPr>
                <w:rFonts w:hint="eastAsia" w:ascii="仿宋_GB2312" w:hAnsi="宋体" w:eastAsia="仿宋_GB2312" w:cs="宋体"/>
                <w:color w:val="000000" w:themeColor="text1"/>
                <w:kern w:val="0"/>
                <w:sz w:val="18"/>
                <w:szCs w:val="18"/>
                <w:lang w:eastAsia="zh-CN"/>
                <w14:textFill>
                  <w14:solidFill>
                    <w14:schemeClr w14:val="tx1"/>
                  </w14:solidFill>
                </w14:textFill>
              </w:rPr>
            </w:pPr>
            <w:r>
              <w:rPr>
                <w:rFonts w:hint="eastAsia" w:ascii="仿宋_GB2312" w:hAnsi="宋体" w:cs="宋体"/>
                <w:color w:val="000000" w:themeColor="text1"/>
                <w:kern w:val="0"/>
                <w:sz w:val="18"/>
                <w:szCs w:val="18"/>
                <w:lang w:val="en-US" w:eastAsia="zh-CN"/>
                <w14:textFill>
                  <w14:solidFill>
                    <w14:schemeClr w14:val="tx1"/>
                  </w14:solidFill>
                </w14:textFill>
              </w:rPr>
              <w:t>\</w:t>
            </w:r>
          </w:p>
        </w:tc>
        <w:tc>
          <w:tcPr>
            <w:tcW w:w="613" w:type="pct"/>
            <w:shd w:val="clear" w:color="auto" w:fill="auto"/>
            <w:vAlign w:val="center"/>
          </w:tcPr>
          <w:p w14:paraId="3534A775">
            <w:pPr>
              <w:widowControl/>
              <w:adjustRightInd/>
              <w:snapToGrid/>
              <w:spacing w:line="240" w:lineRule="auto"/>
              <w:ind w:firstLine="0" w:firstLineChars="0"/>
              <w:jc w:val="center"/>
              <w:rPr>
                <w:rFonts w:hint="eastAsia" w:eastAsia="宋体" w:cs="Times New Roman"/>
                <w:color w:val="000000" w:themeColor="text1"/>
                <w:kern w:val="0"/>
                <w:sz w:val="18"/>
                <w:szCs w:val="18"/>
                <w:lang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w:t>
            </w:r>
          </w:p>
        </w:tc>
        <w:tc>
          <w:tcPr>
            <w:tcW w:w="319" w:type="pct"/>
            <w:shd w:val="clear" w:color="auto" w:fill="auto"/>
            <w:vAlign w:val="center"/>
          </w:tcPr>
          <w:p w14:paraId="4008F178">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p>
        </w:tc>
        <w:tc>
          <w:tcPr>
            <w:tcW w:w="414" w:type="pct"/>
            <w:shd w:val="clear" w:color="auto" w:fill="auto"/>
            <w:vAlign w:val="center"/>
          </w:tcPr>
          <w:p w14:paraId="32246AC0">
            <w:pPr>
              <w:widowControl/>
              <w:ind w:firstLine="0" w:firstLineChars="0"/>
              <w:jc w:val="center"/>
              <w:textAlignment w:val="center"/>
              <w:rPr>
                <w:rFonts w:hint="eastAsia" w:ascii="仿宋_GB2312" w:hAnsi="宋体" w:eastAsia="仿宋_GB2312" w:cs="宋体"/>
                <w:color w:val="000000" w:themeColor="text1"/>
                <w:kern w:val="0"/>
                <w:sz w:val="18"/>
                <w:szCs w:val="18"/>
                <w:lang w:eastAsia="zh-CN"/>
                <w14:textFill>
                  <w14:solidFill>
                    <w14:schemeClr w14:val="tx1"/>
                  </w14:solidFill>
                </w14:textFill>
              </w:rPr>
            </w:pPr>
            <w:r>
              <w:rPr>
                <w:rFonts w:hint="eastAsia" w:eastAsia="宋体" w:cs="Times New Roman"/>
                <w:color w:val="000000"/>
                <w:kern w:val="0"/>
                <w:sz w:val="18"/>
                <w:szCs w:val="18"/>
                <w:lang w:val="en-US" w:eastAsia="zh-CN" w:bidi="ar"/>
              </w:rPr>
              <w:t>\</w:t>
            </w:r>
          </w:p>
        </w:tc>
        <w:tc>
          <w:tcPr>
            <w:tcW w:w="367" w:type="pct"/>
            <w:shd w:val="clear" w:color="auto" w:fill="auto"/>
            <w:vAlign w:val="center"/>
          </w:tcPr>
          <w:p w14:paraId="3A201FA4">
            <w:pPr>
              <w:widowControl/>
              <w:ind w:firstLine="0" w:firstLineChars="0"/>
              <w:jc w:val="center"/>
              <w:textAlignment w:val="center"/>
              <w:rPr>
                <w:rFonts w:hint="eastAsia" w:ascii="仿宋_GB2312" w:hAnsi="宋体" w:eastAsia="仿宋_GB2312" w:cs="宋体"/>
                <w:color w:val="000000" w:themeColor="text1"/>
                <w:kern w:val="0"/>
                <w:sz w:val="18"/>
                <w:szCs w:val="18"/>
                <w:lang w:eastAsia="zh-CN"/>
                <w14:textFill>
                  <w14:solidFill>
                    <w14:schemeClr w14:val="tx1"/>
                  </w14:solidFill>
                </w14:textFill>
              </w:rPr>
            </w:pPr>
            <w:r>
              <w:rPr>
                <w:rFonts w:hint="eastAsia" w:eastAsia="宋体" w:cs="Times New Roman"/>
                <w:color w:val="000000"/>
                <w:kern w:val="0"/>
                <w:sz w:val="18"/>
                <w:szCs w:val="18"/>
                <w:lang w:val="en-US" w:eastAsia="zh-CN" w:bidi="ar"/>
              </w:rPr>
              <w:t>\</w:t>
            </w:r>
          </w:p>
        </w:tc>
        <w:tc>
          <w:tcPr>
            <w:tcW w:w="366" w:type="pct"/>
            <w:shd w:val="clear" w:color="auto" w:fill="auto"/>
            <w:vAlign w:val="center"/>
          </w:tcPr>
          <w:p w14:paraId="7D6AB2E3">
            <w:pPr>
              <w:widowControl/>
              <w:ind w:firstLine="0" w:firstLineChars="0"/>
              <w:jc w:val="center"/>
              <w:textAlignment w:val="center"/>
              <w:rPr>
                <w:rFonts w:hint="eastAsia" w:ascii="仿宋_GB2312" w:hAnsi="宋体" w:eastAsia="仿宋_GB2312" w:cs="宋体"/>
                <w:color w:val="000000" w:themeColor="text1"/>
                <w:kern w:val="0"/>
                <w:sz w:val="18"/>
                <w:szCs w:val="18"/>
                <w:lang w:eastAsia="zh-CN"/>
                <w14:textFill>
                  <w14:solidFill>
                    <w14:schemeClr w14:val="tx1"/>
                  </w14:solidFill>
                </w14:textFill>
              </w:rPr>
            </w:pPr>
            <w:r>
              <w:rPr>
                <w:rFonts w:hint="eastAsia" w:eastAsia="宋体" w:cs="Times New Roman"/>
                <w:color w:val="000000"/>
                <w:kern w:val="0"/>
                <w:sz w:val="18"/>
                <w:szCs w:val="18"/>
                <w:lang w:val="en-US" w:eastAsia="zh-CN" w:bidi="ar"/>
              </w:rPr>
              <w:t>\</w:t>
            </w:r>
          </w:p>
        </w:tc>
      </w:tr>
      <w:tr w14:paraId="4E14E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83" w:type="pct"/>
            <w:shd w:val="clear" w:color="auto" w:fill="auto"/>
            <w:noWrap/>
            <w:vAlign w:val="center"/>
          </w:tcPr>
          <w:p w14:paraId="00C0B65B">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2</w:t>
            </w:r>
          </w:p>
        </w:tc>
        <w:tc>
          <w:tcPr>
            <w:tcW w:w="514" w:type="pct"/>
            <w:shd w:val="clear" w:color="auto" w:fill="auto"/>
            <w:vAlign w:val="center"/>
          </w:tcPr>
          <w:p w14:paraId="7C207C40">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建构筑物工程区</w:t>
            </w:r>
          </w:p>
        </w:tc>
        <w:tc>
          <w:tcPr>
            <w:tcW w:w="327" w:type="pct"/>
            <w:vMerge w:val="continue"/>
            <w:vAlign w:val="center"/>
          </w:tcPr>
          <w:p w14:paraId="054B9BA0">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458" w:type="pct"/>
            <w:shd w:val="clear" w:color="auto" w:fill="auto"/>
            <w:vAlign w:val="center"/>
          </w:tcPr>
          <w:p w14:paraId="409DF15D">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0.45</w:t>
            </w:r>
          </w:p>
        </w:tc>
        <w:tc>
          <w:tcPr>
            <w:tcW w:w="613" w:type="pct"/>
            <w:shd w:val="clear" w:color="auto" w:fill="auto"/>
            <w:vAlign w:val="center"/>
          </w:tcPr>
          <w:p w14:paraId="06414505">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500</w:t>
            </w:r>
          </w:p>
        </w:tc>
        <w:tc>
          <w:tcPr>
            <w:tcW w:w="823" w:type="pct"/>
            <w:shd w:val="clear" w:color="auto" w:fill="auto"/>
            <w:vAlign w:val="center"/>
          </w:tcPr>
          <w:p w14:paraId="11018831">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地表翻扰型一般扰动地表</w:t>
            </w:r>
          </w:p>
        </w:tc>
        <w:tc>
          <w:tcPr>
            <w:tcW w:w="613" w:type="pct"/>
            <w:shd w:val="clear" w:color="auto" w:fill="auto"/>
            <w:vAlign w:val="center"/>
          </w:tcPr>
          <w:p w14:paraId="02D27C32">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1701.91</w:t>
            </w:r>
          </w:p>
        </w:tc>
        <w:tc>
          <w:tcPr>
            <w:tcW w:w="319" w:type="pct"/>
            <w:shd w:val="clear" w:color="auto" w:fill="auto"/>
            <w:vAlign w:val="center"/>
          </w:tcPr>
          <w:p w14:paraId="5FF34D13">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0.5</w:t>
            </w:r>
          </w:p>
        </w:tc>
        <w:tc>
          <w:tcPr>
            <w:tcW w:w="892" w:type="dxa"/>
            <w:shd w:val="clear" w:color="auto" w:fill="auto"/>
            <w:vAlign w:val="center"/>
          </w:tcPr>
          <w:p w14:paraId="13E0B39D">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3.82</w:t>
            </w:r>
          </w:p>
        </w:tc>
        <w:tc>
          <w:tcPr>
            <w:tcW w:w="791" w:type="dxa"/>
            <w:shd w:val="clear" w:color="auto" w:fill="auto"/>
            <w:vAlign w:val="center"/>
          </w:tcPr>
          <w:p w14:paraId="2E57531F">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1.12</w:t>
            </w:r>
          </w:p>
        </w:tc>
        <w:tc>
          <w:tcPr>
            <w:tcW w:w="789" w:type="dxa"/>
            <w:shd w:val="clear" w:color="auto" w:fill="auto"/>
            <w:vAlign w:val="center"/>
          </w:tcPr>
          <w:p w14:paraId="671C91DE">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2.7</w:t>
            </w:r>
          </w:p>
        </w:tc>
      </w:tr>
      <w:tr w14:paraId="184BA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83" w:type="pct"/>
            <w:shd w:val="clear" w:color="auto" w:fill="auto"/>
            <w:noWrap/>
            <w:vAlign w:val="center"/>
          </w:tcPr>
          <w:p w14:paraId="13167AD0">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3</w:t>
            </w:r>
          </w:p>
        </w:tc>
        <w:tc>
          <w:tcPr>
            <w:tcW w:w="514" w:type="pct"/>
            <w:shd w:val="clear" w:color="auto" w:fill="auto"/>
            <w:vAlign w:val="center"/>
          </w:tcPr>
          <w:p w14:paraId="6072335C">
            <w:pPr>
              <w:widowControl/>
              <w:adjustRightInd/>
              <w:snapToGrid/>
              <w:spacing w:line="240" w:lineRule="auto"/>
              <w:ind w:firstLine="0" w:firstLineChars="0"/>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场内道路及硬化工程区</w:t>
            </w:r>
          </w:p>
        </w:tc>
        <w:tc>
          <w:tcPr>
            <w:tcW w:w="327" w:type="pct"/>
            <w:vMerge w:val="continue"/>
            <w:vAlign w:val="center"/>
          </w:tcPr>
          <w:p w14:paraId="18293A4C">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458" w:type="pct"/>
            <w:shd w:val="clear" w:color="auto" w:fill="auto"/>
            <w:vAlign w:val="center"/>
          </w:tcPr>
          <w:p w14:paraId="00AE4257">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0.38</w:t>
            </w:r>
          </w:p>
        </w:tc>
        <w:tc>
          <w:tcPr>
            <w:tcW w:w="613" w:type="pct"/>
            <w:shd w:val="clear" w:color="auto" w:fill="auto"/>
            <w:vAlign w:val="center"/>
          </w:tcPr>
          <w:p w14:paraId="3833B715">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500</w:t>
            </w:r>
          </w:p>
        </w:tc>
        <w:tc>
          <w:tcPr>
            <w:tcW w:w="823" w:type="pct"/>
            <w:shd w:val="clear" w:color="auto" w:fill="auto"/>
            <w:vAlign w:val="center"/>
          </w:tcPr>
          <w:p w14:paraId="3303724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地表翻扰型一般扰动地表</w:t>
            </w:r>
          </w:p>
        </w:tc>
        <w:tc>
          <w:tcPr>
            <w:tcW w:w="613" w:type="pct"/>
            <w:shd w:val="clear" w:color="auto" w:fill="auto"/>
            <w:vAlign w:val="center"/>
          </w:tcPr>
          <w:p w14:paraId="2644D8D4">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1701.91</w:t>
            </w:r>
          </w:p>
        </w:tc>
        <w:tc>
          <w:tcPr>
            <w:tcW w:w="319" w:type="pct"/>
            <w:shd w:val="clear" w:color="auto" w:fill="auto"/>
            <w:vAlign w:val="center"/>
          </w:tcPr>
          <w:p w14:paraId="3A3F0339">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0.5</w:t>
            </w:r>
          </w:p>
        </w:tc>
        <w:tc>
          <w:tcPr>
            <w:tcW w:w="892" w:type="dxa"/>
            <w:shd w:val="clear" w:color="auto" w:fill="auto"/>
            <w:vAlign w:val="center"/>
          </w:tcPr>
          <w:p w14:paraId="1E6B831E">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3.24</w:t>
            </w:r>
          </w:p>
        </w:tc>
        <w:tc>
          <w:tcPr>
            <w:tcW w:w="791" w:type="dxa"/>
            <w:shd w:val="clear" w:color="auto" w:fill="auto"/>
            <w:vAlign w:val="center"/>
          </w:tcPr>
          <w:p w14:paraId="1D91CE79">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0.96</w:t>
            </w:r>
          </w:p>
        </w:tc>
        <w:tc>
          <w:tcPr>
            <w:tcW w:w="789" w:type="dxa"/>
            <w:shd w:val="clear" w:color="auto" w:fill="auto"/>
            <w:vAlign w:val="center"/>
          </w:tcPr>
          <w:p w14:paraId="7DAAB0C0">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2.28</w:t>
            </w:r>
          </w:p>
        </w:tc>
      </w:tr>
      <w:tr w14:paraId="4879E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83" w:type="pct"/>
            <w:shd w:val="clear" w:color="auto" w:fill="auto"/>
            <w:noWrap/>
            <w:vAlign w:val="center"/>
          </w:tcPr>
          <w:p w14:paraId="29BE7857">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4</w:t>
            </w:r>
          </w:p>
        </w:tc>
        <w:tc>
          <w:tcPr>
            <w:tcW w:w="514" w:type="pct"/>
            <w:shd w:val="clear" w:color="auto" w:fill="auto"/>
            <w:vAlign w:val="center"/>
          </w:tcPr>
          <w:p w14:paraId="0B1B6B0A">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景观绿化工程区</w:t>
            </w:r>
          </w:p>
        </w:tc>
        <w:tc>
          <w:tcPr>
            <w:tcW w:w="327" w:type="pct"/>
            <w:vMerge w:val="continue"/>
            <w:vAlign w:val="center"/>
          </w:tcPr>
          <w:p w14:paraId="35E61269">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458" w:type="pct"/>
            <w:shd w:val="clear" w:color="auto" w:fill="auto"/>
            <w:vAlign w:val="center"/>
          </w:tcPr>
          <w:p w14:paraId="565D0D53">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0.12</w:t>
            </w:r>
          </w:p>
        </w:tc>
        <w:tc>
          <w:tcPr>
            <w:tcW w:w="613" w:type="pct"/>
            <w:shd w:val="clear" w:color="auto" w:fill="auto"/>
            <w:vAlign w:val="center"/>
          </w:tcPr>
          <w:p w14:paraId="4AD5186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500</w:t>
            </w:r>
          </w:p>
        </w:tc>
        <w:tc>
          <w:tcPr>
            <w:tcW w:w="823" w:type="pct"/>
            <w:shd w:val="clear" w:color="auto" w:fill="auto"/>
            <w:vAlign w:val="center"/>
          </w:tcPr>
          <w:p w14:paraId="6C16B6F5">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地表翻扰型一般扰动地表</w:t>
            </w:r>
          </w:p>
        </w:tc>
        <w:tc>
          <w:tcPr>
            <w:tcW w:w="613" w:type="pct"/>
            <w:shd w:val="clear" w:color="auto" w:fill="auto"/>
            <w:vAlign w:val="center"/>
          </w:tcPr>
          <w:p w14:paraId="3E75B909">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1385.81</w:t>
            </w:r>
          </w:p>
        </w:tc>
        <w:tc>
          <w:tcPr>
            <w:tcW w:w="319" w:type="pct"/>
            <w:shd w:val="clear" w:color="auto" w:fill="auto"/>
            <w:vAlign w:val="center"/>
          </w:tcPr>
          <w:p w14:paraId="454854A1">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0.5</w:t>
            </w:r>
          </w:p>
        </w:tc>
        <w:tc>
          <w:tcPr>
            <w:tcW w:w="892" w:type="dxa"/>
            <w:shd w:val="clear" w:color="auto" w:fill="auto"/>
            <w:vAlign w:val="center"/>
          </w:tcPr>
          <w:p w14:paraId="02E36D79">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0.84</w:t>
            </w:r>
          </w:p>
        </w:tc>
        <w:tc>
          <w:tcPr>
            <w:tcW w:w="791" w:type="dxa"/>
            <w:shd w:val="clear" w:color="auto" w:fill="auto"/>
            <w:vAlign w:val="center"/>
          </w:tcPr>
          <w:p w14:paraId="69EB6B49">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0.3</w:t>
            </w:r>
          </w:p>
        </w:tc>
        <w:tc>
          <w:tcPr>
            <w:tcW w:w="789" w:type="dxa"/>
            <w:shd w:val="clear" w:color="auto" w:fill="auto"/>
            <w:vAlign w:val="center"/>
          </w:tcPr>
          <w:p w14:paraId="077FAF6F">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0.54</w:t>
            </w:r>
          </w:p>
        </w:tc>
      </w:tr>
      <w:tr w14:paraId="20849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3" w:type="pct"/>
            <w:shd w:val="clear" w:color="auto" w:fill="auto"/>
            <w:noWrap/>
            <w:vAlign w:val="center"/>
          </w:tcPr>
          <w:p w14:paraId="08776B8D">
            <w:pPr>
              <w:widowControl/>
              <w:adjustRightInd/>
              <w:snapToGrid/>
              <w:spacing w:line="240" w:lineRule="auto"/>
              <w:ind w:firstLine="0" w:firstLineChars="0"/>
              <w:jc w:val="left"/>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　</w:t>
            </w:r>
          </w:p>
        </w:tc>
        <w:tc>
          <w:tcPr>
            <w:tcW w:w="3668" w:type="pct"/>
            <w:gridSpan w:val="7"/>
            <w:shd w:val="clear" w:color="auto" w:fill="auto"/>
            <w:vAlign w:val="center"/>
          </w:tcPr>
          <w:p w14:paraId="6865C741">
            <w:pPr>
              <w:widowControl/>
              <w:adjustRightInd/>
              <w:snapToGrid/>
              <w:spacing w:line="240" w:lineRule="auto"/>
              <w:ind w:firstLine="0" w:firstLineChars="0"/>
              <w:jc w:val="center"/>
              <w:rPr>
                <w:rFonts w:hint="eastAsia" w:ascii="宋体" w:hAnsi="宋体" w:eastAsia="宋体" w:cs="宋体"/>
                <w:b/>
                <w:bCs/>
                <w:color w:val="000000" w:themeColor="text1"/>
                <w:kern w:val="0"/>
                <w:sz w:val="18"/>
                <w:szCs w:val="18"/>
                <w14:textFill>
                  <w14:solidFill>
                    <w14:schemeClr w14:val="tx1"/>
                  </w14:solidFill>
                </w14:textFill>
              </w:rPr>
            </w:pPr>
            <w:r>
              <w:rPr>
                <w:rFonts w:hint="eastAsia" w:ascii="宋体" w:hAnsi="宋体" w:eastAsia="宋体" w:cs="宋体"/>
                <w:b/>
                <w:bCs/>
                <w:color w:val="000000" w:themeColor="text1"/>
                <w:kern w:val="0"/>
                <w:sz w:val="18"/>
                <w:szCs w:val="18"/>
                <w14:textFill>
                  <w14:solidFill>
                    <w14:schemeClr w14:val="tx1"/>
                  </w14:solidFill>
                </w14:textFill>
              </w:rPr>
              <w:t>小计</w:t>
            </w:r>
          </w:p>
        </w:tc>
        <w:tc>
          <w:tcPr>
            <w:tcW w:w="892" w:type="dxa"/>
            <w:shd w:val="clear" w:color="auto" w:fill="auto"/>
            <w:vAlign w:val="center"/>
          </w:tcPr>
          <w:p w14:paraId="2399E9F2">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default" w:eastAsia="宋体" w:cs="Times New Roman"/>
                <w:b/>
                <w:bCs/>
                <w:color w:val="000000" w:themeColor="text1"/>
                <w:kern w:val="0"/>
                <w:sz w:val="18"/>
                <w:szCs w:val="18"/>
                <w:lang w:val="en-US" w:eastAsia="zh-CN"/>
                <w14:textFill>
                  <w14:solidFill>
                    <w14:schemeClr w14:val="tx1"/>
                  </w14:solidFill>
                </w14:textFill>
              </w:rPr>
              <w:t>7.9</w:t>
            </w:r>
          </w:p>
        </w:tc>
        <w:tc>
          <w:tcPr>
            <w:tcW w:w="791" w:type="dxa"/>
            <w:shd w:val="clear" w:color="auto" w:fill="auto"/>
            <w:vAlign w:val="center"/>
          </w:tcPr>
          <w:p w14:paraId="62B0C0E1">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default" w:eastAsia="宋体" w:cs="Times New Roman"/>
                <w:b/>
                <w:bCs/>
                <w:color w:val="000000" w:themeColor="text1"/>
                <w:kern w:val="0"/>
                <w:sz w:val="18"/>
                <w:szCs w:val="18"/>
                <w:lang w:val="en-US" w:eastAsia="zh-CN"/>
                <w14:textFill>
                  <w14:solidFill>
                    <w14:schemeClr w14:val="tx1"/>
                  </w14:solidFill>
                </w14:textFill>
              </w:rPr>
              <w:t>2.38</w:t>
            </w:r>
          </w:p>
        </w:tc>
        <w:tc>
          <w:tcPr>
            <w:tcW w:w="789" w:type="dxa"/>
            <w:shd w:val="clear" w:color="auto" w:fill="auto"/>
            <w:vAlign w:val="center"/>
          </w:tcPr>
          <w:p w14:paraId="31E45B05">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default" w:eastAsia="宋体" w:cs="Times New Roman"/>
                <w:b/>
                <w:bCs/>
                <w:color w:val="000000" w:themeColor="text1"/>
                <w:kern w:val="0"/>
                <w:sz w:val="18"/>
                <w:szCs w:val="18"/>
                <w:lang w:val="en-US" w:eastAsia="zh-CN"/>
                <w14:textFill>
                  <w14:solidFill>
                    <w14:schemeClr w14:val="tx1"/>
                  </w14:solidFill>
                </w14:textFill>
              </w:rPr>
              <w:t>5.52</w:t>
            </w:r>
          </w:p>
        </w:tc>
      </w:tr>
      <w:tr w14:paraId="7656C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183" w:type="pct"/>
            <w:shd w:val="clear" w:color="auto" w:fill="auto"/>
            <w:noWrap/>
            <w:vAlign w:val="center"/>
          </w:tcPr>
          <w:p w14:paraId="1A66FC4E">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ascii="仿宋_GB2312" w:hAnsi="宋体" w:cs="宋体"/>
                <w:color w:val="000000" w:themeColor="text1"/>
                <w:kern w:val="0"/>
                <w:sz w:val="18"/>
                <w:szCs w:val="18"/>
                <w14:textFill>
                  <w14:solidFill>
                    <w14:schemeClr w14:val="tx1"/>
                  </w14:solidFill>
                </w14:textFill>
              </w:rPr>
              <w:t>1</w:t>
            </w:r>
          </w:p>
        </w:tc>
        <w:tc>
          <w:tcPr>
            <w:tcW w:w="514" w:type="pct"/>
            <w:shd w:val="clear" w:color="auto" w:fill="auto"/>
            <w:vAlign w:val="center"/>
          </w:tcPr>
          <w:p w14:paraId="7BE9ED09">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景观绿化工程区</w:t>
            </w:r>
          </w:p>
        </w:tc>
        <w:tc>
          <w:tcPr>
            <w:tcW w:w="327" w:type="pct"/>
            <w:shd w:val="clear" w:color="auto" w:fill="auto"/>
            <w:vAlign w:val="center"/>
          </w:tcPr>
          <w:p w14:paraId="58377505">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自然恢复期</w:t>
            </w:r>
          </w:p>
        </w:tc>
        <w:tc>
          <w:tcPr>
            <w:tcW w:w="458" w:type="pct"/>
            <w:shd w:val="clear" w:color="auto" w:fill="auto"/>
            <w:vAlign w:val="center"/>
          </w:tcPr>
          <w:p w14:paraId="6291194E">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0.12</w:t>
            </w:r>
          </w:p>
        </w:tc>
        <w:tc>
          <w:tcPr>
            <w:tcW w:w="613" w:type="pct"/>
            <w:shd w:val="clear" w:color="auto" w:fill="auto"/>
            <w:vAlign w:val="center"/>
          </w:tcPr>
          <w:p w14:paraId="7384B307">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450</w:t>
            </w:r>
          </w:p>
        </w:tc>
        <w:tc>
          <w:tcPr>
            <w:tcW w:w="823" w:type="pct"/>
            <w:shd w:val="clear" w:color="auto" w:fill="auto"/>
            <w:vAlign w:val="center"/>
          </w:tcPr>
          <w:p w14:paraId="44D510C0">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植被破坏型一般扰动地表</w:t>
            </w:r>
          </w:p>
        </w:tc>
        <w:tc>
          <w:tcPr>
            <w:tcW w:w="613" w:type="pct"/>
            <w:shd w:val="clear" w:color="auto" w:fill="auto"/>
            <w:vAlign w:val="center"/>
          </w:tcPr>
          <w:p w14:paraId="3CF05D4F">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479.65</w:t>
            </w:r>
          </w:p>
        </w:tc>
        <w:tc>
          <w:tcPr>
            <w:tcW w:w="319" w:type="pct"/>
            <w:shd w:val="clear" w:color="auto" w:fill="auto"/>
            <w:vAlign w:val="center"/>
          </w:tcPr>
          <w:p w14:paraId="6C386515">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2.</w:t>
            </w:r>
            <w:r>
              <w:rPr>
                <w:rFonts w:eastAsia="宋体" w:cs="Times New Roman"/>
                <w:color w:val="000000" w:themeColor="text1"/>
                <w:kern w:val="0"/>
                <w:sz w:val="18"/>
                <w:szCs w:val="18"/>
                <w14:textFill>
                  <w14:solidFill>
                    <w14:schemeClr w14:val="tx1"/>
                  </w14:solidFill>
                </w14:textFill>
              </w:rPr>
              <w:t>0</w:t>
            </w:r>
          </w:p>
        </w:tc>
        <w:tc>
          <w:tcPr>
            <w:tcW w:w="892" w:type="dxa"/>
            <w:shd w:val="clear" w:color="auto" w:fill="auto"/>
            <w:vAlign w:val="center"/>
          </w:tcPr>
          <w:p w14:paraId="4A8AB81C">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 xml:space="preserve">1.15 </w:t>
            </w:r>
          </w:p>
        </w:tc>
        <w:tc>
          <w:tcPr>
            <w:tcW w:w="791" w:type="dxa"/>
            <w:shd w:val="clear" w:color="auto" w:fill="auto"/>
            <w:vAlign w:val="center"/>
          </w:tcPr>
          <w:p w14:paraId="46C5F026">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 xml:space="preserve">1.08 </w:t>
            </w:r>
          </w:p>
        </w:tc>
        <w:tc>
          <w:tcPr>
            <w:tcW w:w="789" w:type="dxa"/>
            <w:shd w:val="clear" w:color="auto" w:fill="auto"/>
            <w:vAlign w:val="center"/>
          </w:tcPr>
          <w:p w14:paraId="329AC3D0">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 xml:space="preserve">0.07 </w:t>
            </w:r>
          </w:p>
        </w:tc>
      </w:tr>
      <w:tr w14:paraId="09B69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83" w:type="pct"/>
            <w:shd w:val="clear" w:color="auto" w:fill="auto"/>
            <w:noWrap/>
            <w:vAlign w:val="center"/>
          </w:tcPr>
          <w:p w14:paraId="7AF0C881">
            <w:pPr>
              <w:widowControl/>
              <w:adjustRightInd/>
              <w:snapToGrid/>
              <w:spacing w:line="240" w:lineRule="auto"/>
              <w:ind w:firstLine="0" w:firstLineChars="0"/>
              <w:jc w:val="left"/>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　</w:t>
            </w:r>
          </w:p>
        </w:tc>
        <w:tc>
          <w:tcPr>
            <w:tcW w:w="3668" w:type="pct"/>
            <w:gridSpan w:val="7"/>
            <w:shd w:val="clear" w:color="auto" w:fill="auto"/>
            <w:vAlign w:val="center"/>
          </w:tcPr>
          <w:p w14:paraId="0248F414">
            <w:pPr>
              <w:widowControl/>
              <w:adjustRightInd/>
              <w:snapToGrid/>
              <w:spacing w:line="240" w:lineRule="auto"/>
              <w:ind w:firstLine="0" w:firstLineChars="0"/>
              <w:jc w:val="center"/>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b/>
                <w:bCs/>
                <w:color w:val="000000" w:themeColor="text1"/>
                <w:kern w:val="0"/>
                <w:sz w:val="18"/>
                <w:szCs w:val="18"/>
                <w14:textFill>
                  <w14:solidFill>
                    <w14:schemeClr w14:val="tx1"/>
                  </w14:solidFill>
                </w14:textFill>
              </w:rPr>
              <w:t>小计</w:t>
            </w:r>
          </w:p>
        </w:tc>
        <w:tc>
          <w:tcPr>
            <w:tcW w:w="892" w:type="dxa"/>
            <w:shd w:val="clear" w:color="auto" w:fill="auto"/>
            <w:vAlign w:val="center"/>
          </w:tcPr>
          <w:p w14:paraId="43C85671">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default" w:eastAsia="宋体" w:cs="Times New Roman"/>
                <w:b/>
                <w:bCs/>
                <w:color w:val="000000" w:themeColor="text1"/>
                <w:kern w:val="0"/>
                <w:sz w:val="18"/>
                <w:szCs w:val="18"/>
                <w:lang w:val="en-US" w:eastAsia="zh-CN"/>
                <w14:textFill>
                  <w14:solidFill>
                    <w14:schemeClr w14:val="tx1"/>
                  </w14:solidFill>
                </w14:textFill>
              </w:rPr>
              <w:t xml:space="preserve">1.15 </w:t>
            </w:r>
          </w:p>
        </w:tc>
        <w:tc>
          <w:tcPr>
            <w:tcW w:w="791" w:type="dxa"/>
            <w:shd w:val="clear" w:color="auto" w:fill="auto"/>
            <w:vAlign w:val="center"/>
          </w:tcPr>
          <w:p w14:paraId="77A90936">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default" w:eastAsia="宋体" w:cs="Times New Roman"/>
                <w:b/>
                <w:bCs/>
                <w:color w:val="000000" w:themeColor="text1"/>
                <w:kern w:val="0"/>
                <w:sz w:val="18"/>
                <w:szCs w:val="18"/>
                <w:lang w:val="en-US" w:eastAsia="zh-CN"/>
                <w14:textFill>
                  <w14:solidFill>
                    <w14:schemeClr w14:val="tx1"/>
                  </w14:solidFill>
                </w14:textFill>
              </w:rPr>
              <w:t xml:space="preserve">1.08 </w:t>
            </w:r>
          </w:p>
        </w:tc>
        <w:tc>
          <w:tcPr>
            <w:tcW w:w="789" w:type="dxa"/>
            <w:shd w:val="clear" w:color="auto" w:fill="auto"/>
            <w:vAlign w:val="center"/>
          </w:tcPr>
          <w:p w14:paraId="2AD35D7F">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default" w:eastAsia="宋体" w:cs="Times New Roman"/>
                <w:b/>
                <w:bCs/>
                <w:color w:val="000000" w:themeColor="text1"/>
                <w:kern w:val="0"/>
                <w:sz w:val="18"/>
                <w:szCs w:val="18"/>
                <w:lang w:val="en-US" w:eastAsia="zh-CN"/>
                <w14:textFill>
                  <w14:solidFill>
                    <w14:schemeClr w14:val="tx1"/>
                  </w14:solidFill>
                </w14:textFill>
              </w:rPr>
              <w:t xml:space="preserve">0.07 </w:t>
            </w:r>
          </w:p>
        </w:tc>
      </w:tr>
      <w:tr w14:paraId="4578A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83" w:type="pct"/>
            <w:shd w:val="clear" w:color="auto" w:fill="auto"/>
            <w:noWrap/>
            <w:vAlign w:val="center"/>
          </w:tcPr>
          <w:p w14:paraId="3C7730C6">
            <w:pPr>
              <w:widowControl/>
              <w:adjustRightInd/>
              <w:snapToGrid/>
              <w:spacing w:line="240" w:lineRule="auto"/>
              <w:ind w:firstLine="0" w:firstLineChars="0"/>
              <w:jc w:val="left"/>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　</w:t>
            </w:r>
          </w:p>
        </w:tc>
        <w:tc>
          <w:tcPr>
            <w:tcW w:w="3668" w:type="pct"/>
            <w:gridSpan w:val="7"/>
            <w:shd w:val="clear" w:color="auto" w:fill="auto"/>
            <w:vAlign w:val="center"/>
          </w:tcPr>
          <w:p w14:paraId="4396ED87">
            <w:pPr>
              <w:widowControl/>
              <w:adjustRightInd/>
              <w:snapToGrid/>
              <w:spacing w:line="240" w:lineRule="auto"/>
              <w:ind w:firstLine="0" w:firstLineChars="0"/>
              <w:jc w:val="center"/>
              <w:rPr>
                <w:rFonts w:hint="eastAsia" w:ascii="宋体" w:hAnsi="宋体" w:eastAsia="宋体" w:cs="宋体"/>
                <w:b/>
                <w:bCs/>
                <w:color w:val="000000" w:themeColor="text1"/>
                <w:kern w:val="0"/>
                <w:sz w:val="18"/>
                <w:szCs w:val="18"/>
                <w14:textFill>
                  <w14:solidFill>
                    <w14:schemeClr w14:val="tx1"/>
                  </w14:solidFill>
                </w14:textFill>
              </w:rPr>
            </w:pPr>
            <w:r>
              <w:rPr>
                <w:rFonts w:hint="eastAsia" w:ascii="宋体" w:hAnsi="宋体" w:eastAsia="宋体" w:cs="宋体"/>
                <w:b/>
                <w:bCs/>
                <w:color w:val="000000" w:themeColor="text1"/>
                <w:kern w:val="0"/>
                <w:sz w:val="18"/>
                <w:szCs w:val="18"/>
                <w14:textFill>
                  <w14:solidFill>
                    <w14:schemeClr w14:val="tx1"/>
                  </w14:solidFill>
                </w14:textFill>
              </w:rPr>
              <w:t>合计</w:t>
            </w:r>
          </w:p>
        </w:tc>
        <w:tc>
          <w:tcPr>
            <w:tcW w:w="892" w:type="dxa"/>
            <w:shd w:val="clear" w:color="auto" w:fill="auto"/>
            <w:vAlign w:val="center"/>
          </w:tcPr>
          <w:p w14:paraId="10232678">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themeColor="text1"/>
                <w:kern w:val="0"/>
                <w:sz w:val="18"/>
                <w:szCs w:val="18"/>
                <w:lang w:val="en-US" w:eastAsia="zh-CN"/>
                <w14:textFill>
                  <w14:solidFill>
                    <w14:schemeClr w14:val="tx1"/>
                  </w14:solidFill>
                </w14:textFill>
              </w:rPr>
              <w:t>9.05</w:t>
            </w:r>
          </w:p>
        </w:tc>
        <w:tc>
          <w:tcPr>
            <w:tcW w:w="791" w:type="dxa"/>
            <w:shd w:val="clear" w:color="auto" w:fill="auto"/>
            <w:vAlign w:val="center"/>
          </w:tcPr>
          <w:p w14:paraId="2F877594">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themeColor="text1"/>
                <w:kern w:val="0"/>
                <w:sz w:val="18"/>
                <w:szCs w:val="18"/>
                <w:lang w:val="en-US" w:eastAsia="zh-CN"/>
                <w14:textFill>
                  <w14:solidFill>
                    <w14:schemeClr w14:val="tx1"/>
                  </w14:solidFill>
                </w14:textFill>
              </w:rPr>
              <w:t>3.46</w:t>
            </w:r>
          </w:p>
        </w:tc>
        <w:tc>
          <w:tcPr>
            <w:tcW w:w="789" w:type="dxa"/>
            <w:shd w:val="clear" w:color="auto" w:fill="auto"/>
            <w:vAlign w:val="center"/>
          </w:tcPr>
          <w:p w14:paraId="7AB67A24">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themeColor="text1"/>
                <w:kern w:val="0"/>
                <w:sz w:val="18"/>
                <w:szCs w:val="18"/>
                <w:lang w:val="en-US" w:eastAsia="zh-CN"/>
                <w14:textFill>
                  <w14:solidFill>
                    <w14:schemeClr w14:val="tx1"/>
                  </w14:solidFill>
                </w14:textFill>
              </w:rPr>
              <w:t>5.59</w:t>
            </w:r>
          </w:p>
        </w:tc>
      </w:tr>
    </w:tbl>
    <w:p w14:paraId="418F68C0">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调查、 预测结果汇总</w:t>
      </w:r>
    </w:p>
    <w:p w14:paraId="35B2675D">
      <w:pPr>
        <w:ind w:firstLine="422"/>
        <w:jc w:val="center"/>
        <w:rPr>
          <w:rFonts w:cs="Times New Roman"/>
          <w:b/>
          <w:bCs/>
          <w:color w:val="000000" w:themeColor="text1"/>
          <w:sz w:val="21"/>
          <w:szCs w:val="21"/>
          <w14:textFill>
            <w14:solidFill>
              <w14:schemeClr w14:val="tx1"/>
            </w14:solidFill>
          </w14:textFill>
        </w:rPr>
      </w:pPr>
      <w:r>
        <w:rPr>
          <w:rFonts w:hint="eastAsia" w:cs="Times New Roman"/>
          <w:b/>
          <w:bCs/>
          <w:color w:val="000000" w:themeColor="text1"/>
          <w:sz w:val="21"/>
          <w:szCs w:val="21"/>
          <w14:textFill>
            <w14:solidFill>
              <w14:schemeClr w14:val="tx1"/>
            </w14:solidFill>
          </w14:textFill>
        </w:rPr>
        <w:t>表4</w:t>
      </w:r>
      <w:r>
        <w:rPr>
          <w:rFonts w:cs="Times New Roman"/>
          <w:b/>
          <w:bCs/>
          <w:color w:val="000000" w:themeColor="text1"/>
          <w:sz w:val="21"/>
          <w:szCs w:val="21"/>
          <w14:textFill>
            <w14:solidFill>
              <w14:schemeClr w14:val="tx1"/>
            </w14:solidFill>
          </w14:textFill>
        </w:rPr>
        <w:t xml:space="preserve">.3-8     </w:t>
      </w:r>
      <w:r>
        <w:rPr>
          <w:rFonts w:hint="eastAsia" w:cs="Times New Roman"/>
          <w:b/>
          <w:bCs/>
          <w:color w:val="000000" w:themeColor="text1"/>
          <w:sz w:val="21"/>
          <w:szCs w:val="21"/>
          <w14:textFill>
            <w14:solidFill>
              <w14:schemeClr w14:val="tx1"/>
            </w14:solidFill>
          </w14:textFill>
        </w:rPr>
        <w:t>土壤流失量汇总表</w:t>
      </w:r>
    </w:p>
    <w:tbl>
      <w:tblPr>
        <w:tblStyle w:val="26"/>
        <w:tblW w:w="76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1340"/>
        <w:gridCol w:w="1340"/>
        <w:gridCol w:w="1340"/>
        <w:gridCol w:w="1900"/>
      </w:tblGrid>
      <w:tr w14:paraId="7E07F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3081" w:type="dxa"/>
            <w:gridSpan w:val="2"/>
            <w:shd w:val="clear" w:color="auto" w:fill="auto"/>
            <w:vAlign w:val="center"/>
          </w:tcPr>
          <w:p w14:paraId="18343DEB">
            <w:pPr>
              <w:widowControl/>
              <w:adjustRightInd/>
              <w:snapToGrid/>
              <w:spacing w:line="240" w:lineRule="auto"/>
              <w:ind w:firstLine="0" w:firstLineChars="0"/>
              <w:jc w:val="center"/>
              <w:rPr>
                <w:rFonts w:hint="eastAsia" w:ascii="仿宋_GB2312" w:hAnsi="宋体" w:cs="宋体"/>
                <w:b/>
                <w:bCs/>
                <w:color w:val="000000" w:themeColor="text1"/>
                <w:kern w:val="0"/>
                <w:sz w:val="21"/>
                <w:szCs w:val="21"/>
                <w14:textFill>
                  <w14:solidFill>
                    <w14:schemeClr w14:val="tx1"/>
                  </w14:solidFill>
                </w14:textFill>
              </w:rPr>
            </w:pPr>
            <w:r>
              <w:rPr>
                <w:rFonts w:hint="eastAsia" w:ascii="仿宋_GB2312" w:hAnsi="宋体" w:cs="宋体"/>
                <w:b/>
                <w:bCs/>
                <w:color w:val="000000" w:themeColor="text1"/>
                <w:kern w:val="0"/>
                <w:sz w:val="21"/>
                <w:szCs w:val="21"/>
                <w14:textFill>
                  <w14:solidFill>
                    <w14:schemeClr w14:val="tx1"/>
                  </w14:solidFill>
                </w14:textFill>
              </w:rPr>
              <w:t>扰动单元</w:t>
            </w:r>
          </w:p>
        </w:tc>
        <w:tc>
          <w:tcPr>
            <w:tcW w:w="1340" w:type="dxa"/>
            <w:shd w:val="clear" w:color="auto" w:fill="auto"/>
            <w:vAlign w:val="center"/>
          </w:tcPr>
          <w:p w14:paraId="27381FC3">
            <w:pPr>
              <w:widowControl/>
              <w:adjustRightInd/>
              <w:snapToGrid/>
              <w:spacing w:line="240" w:lineRule="auto"/>
              <w:ind w:firstLine="0" w:firstLineChars="0"/>
              <w:jc w:val="center"/>
              <w:rPr>
                <w:rFonts w:hint="eastAsia" w:ascii="仿宋_GB2312" w:hAnsi="宋体" w:cs="宋体"/>
                <w:b/>
                <w:bCs/>
                <w:color w:val="000000" w:themeColor="text1"/>
                <w:kern w:val="0"/>
                <w:sz w:val="21"/>
                <w:szCs w:val="21"/>
                <w14:textFill>
                  <w14:solidFill>
                    <w14:schemeClr w14:val="tx1"/>
                  </w14:solidFill>
                </w14:textFill>
              </w:rPr>
            </w:pPr>
            <w:r>
              <w:rPr>
                <w:rFonts w:hint="eastAsia" w:ascii="仿宋_GB2312" w:hAnsi="宋体" w:cs="宋体"/>
                <w:b/>
                <w:bCs/>
                <w:color w:val="000000" w:themeColor="text1"/>
                <w:kern w:val="0"/>
                <w:sz w:val="21"/>
                <w:szCs w:val="21"/>
                <w14:textFill>
                  <w14:solidFill>
                    <w14:schemeClr w14:val="tx1"/>
                  </w14:solidFill>
                </w14:textFill>
              </w:rPr>
              <w:t>背景土壤流失量</w:t>
            </w:r>
          </w:p>
        </w:tc>
        <w:tc>
          <w:tcPr>
            <w:tcW w:w="1340" w:type="dxa"/>
            <w:shd w:val="clear" w:color="auto" w:fill="auto"/>
            <w:vAlign w:val="center"/>
          </w:tcPr>
          <w:p w14:paraId="2F2748F1">
            <w:pPr>
              <w:widowControl/>
              <w:adjustRightInd/>
              <w:snapToGrid/>
              <w:spacing w:line="240" w:lineRule="auto"/>
              <w:ind w:firstLine="0" w:firstLineChars="0"/>
              <w:jc w:val="center"/>
              <w:rPr>
                <w:rFonts w:hint="eastAsia" w:ascii="仿宋_GB2312" w:hAnsi="宋体" w:cs="宋体"/>
                <w:b/>
                <w:bCs/>
                <w:color w:val="000000" w:themeColor="text1"/>
                <w:kern w:val="0"/>
                <w:sz w:val="21"/>
                <w:szCs w:val="21"/>
                <w14:textFill>
                  <w14:solidFill>
                    <w14:schemeClr w14:val="tx1"/>
                  </w14:solidFill>
                </w14:textFill>
              </w:rPr>
            </w:pPr>
            <w:r>
              <w:rPr>
                <w:rFonts w:hint="eastAsia" w:ascii="仿宋_GB2312" w:hAnsi="宋体" w:cs="宋体"/>
                <w:b/>
                <w:bCs/>
                <w:color w:val="000000" w:themeColor="text1"/>
                <w:kern w:val="0"/>
                <w:sz w:val="21"/>
                <w:szCs w:val="21"/>
                <w14:textFill>
                  <w14:solidFill>
                    <w14:schemeClr w14:val="tx1"/>
                  </w14:solidFill>
                </w14:textFill>
              </w:rPr>
              <w:t>新增土壤流失量</w:t>
            </w:r>
          </w:p>
        </w:tc>
        <w:tc>
          <w:tcPr>
            <w:tcW w:w="1900" w:type="dxa"/>
            <w:shd w:val="clear" w:color="auto" w:fill="auto"/>
            <w:vAlign w:val="center"/>
          </w:tcPr>
          <w:p w14:paraId="11261BDF">
            <w:pPr>
              <w:widowControl/>
              <w:adjustRightInd/>
              <w:snapToGrid/>
              <w:spacing w:line="240" w:lineRule="auto"/>
              <w:ind w:firstLine="0" w:firstLineChars="0"/>
              <w:jc w:val="center"/>
              <w:rPr>
                <w:rFonts w:hint="eastAsia" w:ascii="仿宋_GB2312" w:hAnsi="宋体" w:cs="宋体"/>
                <w:b/>
                <w:bCs/>
                <w:color w:val="000000" w:themeColor="text1"/>
                <w:kern w:val="0"/>
                <w:sz w:val="21"/>
                <w:szCs w:val="21"/>
                <w14:textFill>
                  <w14:solidFill>
                    <w14:schemeClr w14:val="tx1"/>
                  </w14:solidFill>
                </w14:textFill>
              </w:rPr>
            </w:pPr>
            <w:r>
              <w:rPr>
                <w:rFonts w:hint="eastAsia" w:ascii="仿宋_GB2312" w:hAnsi="宋体" w:cs="宋体"/>
                <w:b/>
                <w:bCs/>
                <w:color w:val="000000" w:themeColor="text1"/>
                <w:kern w:val="0"/>
                <w:sz w:val="21"/>
                <w:szCs w:val="21"/>
                <w14:textFill>
                  <w14:solidFill>
                    <w14:schemeClr w14:val="tx1"/>
                  </w14:solidFill>
                </w14:textFill>
              </w:rPr>
              <w:t>占新增流失总量比（</w:t>
            </w:r>
            <w:r>
              <w:rPr>
                <w:rFonts w:cs="Times New Roman"/>
                <w:b/>
                <w:bCs/>
                <w:color w:val="000000" w:themeColor="text1"/>
                <w:kern w:val="0"/>
                <w:sz w:val="21"/>
                <w:szCs w:val="21"/>
                <w14:textFill>
                  <w14:solidFill>
                    <w14:schemeClr w14:val="tx1"/>
                  </w14:solidFill>
                </w14:textFill>
              </w:rPr>
              <w:t>%</w:t>
            </w:r>
            <w:r>
              <w:rPr>
                <w:rFonts w:hint="eastAsia" w:ascii="仿宋_GB2312" w:hAnsi="宋体" w:cs="宋体"/>
                <w:b/>
                <w:bCs/>
                <w:color w:val="000000" w:themeColor="text1"/>
                <w:kern w:val="0"/>
                <w:sz w:val="21"/>
                <w:szCs w:val="21"/>
                <w14:textFill>
                  <w14:solidFill>
                    <w14:schemeClr w14:val="tx1"/>
                  </w14:solidFill>
                </w14:textFill>
              </w:rPr>
              <w:t>）</w:t>
            </w:r>
          </w:p>
        </w:tc>
      </w:tr>
      <w:tr w14:paraId="3ECAB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081" w:type="dxa"/>
            <w:gridSpan w:val="2"/>
            <w:shd w:val="clear" w:color="auto" w:fill="auto"/>
            <w:vAlign w:val="center"/>
          </w:tcPr>
          <w:p w14:paraId="129E9588">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地下工程区</w:t>
            </w:r>
          </w:p>
        </w:tc>
        <w:tc>
          <w:tcPr>
            <w:tcW w:w="1340" w:type="dxa"/>
            <w:shd w:val="clear" w:color="auto" w:fill="auto"/>
            <w:vAlign w:val="center"/>
          </w:tcPr>
          <w:p w14:paraId="68DB3F2C">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1.10</w:t>
            </w:r>
          </w:p>
        </w:tc>
        <w:tc>
          <w:tcPr>
            <w:tcW w:w="1340" w:type="dxa"/>
            <w:shd w:val="clear" w:color="auto" w:fill="auto"/>
            <w:vAlign w:val="center"/>
          </w:tcPr>
          <w:p w14:paraId="3E1360BD">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5.25</w:t>
            </w:r>
          </w:p>
        </w:tc>
        <w:tc>
          <w:tcPr>
            <w:tcW w:w="1900" w:type="dxa"/>
            <w:shd w:val="clear" w:color="auto" w:fill="auto"/>
            <w:vAlign w:val="center"/>
          </w:tcPr>
          <w:p w14:paraId="0872FFC4">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themeColor="text1"/>
                <w:kern w:val="0"/>
                <w:sz w:val="18"/>
                <w:szCs w:val="18"/>
                <w:lang w:val="en-US" w:eastAsia="zh-CN"/>
                <w14:textFill>
                  <w14:solidFill>
                    <w14:schemeClr w14:val="tx1"/>
                  </w14:solidFill>
                </w14:textFill>
              </w:rPr>
              <w:t>23.99%</w:t>
            </w:r>
          </w:p>
        </w:tc>
      </w:tr>
      <w:tr w14:paraId="3DAD3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081" w:type="dxa"/>
            <w:gridSpan w:val="2"/>
            <w:shd w:val="clear" w:color="auto" w:fill="auto"/>
            <w:vAlign w:val="center"/>
          </w:tcPr>
          <w:p w14:paraId="01218BF7">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建构筑物工程区</w:t>
            </w:r>
          </w:p>
        </w:tc>
        <w:tc>
          <w:tcPr>
            <w:tcW w:w="1340" w:type="dxa"/>
            <w:shd w:val="clear" w:color="auto" w:fill="auto"/>
            <w:vAlign w:val="center"/>
          </w:tcPr>
          <w:p w14:paraId="7F0337A0">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3.37</w:t>
            </w:r>
          </w:p>
        </w:tc>
        <w:tc>
          <w:tcPr>
            <w:tcW w:w="1340" w:type="dxa"/>
            <w:shd w:val="clear" w:color="auto" w:fill="auto"/>
            <w:vAlign w:val="center"/>
          </w:tcPr>
          <w:p w14:paraId="3979FE78">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8.11</w:t>
            </w:r>
          </w:p>
        </w:tc>
        <w:tc>
          <w:tcPr>
            <w:tcW w:w="1900" w:type="dxa"/>
            <w:shd w:val="clear" w:color="auto" w:fill="auto"/>
            <w:vAlign w:val="center"/>
          </w:tcPr>
          <w:p w14:paraId="18242507">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themeColor="text1"/>
                <w:kern w:val="0"/>
                <w:sz w:val="18"/>
                <w:szCs w:val="18"/>
                <w:lang w:val="en-US" w:eastAsia="zh-CN"/>
                <w14:textFill>
                  <w14:solidFill>
                    <w14:schemeClr w14:val="tx1"/>
                  </w14:solidFill>
                </w14:textFill>
              </w:rPr>
              <w:t>37.07%</w:t>
            </w:r>
          </w:p>
        </w:tc>
      </w:tr>
      <w:tr w14:paraId="1CB1D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081" w:type="dxa"/>
            <w:gridSpan w:val="2"/>
            <w:shd w:val="clear" w:color="auto" w:fill="auto"/>
            <w:vAlign w:val="center"/>
          </w:tcPr>
          <w:p w14:paraId="3874FC08">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场内道路及硬化工程区</w:t>
            </w:r>
          </w:p>
        </w:tc>
        <w:tc>
          <w:tcPr>
            <w:tcW w:w="1340" w:type="dxa"/>
            <w:shd w:val="clear" w:color="auto" w:fill="auto"/>
            <w:vAlign w:val="center"/>
          </w:tcPr>
          <w:p w14:paraId="7AF596B8">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2.86</w:t>
            </w:r>
          </w:p>
        </w:tc>
        <w:tc>
          <w:tcPr>
            <w:tcW w:w="1340" w:type="dxa"/>
            <w:shd w:val="clear" w:color="auto" w:fill="auto"/>
            <w:vAlign w:val="center"/>
          </w:tcPr>
          <w:p w14:paraId="3AA40C8D">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6.85</w:t>
            </w:r>
          </w:p>
        </w:tc>
        <w:tc>
          <w:tcPr>
            <w:tcW w:w="1900" w:type="dxa"/>
            <w:shd w:val="clear" w:color="auto" w:fill="auto"/>
            <w:vAlign w:val="center"/>
          </w:tcPr>
          <w:p w14:paraId="428252DE">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themeColor="text1"/>
                <w:kern w:val="0"/>
                <w:sz w:val="18"/>
                <w:szCs w:val="18"/>
                <w:lang w:val="en-US" w:eastAsia="zh-CN"/>
                <w14:textFill>
                  <w14:solidFill>
                    <w14:schemeClr w14:val="tx1"/>
                  </w14:solidFill>
                </w14:textFill>
              </w:rPr>
              <w:t>31.31%</w:t>
            </w:r>
          </w:p>
        </w:tc>
      </w:tr>
      <w:tr w14:paraId="34116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741" w:type="dxa"/>
            <w:vMerge w:val="restart"/>
            <w:shd w:val="clear" w:color="auto" w:fill="auto"/>
            <w:vAlign w:val="center"/>
          </w:tcPr>
          <w:p w14:paraId="6DFA8E8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景观绿化工程区</w:t>
            </w:r>
          </w:p>
        </w:tc>
        <w:tc>
          <w:tcPr>
            <w:tcW w:w="1340" w:type="dxa"/>
            <w:shd w:val="clear" w:color="auto" w:fill="auto"/>
            <w:vAlign w:val="center"/>
          </w:tcPr>
          <w:p w14:paraId="403BE38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施工期</w:t>
            </w:r>
          </w:p>
        </w:tc>
        <w:tc>
          <w:tcPr>
            <w:tcW w:w="1340" w:type="dxa"/>
            <w:shd w:val="clear" w:color="auto" w:fill="auto"/>
            <w:vAlign w:val="center"/>
          </w:tcPr>
          <w:p w14:paraId="5495B618">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0.</w:t>
            </w:r>
            <w:r>
              <w:rPr>
                <w:rFonts w:hint="eastAsia" w:eastAsia="宋体" w:cs="Times New Roman"/>
                <w:color w:val="000000" w:themeColor="text1"/>
                <w:kern w:val="0"/>
                <w:sz w:val="18"/>
                <w:szCs w:val="18"/>
                <w:lang w:val="en-US" w:eastAsia="zh-CN"/>
                <w14:textFill>
                  <w14:solidFill>
                    <w14:schemeClr w14:val="tx1"/>
                  </w14:solidFill>
                </w14:textFill>
              </w:rPr>
              <w:t>9</w:t>
            </w:r>
          </w:p>
        </w:tc>
        <w:tc>
          <w:tcPr>
            <w:tcW w:w="1340" w:type="dxa"/>
            <w:shd w:val="clear" w:color="auto" w:fill="auto"/>
            <w:vAlign w:val="center"/>
          </w:tcPr>
          <w:p w14:paraId="0E77AC0F">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1.6</w:t>
            </w:r>
          </w:p>
        </w:tc>
        <w:tc>
          <w:tcPr>
            <w:tcW w:w="1900" w:type="dxa"/>
            <w:shd w:val="clear" w:color="auto" w:fill="auto"/>
            <w:vAlign w:val="center"/>
          </w:tcPr>
          <w:p w14:paraId="20108029">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themeColor="text1"/>
                <w:kern w:val="0"/>
                <w:sz w:val="18"/>
                <w:szCs w:val="18"/>
                <w:lang w:val="en-US" w:eastAsia="zh-CN"/>
                <w14:textFill>
                  <w14:solidFill>
                    <w14:schemeClr w14:val="tx1"/>
                  </w14:solidFill>
                </w14:textFill>
              </w:rPr>
              <w:t>7.31%</w:t>
            </w:r>
          </w:p>
        </w:tc>
      </w:tr>
      <w:tr w14:paraId="6919C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741" w:type="dxa"/>
            <w:vMerge w:val="continue"/>
            <w:vAlign w:val="center"/>
          </w:tcPr>
          <w:p w14:paraId="1BB6C0D0">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p>
        </w:tc>
        <w:tc>
          <w:tcPr>
            <w:tcW w:w="1340" w:type="dxa"/>
            <w:shd w:val="clear" w:color="auto" w:fill="auto"/>
            <w:vAlign w:val="center"/>
          </w:tcPr>
          <w:p w14:paraId="4D0F9CDD">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自然恢复期</w:t>
            </w:r>
          </w:p>
        </w:tc>
        <w:tc>
          <w:tcPr>
            <w:tcW w:w="1340" w:type="dxa"/>
            <w:shd w:val="clear" w:color="auto" w:fill="auto"/>
            <w:vAlign w:val="center"/>
          </w:tcPr>
          <w:p w14:paraId="6B01B80E">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1.08</w:t>
            </w:r>
          </w:p>
        </w:tc>
        <w:tc>
          <w:tcPr>
            <w:tcW w:w="1340" w:type="dxa"/>
            <w:shd w:val="clear" w:color="auto" w:fill="auto"/>
            <w:vAlign w:val="center"/>
          </w:tcPr>
          <w:p w14:paraId="3BFECEE6">
            <w:pPr>
              <w:widowControl/>
              <w:adjustRightInd/>
              <w:snapToGrid/>
              <w:spacing w:line="240" w:lineRule="auto"/>
              <w:ind w:firstLine="0" w:firstLineChars="0"/>
              <w:jc w:val="center"/>
              <w:rPr>
                <w:rFonts w:hint="eastAsia" w:eastAsia="宋体" w:cs="Times New Roman"/>
                <w:color w:val="000000" w:themeColor="text1"/>
                <w:kern w:val="0"/>
                <w:sz w:val="18"/>
                <w:szCs w:val="18"/>
                <w:lang w:val="en-US" w:eastAsia="zh-CN"/>
                <w14:textFill>
                  <w14:solidFill>
                    <w14:schemeClr w14:val="tx1"/>
                  </w14:solidFill>
                </w14:textFill>
              </w:rPr>
            </w:pPr>
            <w:r>
              <w:rPr>
                <w:rFonts w:hint="default" w:eastAsia="宋体" w:cs="Times New Roman"/>
                <w:color w:val="000000" w:themeColor="text1"/>
                <w:kern w:val="0"/>
                <w:sz w:val="18"/>
                <w:szCs w:val="18"/>
                <w:lang w:val="en-US" w:eastAsia="zh-CN"/>
                <w14:textFill>
                  <w14:solidFill>
                    <w14:schemeClr w14:val="tx1"/>
                  </w14:solidFill>
                </w14:textFill>
              </w:rPr>
              <w:t>0.07</w:t>
            </w:r>
          </w:p>
        </w:tc>
        <w:tc>
          <w:tcPr>
            <w:tcW w:w="1900" w:type="dxa"/>
            <w:shd w:val="clear" w:color="auto" w:fill="auto"/>
            <w:vAlign w:val="center"/>
          </w:tcPr>
          <w:p w14:paraId="395410EA">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themeColor="text1"/>
                <w:kern w:val="0"/>
                <w:sz w:val="18"/>
                <w:szCs w:val="18"/>
                <w:lang w:val="en-US" w:eastAsia="zh-CN"/>
                <w14:textFill>
                  <w14:solidFill>
                    <w14:schemeClr w14:val="tx1"/>
                  </w14:solidFill>
                </w14:textFill>
              </w:rPr>
              <w:t>0.32%</w:t>
            </w:r>
          </w:p>
        </w:tc>
      </w:tr>
      <w:tr w14:paraId="5C34C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081" w:type="dxa"/>
            <w:gridSpan w:val="2"/>
            <w:shd w:val="clear" w:color="auto" w:fill="auto"/>
            <w:vAlign w:val="center"/>
          </w:tcPr>
          <w:p w14:paraId="1CD3F4FA">
            <w:pPr>
              <w:widowControl/>
              <w:adjustRightInd/>
              <w:snapToGrid/>
              <w:spacing w:line="240" w:lineRule="auto"/>
              <w:ind w:firstLine="0" w:firstLineChars="0"/>
              <w:jc w:val="center"/>
              <w:rPr>
                <w:rFonts w:hint="eastAsia" w:ascii="仿宋_GB2312" w:hAnsi="宋体" w:cs="宋体"/>
                <w:color w:val="000000" w:themeColor="text1"/>
                <w:kern w:val="0"/>
                <w:sz w:val="21"/>
                <w:szCs w:val="21"/>
                <w14:textFill>
                  <w14:solidFill>
                    <w14:schemeClr w14:val="tx1"/>
                  </w14:solidFill>
                </w14:textFill>
              </w:rPr>
            </w:pPr>
            <w:r>
              <w:rPr>
                <w:rFonts w:hint="eastAsia" w:ascii="仿宋_GB2312" w:hAnsi="宋体" w:cs="宋体"/>
                <w:color w:val="000000" w:themeColor="text1"/>
                <w:kern w:val="0"/>
                <w:sz w:val="21"/>
                <w:szCs w:val="21"/>
                <w14:textFill>
                  <w14:solidFill>
                    <w14:schemeClr w14:val="tx1"/>
                  </w14:solidFill>
                </w14:textFill>
              </w:rPr>
              <w:t>小计</w:t>
            </w:r>
          </w:p>
        </w:tc>
        <w:tc>
          <w:tcPr>
            <w:tcW w:w="1340" w:type="dxa"/>
            <w:shd w:val="clear" w:color="auto" w:fill="auto"/>
            <w:vAlign w:val="center"/>
          </w:tcPr>
          <w:p w14:paraId="0A69EBBF">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9.31</w:t>
            </w:r>
          </w:p>
        </w:tc>
        <w:tc>
          <w:tcPr>
            <w:tcW w:w="1340" w:type="dxa"/>
            <w:shd w:val="clear" w:color="auto" w:fill="auto"/>
            <w:vAlign w:val="center"/>
          </w:tcPr>
          <w:p w14:paraId="1C85B875">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21.88</w:t>
            </w:r>
          </w:p>
        </w:tc>
        <w:tc>
          <w:tcPr>
            <w:tcW w:w="1900" w:type="dxa"/>
            <w:shd w:val="clear" w:color="auto" w:fill="auto"/>
            <w:vAlign w:val="center"/>
          </w:tcPr>
          <w:p w14:paraId="51023193">
            <w:pPr>
              <w:widowControl/>
              <w:adjustRightInd/>
              <w:snapToGrid/>
              <w:spacing w:line="240" w:lineRule="auto"/>
              <w:ind w:firstLine="0" w:firstLineChars="0"/>
              <w:jc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hint="default" w:eastAsia="宋体" w:cs="Times New Roman"/>
                <w:b/>
                <w:bCs/>
                <w:color w:val="000000" w:themeColor="text1"/>
                <w:kern w:val="0"/>
                <w:sz w:val="18"/>
                <w:szCs w:val="18"/>
                <w:lang w:val="en-US" w:eastAsia="zh-CN"/>
                <w14:textFill>
                  <w14:solidFill>
                    <w14:schemeClr w14:val="tx1"/>
                  </w14:solidFill>
                </w14:textFill>
              </w:rPr>
              <w:t>100.00%</w:t>
            </w:r>
          </w:p>
        </w:tc>
      </w:tr>
    </w:tbl>
    <w:p w14:paraId="6F20EEC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本项目建设将产生土壤流失总量为</w:t>
      </w:r>
      <w:r>
        <w:rPr>
          <w:rFonts w:hint="eastAsia"/>
          <w:color w:val="000000" w:themeColor="text1"/>
          <w:lang w:eastAsia="zh-CN"/>
          <w14:textFill>
            <w14:solidFill>
              <w14:schemeClr w14:val="tx1"/>
            </w14:solidFill>
          </w14:textFill>
        </w:rPr>
        <w:t>31.19</w:t>
      </w:r>
      <w:r>
        <w:rPr>
          <w:rFonts w:hint="eastAsia"/>
          <w:color w:val="000000" w:themeColor="text1"/>
          <w14:textFill>
            <w14:solidFill>
              <w14:schemeClr w14:val="tx1"/>
            </w14:solidFill>
          </w14:textFill>
        </w:rPr>
        <w:t xml:space="preserve">t，其中施工期土壤流失总量为 </w:t>
      </w:r>
      <w:r>
        <w:rPr>
          <w:rFonts w:hint="eastAsia"/>
          <w:color w:val="000000" w:themeColor="text1"/>
          <w:lang w:val="en-US" w:eastAsia="zh-CN"/>
          <w14:textFill>
            <w14:solidFill>
              <w14:schemeClr w14:val="tx1"/>
            </w14:solidFill>
          </w14:textFill>
        </w:rPr>
        <w:t>30.04</w:t>
      </w:r>
      <w:r>
        <w:rPr>
          <w:rFonts w:hint="eastAsia"/>
          <w:color w:val="000000" w:themeColor="text1"/>
          <w14:textFill>
            <w14:solidFill>
              <w14:schemeClr w14:val="tx1"/>
            </w14:solidFill>
          </w14:textFill>
        </w:rPr>
        <w:t>t，占水土流失总量的</w:t>
      </w:r>
      <w:r>
        <w:rPr>
          <w:rFonts w:hint="eastAsia"/>
          <w:color w:val="000000" w:themeColor="text1"/>
          <w:lang w:eastAsia="zh-CN"/>
          <w14:textFill>
            <w14:solidFill>
              <w14:schemeClr w14:val="tx1"/>
            </w14:solidFill>
          </w14:textFill>
        </w:rPr>
        <w:t>9</w:t>
      </w:r>
      <w:r>
        <w:rPr>
          <w:rFonts w:hint="eastAsia"/>
          <w:color w:val="000000" w:themeColor="text1"/>
          <w:lang w:val="en-US" w:eastAsia="zh-CN"/>
          <w14:textFill>
            <w14:solidFill>
              <w14:schemeClr w14:val="tx1"/>
            </w14:solidFill>
          </w14:textFill>
        </w:rPr>
        <w:t>6.31</w:t>
      </w:r>
      <w:r>
        <w:rPr>
          <w:rFonts w:hint="eastAsia"/>
          <w:color w:val="000000" w:themeColor="text1"/>
          <w14:textFill>
            <w14:solidFill>
              <w14:schemeClr w14:val="tx1"/>
            </w14:solidFill>
          </w14:textFill>
        </w:rPr>
        <w:t>%，自然恢复期将产生土壤流失总量为1.15t，占水土流失总量的</w:t>
      </w:r>
      <w:r>
        <w:rPr>
          <w:rFonts w:hint="eastAsia"/>
          <w:color w:val="000000" w:themeColor="text1"/>
          <w:lang w:val="en-US" w:eastAsia="zh-CN"/>
          <w14:textFill>
            <w14:solidFill>
              <w14:schemeClr w14:val="tx1"/>
            </w14:solidFill>
          </w14:textFill>
        </w:rPr>
        <w:t>3.69</w:t>
      </w:r>
      <w:r>
        <w:rPr>
          <w:rFonts w:hint="eastAsia"/>
          <w:color w:val="000000" w:themeColor="text1"/>
          <w14:textFill>
            <w14:solidFill>
              <w14:schemeClr w14:val="tx1"/>
            </w14:solidFill>
          </w14:textFill>
        </w:rPr>
        <w:t>%。</w:t>
      </w:r>
    </w:p>
    <w:p w14:paraId="5D7477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项目新增土壤流失量</w:t>
      </w:r>
      <w:r>
        <w:rPr>
          <w:rFonts w:hint="eastAsia"/>
          <w:color w:val="000000" w:themeColor="text1"/>
          <w:lang w:eastAsia="zh-CN"/>
          <w14:textFill>
            <w14:solidFill>
              <w14:schemeClr w14:val="tx1"/>
            </w14:solidFill>
          </w14:textFill>
        </w:rPr>
        <w:t>21.88</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，施工期是本项目水土流失的重点时段，</w:t>
      </w:r>
      <w:r>
        <w:rPr>
          <w:rFonts w:hint="eastAsia"/>
          <w:color w:val="000000" w:themeColor="text1"/>
          <w:lang w:eastAsia="zh-CN"/>
          <w14:textFill>
            <w14:solidFill>
              <w14:schemeClr w14:val="tx1"/>
            </w14:solidFill>
          </w14:textFill>
        </w:rPr>
        <w:t>地下工程区新增水土流失量5.25t</w:t>
      </w:r>
      <w:r>
        <w:rPr>
          <w:rFonts w:hint="eastAsia"/>
          <w:color w:val="000000" w:themeColor="text1"/>
          <w14:textFill>
            <w14:solidFill>
              <w14:schemeClr w14:val="tx1"/>
            </w14:solidFill>
          </w14:textFill>
        </w:rPr>
        <w:t>，占新增水土流失总量的</w:t>
      </w:r>
      <w:r>
        <w:rPr>
          <w:rFonts w:hint="eastAsia"/>
          <w:color w:val="000000" w:themeColor="text1"/>
          <w:lang w:eastAsia="zh-CN"/>
          <w14:textFill>
            <w14:solidFill>
              <w14:schemeClr w14:val="tx1"/>
            </w14:solidFill>
          </w14:textFill>
        </w:rPr>
        <w:t>23.99%</w:t>
      </w:r>
      <w:r>
        <w:rPr>
          <w:rFonts w:hint="eastAsia"/>
          <w:color w:val="000000" w:themeColor="text1"/>
          <w14:textFill>
            <w14:solidFill>
              <w14:schemeClr w14:val="tx1"/>
            </w14:solidFill>
          </w14:textFill>
        </w:rPr>
        <w:t>，建构筑物工程区新增水土流失量</w:t>
      </w:r>
      <w:r>
        <w:rPr>
          <w:rFonts w:hint="eastAsia"/>
          <w:color w:val="000000" w:themeColor="text1"/>
          <w:lang w:eastAsia="zh-CN"/>
          <w14:textFill>
            <w14:solidFill>
              <w14:schemeClr w14:val="tx1"/>
            </w14:solidFill>
          </w14:textFill>
        </w:rPr>
        <w:t>8.11</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，占新增水土流失总量的37.07%，场内道路及硬化工程区新增水土流失量6.85</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，占新增水土流失总量的31.31%，景观绿化工程区新增水土流失量1.6</w:t>
      </w: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，占新增水土流失总量的7.</w:t>
      </w:r>
      <w:r>
        <w:rPr>
          <w:rFonts w:hint="eastAsia"/>
          <w:color w:val="000000" w:themeColor="text1"/>
          <w:lang w:val="en-US" w:eastAsia="zh-CN"/>
          <w14:textFill>
            <w14:solidFill>
              <w14:schemeClr w14:val="tx1"/>
            </w14:solidFill>
          </w14:textFill>
        </w:rPr>
        <w:t>63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，建构筑物工程区、场内道路及硬化工程区是本项目水土流失的重点区域。</w:t>
      </w:r>
    </w:p>
    <w:p w14:paraId="581CEA71">
      <w:pPr>
        <w:pStyle w:val="3"/>
        <w:rPr>
          <w:color w:val="000000" w:themeColor="text1"/>
          <w14:textFill>
            <w14:solidFill>
              <w14:schemeClr w14:val="tx1"/>
            </w14:solidFill>
          </w14:textFill>
        </w:rPr>
      </w:pPr>
      <w:bookmarkStart w:id="100" w:name="_Toc27725"/>
      <w:r>
        <w:rPr>
          <w:rFonts w:hint="eastAsia"/>
          <w:color w:val="000000" w:themeColor="text1"/>
          <w14:textFill>
            <w14:solidFill>
              <w14:schemeClr w14:val="tx1"/>
            </w14:solidFill>
          </w14:textFill>
        </w:rPr>
        <w:t>4.4水土流失危害分析</w:t>
      </w:r>
      <w:bookmarkEnd w:id="100"/>
    </w:p>
    <w:p w14:paraId="685AE4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工程已于 2023年6月开工，计划于 202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月底正式完工，根据现场走访调查，截止项目组调查时间内，本项目采取了一定的水土保持措施，在施工期间未发生过水土流失危害事件，未对周边生态环境造成影响。</w:t>
      </w:r>
    </w:p>
    <w:p w14:paraId="01F4D2A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建设期间建设单位重视水土保持工作，施工建设过程中采取了一定的工程措施和临时措施相结合的水土流失防治措施，但防治措施体系还不太完善，需要本方案进行补充，预测后续施工中可能会造成以下危害：</w:t>
      </w:r>
    </w:p>
    <w:p w14:paraId="284266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据上述水土流失预测分析，本项目在建设过程中占用土地，损坏原有地貌和植被，项目区裸露土地面积增加，土地耕作层和植被生长层被挖损、剥离或压埋，造成土地生产力短期内衰减或丧失，引起土壤加速侵蚀。因此，项目建设造成的新增水土流失具有影响范围大，时段集中局部区域强度大的特点，施工中若不采取有效的防护措施，将在一定程度上加剧当地的水土流失，对工程安全和周边居民生活及生态环境等将造成极为不利影响，可能产生的水土流失危害主要表现在以下几个方面：</w:t>
      </w:r>
    </w:p>
    <w:p w14:paraId="166F86CC">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1、损坏地表，加速了土壤侵蚀</w:t>
      </w:r>
    </w:p>
    <w:p w14:paraId="4F92F7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本项目建设时不同程度的占压和扰动地表，导致土壤结构改变，形成裸露面，降低了原地表的水土保持功能，原地表遭到破坏，如果不及时采取措施，随着水土流失的发生，土壤肥力流失，进而导致土地贫瘠。</w:t>
      </w:r>
    </w:p>
    <w:p w14:paraId="543E4BAA">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2、占用并损坏水土资源，产生水土流失</w:t>
      </w:r>
    </w:p>
    <w:p w14:paraId="74E989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本项目在施工建设过程中将占用类土地资源，由于项目建设占地将不同程度地改变原有地形、地貌，扰动或损坏原有地表植被，在一定时段内使工程区内的水土保持功能降低而产生水土流失。</w:t>
      </w:r>
    </w:p>
    <w:p w14:paraId="3E45594A">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3、对周边排水系统造成影响</w:t>
      </w:r>
    </w:p>
    <w:p w14:paraId="057F51B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工程建设过程中，由于裸露地表受雨水冲刷，松散泥沙将堵塞市政雨水管道， 影响市政的正常排水。水土流失防治不到位，可能造成水流冲刷、泥沙四散逃逸，若进入市政管道，还可能造成管道淤堵，进一步影响周边居民生活环境。</w:t>
      </w:r>
    </w:p>
    <w:p w14:paraId="006E8731">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4、影响区域生态环境和自然景观</w:t>
      </w:r>
    </w:p>
    <w:p w14:paraId="2B450EA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工程建设施工与运行维护破坏原有地形地貌和植被，如不及时治理，将加速区域生态环境的脆弱性，破坏局部区域生态平衡，对区域生态环境和自然景观造成一定影响，影响当地经济发展。</w:t>
      </w:r>
    </w:p>
    <w:p w14:paraId="134F40A9">
      <w:pPr>
        <w:pStyle w:val="3"/>
        <w:rPr>
          <w:color w:val="000000" w:themeColor="text1"/>
          <w14:textFill>
            <w14:solidFill>
              <w14:schemeClr w14:val="tx1"/>
            </w14:solidFill>
          </w14:textFill>
        </w:rPr>
      </w:pPr>
      <w:bookmarkStart w:id="101" w:name="_Toc1332"/>
      <w:r>
        <w:rPr>
          <w:rFonts w:hint="eastAsia"/>
          <w:color w:val="000000" w:themeColor="text1"/>
          <w14:textFill>
            <w14:solidFill>
              <w14:schemeClr w14:val="tx1"/>
            </w14:solidFill>
          </w14:textFill>
        </w:rPr>
        <w:t>4.5指导性意见</w:t>
      </w:r>
      <w:bookmarkEnd w:id="101"/>
    </w:p>
    <w:p w14:paraId="62705046">
      <w:pPr>
        <w:ind w:right="7" w:rightChars="3" w:firstLine="48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土壤流失量预测结果是在不采取防护措施前提下可能产生的水土流失，由于产生水土流失的因素很多，如：地面坡度、地表组成物质与结构、风力、降雨强度等，都是造成水土流失的主导因素，因此，水土流失防治措施应通过临时措施、工程措施、植物措施进行综合防治。</w:t>
      </w:r>
    </w:p>
    <w:p w14:paraId="09C46A75">
      <w:pPr>
        <w:ind w:right="7" w:rightChars="3"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根据土壤流失量预测结果，项目施工期是水土流失较严重的时段，建议在施工中严格按照主体工程施工进度安排，尽快落实实施水土保持工程，再进行主体工程施工。土石方工程施工应尽量避开强降雨、大风天气，难以避开时加强此时段的临时防护措施；水土保持防治措施应结合主体工程施工进度安排，及时分期、分批实施。</w:t>
      </w:r>
    </w:p>
    <w:p w14:paraId="4F34BE34">
      <w:pPr>
        <w:ind w:right="7" w:rightChars="3"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水土流失防治的重点时段、重点区域，同时也是水土保持监测的重点时段和重点区域，根据土壤流失量预测结果，结合本项目水土流失防治责任范围，施工期为本项目水土保持监测重点时段，建构筑物工程区、场内道路及硬化工程区为水土保持监测的重点区域。</w:t>
      </w:r>
    </w:p>
    <w:p w14:paraId="3571B778">
      <w:pPr>
        <w:ind w:right="7" w:rightChars="3" w:firstLine="480"/>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根据《中华人民共和国水土保持法》规定，为控制项目建设期新增水土流失，保护生态环境，同时保障工程施工、运行安全，对本工程进行水土保持综合治理是必要的。因此，本方案将在明确水土流失防治责任范围的前提下，根据工程不同施工区域特点和水土流失预测结果，建构筑物工程区、场内道路及硬化工程区作为水土流失防治的重点。为控制施工中发生大规模水土流失，主体工程和水土保持方案中用于控制大规模水土流失发生的各项工程措施应按照“三同时”要求落实；在施工后期，对场地进行清理并绿化。</w:t>
      </w:r>
    </w:p>
    <w:p w14:paraId="6698439E">
      <w:pPr>
        <w:ind w:right="7" w:rightChars="3"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水土流失调查及预测结果来看，建构筑物工程区、场内道路及硬化工程区是新增水土流失的主要区域，因此水土保持监测也应以水土流失重点区域为监测对象，并兼顾其它水土流失区域。在监测过程中，要依据各区域水土流失特点，布置典型的监测设施，拟定具体的监测时段、方法和频次，通过水土保持监测为方案实施和工程施工、运行管理服务。同时，为防止项目建设新增大量的水土流失，控制和减少可能造成的水土流失及危害，应加强项目区的水土保持监测，将挖、填方地段作为水土保持监测重点。</w:t>
      </w:r>
    </w:p>
    <w:p w14:paraId="0FA01AF8">
      <w:pPr>
        <w:ind w:right="7" w:rightChars="3" w:firstLine="480"/>
        <w:jc w:val="left"/>
        <w:rPr>
          <w:color w:val="000000" w:themeColor="text1"/>
          <w14:textFill>
            <w14:solidFill>
              <w14:schemeClr w14:val="tx1"/>
            </w14:solidFill>
          </w14:textFill>
        </w:rPr>
        <w:sectPr>
          <w:headerReference r:id="rId23" w:type="default"/>
          <w:headerReference r:id="rId24" w:type="even"/>
          <w:pgSz w:w="11906" w:h="16838"/>
          <w:pgMar w:top="1440" w:right="1800" w:bottom="1440" w:left="1800" w:header="851" w:footer="992" w:gutter="0"/>
          <w:cols w:space="425" w:num="1"/>
          <w:docGrid w:type="lines" w:linePitch="312" w:charSpace="0"/>
        </w:sectPr>
      </w:pPr>
      <w:r>
        <w:rPr>
          <w:rFonts w:hint="eastAsia"/>
          <w:color w:val="000000" w:themeColor="text1"/>
          <w14:textFill>
            <w14:solidFill>
              <w14:schemeClr w14:val="tx1"/>
            </w14:solidFill>
          </w14:textFill>
        </w:rPr>
        <w:t>综上所述，本项目建构筑物工程区、场内道路及硬化工程区是新增土壤流失量最大的区域，施工期是新增土壤流失量最大的时段。施工期应采取临时措施、工程措施进行水土流失综合防治，植物措施应在主体建筑完成后及时分片区实施，以遏制本项目新增水土流失的产生和发展。</w:t>
      </w:r>
    </w:p>
    <w:p w14:paraId="5B95EBB9">
      <w:pPr>
        <w:pStyle w:val="2"/>
        <w:rPr>
          <w:color w:val="000000" w:themeColor="text1"/>
          <w14:textFill>
            <w14:solidFill>
              <w14:schemeClr w14:val="tx1"/>
            </w14:solidFill>
          </w14:textFill>
        </w:rPr>
      </w:pPr>
      <w:bookmarkStart w:id="102" w:name="_Toc17038"/>
      <w:r>
        <w:rPr>
          <w:rFonts w:hint="eastAsia"/>
          <w:color w:val="000000" w:themeColor="text1"/>
          <w14:textFill>
            <w14:solidFill>
              <w14:schemeClr w14:val="tx1"/>
            </w14:solidFill>
          </w14:textFill>
        </w:rPr>
        <w:t>5水土保持措施</w:t>
      </w:r>
      <w:bookmarkEnd w:id="102"/>
    </w:p>
    <w:p w14:paraId="2180F33F">
      <w:pPr>
        <w:pStyle w:val="3"/>
        <w:rPr>
          <w:color w:val="000000" w:themeColor="text1"/>
          <w14:textFill>
            <w14:solidFill>
              <w14:schemeClr w14:val="tx1"/>
            </w14:solidFill>
          </w14:textFill>
        </w:rPr>
      </w:pPr>
      <w:bookmarkStart w:id="103" w:name="_Toc22211"/>
      <w:r>
        <w:rPr>
          <w:rFonts w:hint="eastAsia"/>
          <w:color w:val="000000" w:themeColor="text1"/>
          <w14:textFill>
            <w14:solidFill>
              <w14:schemeClr w14:val="tx1"/>
            </w14:solidFill>
          </w14:textFill>
        </w:rPr>
        <w:t>5.1防治区划分</w:t>
      </w:r>
      <w:bookmarkEnd w:id="103"/>
    </w:p>
    <w:p w14:paraId="6B0085F6">
      <w:pPr>
        <w:pStyle w:val="4"/>
        <w:rPr>
          <w:color w:val="000000" w:themeColor="text1"/>
          <w14:textFill>
            <w14:solidFill>
              <w14:schemeClr w14:val="tx1"/>
            </w14:solidFill>
          </w14:textFill>
        </w:rPr>
      </w:pPr>
      <w:bookmarkStart w:id="104" w:name="_Toc11470"/>
      <w:r>
        <w:rPr>
          <w:color w:val="000000" w:themeColor="text1"/>
          <w14:textFill>
            <w14:solidFill>
              <w14:schemeClr w14:val="tx1"/>
            </w14:solidFill>
          </w14:textFill>
        </w:rPr>
        <w:t>5.1.</w:t>
      </w:r>
      <w:r>
        <w:rPr>
          <w:rFonts w:hint="eastAsia"/>
          <w:color w:val="000000" w:themeColor="text1"/>
          <w14:textFill>
            <w14:solidFill>
              <w14:schemeClr w14:val="tx1"/>
            </w14:solidFill>
          </w14:textFill>
        </w:rPr>
        <w:t>1防治</w:t>
      </w:r>
      <w:r>
        <w:rPr>
          <w:color w:val="000000" w:themeColor="text1"/>
          <w14:textFill>
            <w14:solidFill>
              <w14:schemeClr w14:val="tx1"/>
            </w14:solidFill>
          </w14:textFill>
        </w:rPr>
        <w:t>分区原则</w:t>
      </w:r>
      <w:bookmarkEnd w:id="104"/>
    </w:p>
    <w:p w14:paraId="0E20128D">
      <w:pPr>
        <w:ind w:firstLine="480"/>
        <w:rPr>
          <w:color w:val="000000" w:themeColor="text1"/>
          <w14:textFill>
            <w14:solidFill>
              <w14:schemeClr w14:val="tx1"/>
            </w14:solidFill>
          </w14:textFill>
        </w:rPr>
      </w:pPr>
      <w:r>
        <w:rPr>
          <w:color w:val="000000" w:themeColor="text1"/>
          <w14:textFill>
            <w14:solidFill>
              <w14:schemeClr w14:val="tx1"/>
            </w14:solidFill>
          </w14:textFill>
        </w:rPr>
        <w:t>1、各区之间应具有显著差异性；</w:t>
      </w:r>
    </w:p>
    <w:p w14:paraId="7F745926">
      <w:pPr>
        <w:ind w:firstLine="480"/>
        <w:rPr>
          <w:color w:val="000000" w:themeColor="text1"/>
          <w14:textFill>
            <w14:solidFill>
              <w14:schemeClr w14:val="tx1"/>
            </w14:solidFill>
          </w14:textFill>
        </w:rPr>
      </w:pPr>
      <w:r>
        <w:rPr>
          <w:color w:val="000000" w:themeColor="text1"/>
          <w14:textFill>
            <w14:solidFill>
              <w14:schemeClr w14:val="tx1"/>
            </w14:solidFill>
          </w14:textFill>
        </w:rPr>
        <w:t>2、同一区内造成水土流失的主导因子和防治措施应相近或相似；</w:t>
      </w:r>
    </w:p>
    <w:p w14:paraId="2D8D1445">
      <w:pPr>
        <w:ind w:firstLine="480"/>
        <w:rPr>
          <w:color w:val="000000" w:themeColor="text1"/>
          <w14:textFill>
            <w14:solidFill>
              <w14:schemeClr w14:val="tx1"/>
            </w14:solidFill>
          </w14:textFill>
        </w:rPr>
      </w:pPr>
      <w:r>
        <w:rPr>
          <w:color w:val="000000" w:themeColor="text1"/>
          <w14:textFill>
            <w14:solidFill>
              <w14:schemeClr w14:val="tx1"/>
            </w14:solidFill>
          </w14:textFill>
        </w:rPr>
        <w:t>3、根据项目的繁简程度和项目区自然情况，防治区可划分为一级或多级;</w:t>
      </w:r>
    </w:p>
    <w:p w14:paraId="184F7283">
      <w:pPr>
        <w:ind w:firstLine="480"/>
        <w:rPr>
          <w:color w:val="000000" w:themeColor="text1"/>
          <w14:textFill>
            <w14:solidFill>
              <w14:schemeClr w14:val="tx1"/>
            </w14:solidFill>
          </w14:textFill>
        </w:rPr>
      </w:pPr>
      <w:r>
        <w:rPr>
          <w:color w:val="000000" w:themeColor="text1"/>
          <w14:textFill>
            <w14:solidFill>
              <w14:schemeClr w14:val="tx1"/>
            </w14:solidFill>
          </w14:textFill>
        </w:rPr>
        <w:t>4、一级区应具有控制性、整体性、全局性，线型工程应按土壤侵蚀类型、地形地貌、气候类型等因素划分一级区，</w:t>
      </w:r>
      <w:r>
        <w:rPr>
          <w:rFonts w:hint="eastAsia"/>
          <w:color w:val="000000" w:themeColor="text1"/>
          <w14:textFill>
            <w14:solidFill>
              <w14:schemeClr w14:val="tx1"/>
            </w14:solidFill>
          </w14:textFill>
        </w:rPr>
        <w:t>一</w:t>
      </w:r>
      <w:r>
        <w:rPr>
          <w:color w:val="000000" w:themeColor="text1"/>
          <w14:textFill>
            <w14:solidFill>
              <w14:schemeClr w14:val="tx1"/>
            </w14:solidFill>
          </w14:textFill>
        </w:rPr>
        <w:t>级区及其以下分区应结合工程布局、项目组成、占地性质和扰动特点进行逐级分区；</w:t>
      </w:r>
    </w:p>
    <w:p w14:paraId="3AE8BE18">
      <w:pPr>
        <w:ind w:firstLine="480"/>
        <w:rPr>
          <w:color w:val="000000" w:themeColor="text1"/>
          <w14:textFill>
            <w14:solidFill>
              <w14:schemeClr w14:val="tx1"/>
            </w14:solidFill>
          </w14:textFill>
        </w:rPr>
      </w:pPr>
      <w:r>
        <w:rPr>
          <w:color w:val="000000" w:themeColor="text1"/>
          <w14:textFill>
            <w14:solidFill>
              <w14:schemeClr w14:val="tx1"/>
            </w14:solidFill>
          </w14:textFill>
        </w:rPr>
        <w:t>5、各级分区应层次分明，具有关联性和系统性。</w:t>
      </w:r>
    </w:p>
    <w:p w14:paraId="0DD16288">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5.1.2防治分区</w:t>
      </w:r>
    </w:p>
    <w:p w14:paraId="34BDBDA5">
      <w:pPr>
        <w:ind w:firstLine="480"/>
        <w:rPr>
          <w:color w:val="000000" w:themeColor="text1"/>
          <w14:textFill>
            <w14:solidFill>
              <w14:schemeClr w14:val="tx1"/>
            </w14:solidFill>
          </w14:textFill>
        </w:rPr>
      </w:pPr>
      <w:r>
        <w:rPr>
          <w:color w:val="000000" w:themeColor="text1"/>
          <w14:textFill>
            <w14:solidFill>
              <w14:schemeClr w14:val="tx1"/>
            </w14:solidFill>
          </w14:textFill>
        </w:rPr>
        <w:t>按照防治分区规定和原则，本项目</w:t>
      </w:r>
      <w:r>
        <w:rPr>
          <w:rFonts w:hint="eastAsia"/>
          <w:color w:val="000000" w:themeColor="text1"/>
          <w14:textFill>
            <w14:solidFill>
              <w14:schemeClr w14:val="tx1"/>
            </w14:solidFill>
          </w14:textFill>
        </w:rPr>
        <w:t>分为地上工程区、地下工程区2个一级分区，地上工程区又分为建构筑物工程区、场内道路及硬化工程区、景观绿化工程区3个二级分区。</w:t>
      </w:r>
      <w:r>
        <w:rPr>
          <w:color w:val="000000" w:themeColor="text1"/>
          <w14:textFill>
            <w14:solidFill>
              <w14:schemeClr w14:val="tx1"/>
            </w14:solidFill>
          </w14:textFill>
        </w:rPr>
        <w:t>水土流失防治分区情况详见表</w:t>
      </w:r>
      <w:r>
        <w:rPr>
          <w:rFonts w:hint="eastAsia"/>
          <w:color w:val="000000" w:themeColor="text1"/>
          <w14:textFill>
            <w14:solidFill>
              <w14:schemeClr w14:val="tx1"/>
            </w14:solidFill>
          </w14:textFill>
        </w:rPr>
        <w:t>5.1-1</w:t>
      </w:r>
      <w:r>
        <w:rPr>
          <w:color w:val="000000" w:themeColor="text1"/>
          <w14:textFill>
            <w14:solidFill>
              <w14:schemeClr w14:val="tx1"/>
            </w14:solidFill>
          </w14:textFill>
        </w:rPr>
        <w:t>所示。</w:t>
      </w:r>
    </w:p>
    <w:p w14:paraId="6E212C4B">
      <w:pPr>
        <w:pStyle w:val="33"/>
        <w:ind w:firstLine="1897" w:firstLineChars="900"/>
        <w:rPr>
          <w:color w:val="000000" w:themeColor="text1"/>
          <w14:textFill>
            <w14:solidFill>
              <w14:schemeClr w14:val="tx1"/>
            </w14:solidFill>
          </w14:textFill>
        </w:rPr>
      </w:pPr>
      <w:r>
        <w:rPr>
          <w:rFonts w:hint="eastAsia"/>
          <w:color w:val="000000" w:themeColor="text1"/>
          <w14:textFill>
            <w14:solidFill>
              <w14:schemeClr w14:val="tx1"/>
            </w14:solidFill>
          </w14:textFill>
        </w:rPr>
        <w:t>表5.1-1                   水土流失防治分区划分表</w:t>
      </w:r>
    </w:p>
    <w:tbl>
      <w:tblPr>
        <w:tblStyle w:val="26"/>
        <w:tblW w:w="8747"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20"/>
        <w:gridCol w:w="1695"/>
        <w:gridCol w:w="1509"/>
        <w:gridCol w:w="3682"/>
        <w:gridCol w:w="941"/>
      </w:tblGrid>
      <w:tr w14:paraId="29C904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920" w:type="dxa"/>
            <w:tcBorders>
              <w:bottom w:val="single" w:color="auto" w:sz="4" w:space="0"/>
              <w:tl2br w:val="nil"/>
              <w:tr2bl w:val="nil"/>
            </w:tcBorders>
          </w:tcPr>
          <w:p w14:paraId="09AD32C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一级防治分区</w:t>
            </w:r>
          </w:p>
        </w:tc>
        <w:tc>
          <w:tcPr>
            <w:tcW w:w="1695" w:type="dxa"/>
            <w:tcBorders>
              <w:tl2br w:val="nil"/>
              <w:tr2bl w:val="nil"/>
            </w:tcBorders>
            <w:shd w:val="clear" w:color="auto" w:fill="auto"/>
            <w:tcMar>
              <w:top w:w="15" w:type="dxa"/>
              <w:left w:w="15" w:type="dxa"/>
              <w:right w:w="15" w:type="dxa"/>
            </w:tcMar>
            <w:vAlign w:val="center"/>
          </w:tcPr>
          <w:p w14:paraId="5481EE1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二级防治分区</w:t>
            </w:r>
          </w:p>
        </w:tc>
        <w:tc>
          <w:tcPr>
            <w:tcW w:w="1509" w:type="dxa"/>
            <w:tcBorders>
              <w:tl2br w:val="nil"/>
              <w:tr2bl w:val="nil"/>
            </w:tcBorders>
            <w:shd w:val="clear" w:color="auto" w:fill="auto"/>
            <w:tcMar>
              <w:top w:w="15" w:type="dxa"/>
              <w:left w:w="15" w:type="dxa"/>
              <w:right w:w="15" w:type="dxa"/>
            </w:tcMar>
            <w:vAlign w:val="center"/>
          </w:tcPr>
          <w:p w14:paraId="17987EA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防治面积（</w:t>
            </w:r>
            <w:r>
              <w:rPr>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3682" w:type="dxa"/>
            <w:tcBorders>
              <w:tl2br w:val="nil"/>
              <w:tr2bl w:val="nil"/>
            </w:tcBorders>
            <w:shd w:val="clear" w:color="auto" w:fill="auto"/>
            <w:tcMar>
              <w:top w:w="15" w:type="dxa"/>
              <w:left w:w="15" w:type="dxa"/>
              <w:right w:w="15" w:type="dxa"/>
            </w:tcMar>
            <w:vAlign w:val="center"/>
          </w:tcPr>
          <w:p w14:paraId="503F249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防治对象</w:t>
            </w:r>
          </w:p>
        </w:tc>
        <w:tc>
          <w:tcPr>
            <w:tcW w:w="941" w:type="dxa"/>
            <w:tcBorders>
              <w:tl2br w:val="nil"/>
              <w:tr2bl w:val="nil"/>
            </w:tcBorders>
            <w:shd w:val="clear" w:color="auto" w:fill="auto"/>
            <w:tcMar>
              <w:top w:w="15" w:type="dxa"/>
              <w:left w:w="15" w:type="dxa"/>
              <w:right w:w="15" w:type="dxa"/>
            </w:tcMar>
            <w:vAlign w:val="center"/>
          </w:tcPr>
          <w:p w14:paraId="216B3B2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3685A6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920" w:type="dxa"/>
            <w:tcBorders>
              <w:top w:val="single" w:color="auto" w:sz="4" w:space="0"/>
              <w:bottom w:val="single" w:color="auto" w:sz="4" w:space="0"/>
              <w:tl2br w:val="nil"/>
              <w:tr2bl w:val="nil"/>
            </w:tcBorders>
            <w:vAlign w:val="center"/>
          </w:tcPr>
          <w:p w14:paraId="1FBFCC8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地下工程区</w:t>
            </w:r>
          </w:p>
        </w:tc>
        <w:tc>
          <w:tcPr>
            <w:tcW w:w="1695" w:type="dxa"/>
            <w:tcBorders>
              <w:tl2br w:val="nil"/>
              <w:tr2bl w:val="nil"/>
            </w:tcBorders>
            <w:shd w:val="clear" w:color="auto" w:fill="auto"/>
            <w:tcMar>
              <w:top w:w="15" w:type="dxa"/>
              <w:left w:w="15" w:type="dxa"/>
              <w:right w:w="15" w:type="dxa"/>
            </w:tcMar>
            <w:vAlign w:val="center"/>
          </w:tcPr>
          <w:p w14:paraId="1C16C2F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地下工程区</w:t>
            </w:r>
          </w:p>
        </w:tc>
        <w:tc>
          <w:tcPr>
            <w:tcW w:w="1509" w:type="dxa"/>
            <w:tcBorders>
              <w:tl2br w:val="nil"/>
              <w:tr2bl w:val="nil"/>
            </w:tcBorders>
            <w:shd w:val="clear" w:color="auto" w:fill="auto"/>
            <w:tcMar>
              <w:top w:w="15" w:type="dxa"/>
              <w:left w:w="15" w:type="dxa"/>
              <w:right w:w="15" w:type="dxa"/>
            </w:tcMar>
            <w:vAlign w:val="center"/>
          </w:tcPr>
          <w:p w14:paraId="30436397">
            <w:pPr>
              <w:pStyle w:val="34"/>
              <w:rPr>
                <w:color w:val="000000" w:themeColor="text1"/>
                <w14:textFill>
                  <w14:solidFill>
                    <w14:schemeClr w14:val="tx1"/>
                  </w14:solidFill>
                </w14:textFill>
              </w:rPr>
            </w:pPr>
            <w:r>
              <w:rPr>
                <w:color w:val="000000" w:themeColor="text1"/>
                <w14:textFill>
                  <w14:solidFill>
                    <w14:schemeClr w14:val="tx1"/>
                  </w14:solidFill>
                </w14:textFill>
              </w:rPr>
              <w:t>0.</w:t>
            </w:r>
            <w:r>
              <w:rPr>
                <w:rFonts w:hint="eastAsia"/>
                <w:color w:val="000000" w:themeColor="text1"/>
                <w14:textFill>
                  <w14:solidFill>
                    <w14:schemeClr w14:val="tx1"/>
                  </w14:solidFill>
                </w14:textFill>
              </w:rPr>
              <w:t>44*</w:t>
            </w:r>
          </w:p>
        </w:tc>
        <w:tc>
          <w:tcPr>
            <w:tcW w:w="3682" w:type="dxa"/>
            <w:tcBorders>
              <w:tl2br w:val="nil"/>
              <w:tr2bl w:val="nil"/>
            </w:tcBorders>
            <w:shd w:val="clear" w:color="auto" w:fill="auto"/>
            <w:tcMar>
              <w:top w:w="15" w:type="dxa"/>
              <w:left w:w="15" w:type="dxa"/>
              <w:right w:w="15" w:type="dxa"/>
            </w:tcMar>
            <w:vAlign w:val="center"/>
          </w:tcPr>
          <w:p w14:paraId="24505F1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地下配套设备用房</w:t>
            </w:r>
          </w:p>
        </w:tc>
        <w:tc>
          <w:tcPr>
            <w:tcW w:w="941" w:type="dxa"/>
            <w:tcBorders>
              <w:tl2br w:val="nil"/>
              <w:tr2bl w:val="nil"/>
            </w:tcBorders>
            <w:shd w:val="clear" w:color="auto" w:fill="auto"/>
            <w:tcMar>
              <w:top w:w="15" w:type="dxa"/>
              <w:left w:w="15" w:type="dxa"/>
              <w:right w:w="15" w:type="dxa"/>
            </w:tcMar>
            <w:vAlign w:val="center"/>
          </w:tcPr>
          <w:p w14:paraId="3A5DAB6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占地面积不重复计算</w:t>
            </w:r>
          </w:p>
        </w:tc>
      </w:tr>
      <w:tr w14:paraId="7C00AB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920" w:type="dxa"/>
            <w:vMerge w:val="restart"/>
            <w:tcBorders>
              <w:top w:val="single" w:color="auto" w:sz="4" w:space="0"/>
              <w:tl2br w:val="nil"/>
              <w:tr2bl w:val="nil"/>
            </w:tcBorders>
            <w:vAlign w:val="center"/>
          </w:tcPr>
          <w:p w14:paraId="405AD1CA">
            <w:pPr>
              <w:pStyle w:val="34"/>
              <w:rPr>
                <w:color w:val="000000" w:themeColor="text1"/>
                <w14:textFill>
                  <w14:solidFill>
                    <w14:schemeClr w14:val="tx1"/>
                  </w14:solidFill>
                </w14:textFill>
              </w:rPr>
            </w:pPr>
            <w:r>
              <w:rPr>
                <w:rFonts w:hint="eastAsia" w:ascii="仿宋_GB2312" w:hAnsi="仿宋" w:cs="仿宋"/>
                <w:color w:val="000000" w:themeColor="text1"/>
                <w:spacing w:val="-2"/>
                <w:kern w:val="0"/>
                <w:szCs w:val="18"/>
                <w14:textFill>
                  <w14:solidFill>
                    <w14:schemeClr w14:val="tx1"/>
                  </w14:solidFill>
                </w14:textFill>
              </w:rPr>
              <w:t>地上工程区</w:t>
            </w:r>
          </w:p>
        </w:tc>
        <w:tc>
          <w:tcPr>
            <w:tcW w:w="1695" w:type="dxa"/>
            <w:tcMar>
              <w:top w:w="15" w:type="dxa"/>
              <w:left w:w="15" w:type="dxa"/>
              <w:right w:w="15" w:type="dxa"/>
            </w:tcMar>
            <w:vAlign w:val="center"/>
          </w:tcPr>
          <w:p w14:paraId="772F1B81">
            <w:pPr>
              <w:pStyle w:val="34"/>
              <w:rPr>
                <w:color w:val="000000" w:themeColor="text1"/>
                <w14:textFill>
                  <w14:solidFill>
                    <w14:schemeClr w14:val="tx1"/>
                  </w14:solidFill>
                </w14:textFill>
              </w:rPr>
            </w:pPr>
            <w:r>
              <w:rPr>
                <w:rFonts w:hint="eastAsia" w:ascii="仿宋_GB2312" w:hAnsi="仿宋" w:cs="仿宋"/>
                <w:color w:val="000000" w:themeColor="text1"/>
                <w:spacing w:val="-2"/>
                <w:kern w:val="0"/>
                <w:szCs w:val="18"/>
                <w14:textFill>
                  <w14:solidFill>
                    <w14:schemeClr w14:val="tx1"/>
                  </w14:solidFill>
                </w14:textFill>
              </w:rPr>
              <w:t>建构筑物工程区</w:t>
            </w:r>
          </w:p>
        </w:tc>
        <w:tc>
          <w:tcPr>
            <w:tcW w:w="1509" w:type="dxa"/>
            <w:tcBorders>
              <w:tl2br w:val="nil"/>
              <w:tr2bl w:val="nil"/>
            </w:tcBorders>
            <w:shd w:val="clear" w:color="auto" w:fill="auto"/>
            <w:tcMar>
              <w:top w:w="15" w:type="dxa"/>
              <w:left w:w="15" w:type="dxa"/>
              <w:right w:w="15" w:type="dxa"/>
            </w:tcMar>
            <w:vAlign w:val="center"/>
          </w:tcPr>
          <w:p w14:paraId="653F1DF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0.45</w:t>
            </w:r>
          </w:p>
        </w:tc>
        <w:tc>
          <w:tcPr>
            <w:tcW w:w="3682" w:type="dxa"/>
            <w:tcBorders>
              <w:tl2br w:val="nil"/>
              <w:tr2bl w:val="nil"/>
            </w:tcBorders>
            <w:shd w:val="clear" w:color="auto" w:fill="auto"/>
            <w:tcMar>
              <w:top w:w="15" w:type="dxa"/>
              <w:left w:w="15" w:type="dxa"/>
              <w:right w:w="15" w:type="dxa"/>
            </w:tcMar>
            <w:vAlign w:val="center"/>
          </w:tcPr>
          <w:p w14:paraId="416E9C7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生产厂房及其他配套工程</w:t>
            </w:r>
          </w:p>
        </w:tc>
        <w:tc>
          <w:tcPr>
            <w:tcW w:w="941" w:type="dxa"/>
            <w:tcBorders>
              <w:tl2br w:val="nil"/>
              <w:tr2bl w:val="nil"/>
            </w:tcBorders>
            <w:shd w:val="clear" w:color="auto" w:fill="auto"/>
            <w:tcMar>
              <w:top w:w="15" w:type="dxa"/>
              <w:left w:w="15" w:type="dxa"/>
              <w:right w:w="15" w:type="dxa"/>
            </w:tcMar>
            <w:vAlign w:val="center"/>
          </w:tcPr>
          <w:p w14:paraId="4B75A9D2">
            <w:pPr>
              <w:pStyle w:val="34"/>
              <w:rPr>
                <w:color w:val="000000" w:themeColor="text1"/>
                <w14:textFill>
                  <w14:solidFill>
                    <w14:schemeClr w14:val="tx1"/>
                  </w14:solidFill>
                </w14:textFill>
              </w:rPr>
            </w:pPr>
          </w:p>
        </w:tc>
      </w:tr>
      <w:tr w14:paraId="3292F5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920" w:type="dxa"/>
            <w:vMerge w:val="continue"/>
            <w:tcBorders>
              <w:tl2br w:val="nil"/>
              <w:tr2bl w:val="nil"/>
            </w:tcBorders>
          </w:tcPr>
          <w:p w14:paraId="40B81318">
            <w:pPr>
              <w:pStyle w:val="34"/>
              <w:rPr>
                <w:color w:val="000000" w:themeColor="text1"/>
                <w14:textFill>
                  <w14:solidFill>
                    <w14:schemeClr w14:val="tx1"/>
                  </w14:solidFill>
                </w14:textFill>
              </w:rPr>
            </w:pPr>
          </w:p>
        </w:tc>
        <w:tc>
          <w:tcPr>
            <w:tcW w:w="1695" w:type="dxa"/>
            <w:tcMar>
              <w:top w:w="15" w:type="dxa"/>
              <w:left w:w="15" w:type="dxa"/>
              <w:right w:w="15" w:type="dxa"/>
            </w:tcMar>
            <w:vAlign w:val="center"/>
          </w:tcPr>
          <w:p w14:paraId="70C1580E">
            <w:pPr>
              <w:pStyle w:val="34"/>
              <w:rPr>
                <w:color w:val="000000" w:themeColor="text1"/>
                <w14:textFill>
                  <w14:solidFill>
                    <w14:schemeClr w14:val="tx1"/>
                  </w14:solidFill>
                </w14:textFill>
              </w:rPr>
            </w:pPr>
            <w:r>
              <w:rPr>
                <w:rFonts w:hint="eastAsia" w:ascii="仿宋_GB2312" w:hAnsi="仿宋" w:cs="仿宋"/>
                <w:color w:val="000000" w:themeColor="text1"/>
                <w:spacing w:val="-2"/>
                <w:kern w:val="0"/>
                <w:szCs w:val="18"/>
                <w14:textFill>
                  <w14:solidFill>
                    <w14:schemeClr w14:val="tx1"/>
                  </w14:solidFill>
                </w14:textFill>
              </w:rPr>
              <w:t>场内道路及硬化工程区</w:t>
            </w:r>
          </w:p>
        </w:tc>
        <w:tc>
          <w:tcPr>
            <w:tcW w:w="1509" w:type="dxa"/>
            <w:tcBorders>
              <w:tl2br w:val="nil"/>
              <w:tr2bl w:val="nil"/>
            </w:tcBorders>
            <w:shd w:val="clear" w:color="auto" w:fill="auto"/>
            <w:tcMar>
              <w:top w:w="15" w:type="dxa"/>
              <w:left w:w="15" w:type="dxa"/>
              <w:right w:w="15" w:type="dxa"/>
            </w:tcMar>
            <w:vAlign w:val="center"/>
          </w:tcPr>
          <w:p w14:paraId="445C173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0.38</w:t>
            </w:r>
          </w:p>
        </w:tc>
        <w:tc>
          <w:tcPr>
            <w:tcW w:w="3682" w:type="dxa"/>
            <w:tcBorders>
              <w:tl2br w:val="nil"/>
              <w:tr2bl w:val="nil"/>
            </w:tcBorders>
            <w:shd w:val="clear" w:color="auto" w:fill="auto"/>
            <w:tcMar>
              <w:top w:w="15" w:type="dxa"/>
              <w:left w:w="15" w:type="dxa"/>
              <w:right w:w="15" w:type="dxa"/>
            </w:tcMar>
            <w:vAlign w:val="center"/>
          </w:tcPr>
          <w:p w14:paraId="1BF32B7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场内硬化道路及停车区</w:t>
            </w:r>
          </w:p>
        </w:tc>
        <w:tc>
          <w:tcPr>
            <w:tcW w:w="941" w:type="dxa"/>
            <w:tcBorders>
              <w:tl2br w:val="nil"/>
              <w:tr2bl w:val="nil"/>
            </w:tcBorders>
            <w:shd w:val="clear" w:color="auto" w:fill="auto"/>
            <w:tcMar>
              <w:top w:w="15" w:type="dxa"/>
              <w:left w:w="15" w:type="dxa"/>
              <w:right w:w="15" w:type="dxa"/>
            </w:tcMar>
            <w:vAlign w:val="center"/>
          </w:tcPr>
          <w:p w14:paraId="5AD82F14">
            <w:pPr>
              <w:pStyle w:val="34"/>
              <w:rPr>
                <w:color w:val="000000" w:themeColor="text1"/>
                <w14:textFill>
                  <w14:solidFill>
                    <w14:schemeClr w14:val="tx1"/>
                  </w14:solidFill>
                </w14:textFill>
              </w:rPr>
            </w:pPr>
          </w:p>
        </w:tc>
      </w:tr>
      <w:tr w14:paraId="2A929A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920" w:type="dxa"/>
            <w:vMerge w:val="continue"/>
            <w:tcBorders>
              <w:tl2br w:val="nil"/>
              <w:tr2bl w:val="nil"/>
            </w:tcBorders>
          </w:tcPr>
          <w:p w14:paraId="4AEE48AB">
            <w:pPr>
              <w:pStyle w:val="34"/>
              <w:rPr>
                <w:color w:val="000000" w:themeColor="text1"/>
                <w14:textFill>
                  <w14:solidFill>
                    <w14:schemeClr w14:val="tx1"/>
                  </w14:solidFill>
                </w14:textFill>
              </w:rPr>
            </w:pPr>
          </w:p>
        </w:tc>
        <w:tc>
          <w:tcPr>
            <w:tcW w:w="1695" w:type="dxa"/>
            <w:tcMar>
              <w:top w:w="15" w:type="dxa"/>
              <w:left w:w="15" w:type="dxa"/>
              <w:right w:w="15" w:type="dxa"/>
            </w:tcMar>
            <w:vAlign w:val="center"/>
          </w:tcPr>
          <w:p w14:paraId="3266A2DC">
            <w:pPr>
              <w:pStyle w:val="34"/>
              <w:rPr>
                <w:color w:val="000000" w:themeColor="text1"/>
                <w14:textFill>
                  <w14:solidFill>
                    <w14:schemeClr w14:val="tx1"/>
                  </w14:solidFill>
                </w14:textFill>
              </w:rPr>
            </w:pPr>
            <w:r>
              <w:rPr>
                <w:rFonts w:hint="eastAsia" w:ascii="仿宋_GB2312" w:hAnsi="仿宋" w:cs="仿宋"/>
                <w:color w:val="000000" w:themeColor="text1"/>
                <w:spacing w:val="-2"/>
                <w:kern w:val="0"/>
                <w:szCs w:val="18"/>
                <w14:textFill>
                  <w14:solidFill>
                    <w14:schemeClr w14:val="tx1"/>
                  </w14:solidFill>
                </w14:textFill>
              </w:rPr>
              <w:t>景观绿化工程区</w:t>
            </w:r>
          </w:p>
        </w:tc>
        <w:tc>
          <w:tcPr>
            <w:tcW w:w="1509" w:type="dxa"/>
            <w:tcBorders>
              <w:tl2br w:val="nil"/>
              <w:tr2bl w:val="nil"/>
            </w:tcBorders>
            <w:shd w:val="clear" w:color="auto" w:fill="auto"/>
            <w:tcMar>
              <w:top w:w="15" w:type="dxa"/>
              <w:left w:w="15" w:type="dxa"/>
              <w:right w:w="15" w:type="dxa"/>
            </w:tcMar>
            <w:vAlign w:val="center"/>
          </w:tcPr>
          <w:p w14:paraId="2682AA7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0.12</w:t>
            </w:r>
          </w:p>
        </w:tc>
        <w:tc>
          <w:tcPr>
            <w:tcW w:w="3682" w:type="dxa"/>
            <w:tcBorders>
              <w:tl2br w:val="nil"/>
              <w:tr2bl w:val="nil"/>
            </w:tcBorders>
            <w:shd w:val="clear" w:color="auto" w:fill="auto"/>
            <w:tcMar>
              <w:top w:w="15" w:type="dxa"/>
              <w:left w:w="15" w:type="dxa"/>
              <w:right w:w="15" w:type="dxa"/>
            </w:tcMar>
            <w:vAlign w:val="center"/>
          </w:tcPr>
          <w:p w14:paraId="7DD34BB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建筑物周边集中绿化</w:t>
            </w:r>
          </w:p>
        </w:tc>
        <w:tc>
          <w:tcPr>
            <w:tcW w:w="941" w:type="dxa"/>
            <w:tcBorders>
              <w:tl2br w:val="nil"/>
              <w:tr2bl w:val="nil"/>
            </w:tcBorders>
            <w:shd w:val="clear" w:color="auto" w:fill="auto"/>
            <w:tcMar>
              <w:top w:w="15" w:type="dxa"/>
              <w:left w:w="15" w:type="dxa"/>
              <w:right w:w="15" w:type="dxa"/>
            </w:tcMar>
            <w:vAlign w:val="center"/>
          </w:tcPr>
          <w:p w14:paraId="2E0C57D7">
            <w:pPr>
              <w:pStyle w:val="34"/>
              <w:rPr>
                <w:color w:val="000000" w:themeColor="text1"/>
                <w14:textFill>
                  <w14:solidFill>
                    <w14:schemeClr w14:val="tx1"/>
                  </w14:solidFill>
                </w14:textFill>
              </w:rPr>
            </w:pPr>
          </w:p>
        </w:tc>
      </w:tr>
      <w:tr w14:paraId="4EF066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920" w:type="dxa"/>
            <w:tcBorders>
              <w:tl2br w:val="nil"/>
              <w:tr2bl w:val="nil"/>
            </w:tcBorders>
          </w:tcPr>
          <w:p w14:paraId="554FB0A0">
            <w:pPr>
              <w:pStyle w:val="34"/>
              <w:rPr>
                <w:color w:val="000000" w:themeColor="text1"/>
                <w14:textFill>
                  <w14:solidFill>
                    <w14:schemeClr w14:val="tx1"/>
                  </w14:solidFill>
                </w14:textFill>
              </w:rPr>
            </w:pPr>
          </w:p>
        </w:tc>
        <w:tc>
          <w:tcPr>
            <w:tcW w:w="1695" w:type="dxa"/>
            <w:tcBorders>
              <w:tl2br w:val="nil"/>
              <w:tr2bl w:val="nil"/>
            </w:tcBorders>
            <w:shd w:val="clear" w:color="auto" w:fill="auto"/>
            <w:tcMar>
              <w:top w:w="15" w:type="dxa"/>
              <w:left w:w="15" w:type="dxa"/>
              <w:right w:w="15" w:type="dxa"/>
            </w:tcMar>
            <w:vAlign w:val="center"/>
          </w:tcPr>
          <w:p w14:paraId="6D37BB1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1509" w:type="dxa"/>
            <w:tcBorders>
              <w:tl2br w:val="nil"/>
              <w:tr2bl w:val="nil"/>
            </w:tcBorders>
            <w:shd w:val="clear" w:color="auto" w:fill="auto"/>
            <w:tcMar>
              <w:top w:w="15" w:type="dxa"/>
              <w:left w:w="15" w:type="dxa"/>
              <w:right w:w="15" w:type="dxa"/>
            </w:tcMar>
            <w:vAlign w:val="center"/>
          </w:tcPr>
          <w:p w14:paraId="0E127BA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0.95</w:t>
            </w:r>
          </w:p>
        </w:tc>
        <w:tc>
          <w:tcPr>
            <w:tcW w:w="3682" w:type="dxa"/>
            <w:tcBorders>
              <w:tl2br w:val="nil"/>
              <w:tr2bl w:val="nil"/>
            </w:tcBorders>
            <w:shd w:val="clear" w:color="auto" w:fill="auto"/>
            <w:tcMar>
              <w:top w:w="15" w:type="dxa"/>
              <w:left w:w="15" w:type="dxa"/>
              <w:right w:w="15" w:type="dxa"/>
            </w:tcMar>
            <w:vAlign w:val="center"/>
          </w:tcPr>
          <w:p w14:paraId="761EF5B5">
            <w:pPr>
              <w:pStyle w:val="34"/>
              <w:rPr>
                <w:color w:val="000000" w:themeColor="text1"/>
                <w14:textFill>
                  <w14:solidFill>
                    <w14:schemeClr w14:val="tx1"/>
                  </w14:solidFill>
                </w14:textFill>
              </w:rPr>
            </w:pPr>
          </w:p>
        </w:tc>
        <w:tc>
          <w:tcPr>
            <w:tcW w:w="941" w:type="dxa"/>
            <w:tcBorders>
              <w:tl2br w:val="nil"/>
              <w:tr2bl w:val="nil"/>
            </w:tcBorders>
            <w:shd w:val="clear" w:color="auto" w:fill="auto"/>
            <w:noWrap/>
            <w:tcMar>
              <w:top w:w="15" w:type="dxa"/>
              <w:left w:w="15" w:type="dxa"/>
              <w:right w:w="15" w:type="dxa"/>
            </w:tcMar>
            <w:vAlign w:val="center"/>
          </w:tcPr>
          <w:p w14:paraId="1CC50F80">
            <w:pPr>
              <w:pStyle w:val="34"/>
              <w:rPr>
                <w:color w:val="000000" w:themeColor="text1"/>
                <w14:textFill>
                  <w14:solidFill>
                    <w14:schemeClr w14:val="tx1"/>
                  </w14:solidFill>
                </w14:textFill>
              </w:rPr>
            </w:pPr>
          </w:p>
        </w:tc>
      </w:tr>
    </w:tbl>
    <w:p w14:paraId="77AAAD73">
      <w:pPr>
        <w:pStyle w:val="3"/>
        <w:rPr>
          <w:color w:val="000000" w:themeColor="text1"/>
          <w14:textFill>
            <w14:solidFill>
              <w14:schemeClr w14:val="tx1"/>
            </w14:solidFill>
          </w14:textFill>
        </w:rPr>
      </w:pPr>
      <w:bookmarkStart w:id="105" w:name="_Toc18437"/>
      <w:r>
        <w:rPr>
          <w:rFonts w:hint="eastAsia"/>
          <w:color w:val="000000" w:themeColor="text1"/>
          <w14:textFill>
            <w14:solidFill>
              <w14:schemeClr w14:val="tx1"/>
            </w14:solidFill>
          </w14:textFill>
        </w:rPr>
        <w:t>5.2措施总体布局</w:t>
      </w:r>
      <w:bookmarkEnd w:id="105"/>
    </w:p>
    <w:p w14:paraId="69CD1CE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5.2.1总体布局原则</w:t>
      </w:r>
    </w:p>
    <w:p w14:paraId="7CDB653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根据项目区环境特征，结合项目工程特点和主体工程中已有的防治措施，制定布置水土保持措施的原则如下：</w:t>
      </w:r>
    </w:p>
    <w:p w14:paraId="07C70D3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1、结合本工程实际和项目区水土流失现状，因地制宜、因害设防、防治结合、全面布局、科学配置；</w:t>
      </w:r>
    </w:p>
    <w:p w14:paraId="7A535B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2、项目建设过程中应注重生态环境保护，设置临时性防护措施，减少施工过程中造成的人为扰动及产生的废余方（石、渣）。</w:t>
      </w:r>
    </w:p>
    <w:p w14:paraId="6AF8E9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3、注重吸收当地水土保持的成功经验，借鉴国内外先进技术。</w:t>
      </w:r>
    </w:p>
    <w:p w14:paraId="6A3340F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4、树立人与自然和谐相处的理念，尊重自然规律，注重与周边景观相协调。</w:t>
      </w:r>
    </w:p>
    <w:p w14:paraId="4B5097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5、工程措施尽量选用当地材料，做到技术上可靠、经济上合理。</w:t>
      </w:r>
    </w:p>
    <w:p w14:paraId="6DDE68A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防治措施布设与主体工程密切配合，相互协调，形成整体。在防治时段方面，对施工期产生的水土流失进行重点防治。在防治区方面，对建构筑物工程区作为新增水土流失重点区域进行重点防治，同时也兼顾其它工程区的水土流失防治，做到全局和局部相统一，重点和一般相协调的原则，对项目区水土流失进行全面防治。</w:t>
      </w:r>
    </w:p>
    <w:p w14:paraId="08619C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结合工程实际和项目区水土流失特点，因地制宜因害设防。本水土保持方案提出水土流失总体防治思路，明确水土保持综合防治措施体系，使临时措施、工程措施有机结合</w:t>
      </w:r>
      <w:r>
        <w:rPr>
          <w:color w:val="000000" w:themeColor="text1"/>
          <w14:textFill>
            <w14:solidFill>
              <w14:schemeClr w14:val="tx1"/>
            </w14:solidFill>
          </w14:textFill>
        </w:rPr>
        <w:t>。</w:t>
      </w:r>
    </w:p>
    <w:tbl>
      <w:tblPr>
        <w:tblStyle w:val="26"/>
        <w:tblW w:w="55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1060"/>
        <w:gridCol w:w="1136"/>
        <w:gridCol w:w="1803"/>
        <w:gridCol w:w="713"/>
        <w:gridCol w:w="982"/>
        <w:gridCol w:w="845"/>
        <w:gridCol w:w="1056"/>
        <w:gridCol w:w="1117"/>
      </w:tblGrid>
      <w:tr w14:paraId="2345E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tcPr>
          <w:p w14:paraId="791D919B">
            <w:pPr>
              <w:widowControl/>
              <w:adjustRightIn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一级防治分区</w:t>
            </w:r>
          </w:p>
        </w:tc>
        <w:tc>
          <w:tcPr>
            <w:tcW w:w="556" w:type="pct"/>
            <w:vAlign w:val="center"/>
          </w:tcPr>
          <w:p w14:paraId="38AE93A0">
            <w:pPr>
              <w:widowControl/>
              <w:adjustRightIn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二级</w:t>
            </w:r>
            <w:r>
              <w:rPr>
                <w:color w:val="000000" w:themeColor="text1"/>
                <w:sz w:val="18"/>
                <w:szCs w:val="18"/>
                <w14:textFill>
                  <w14:solidFill>
                    <w14:schemeClr w14:val="tx1"/>
                  </w14:solidFill>
                </w14:textFill>
              </w:rPr>
              <w:t>防治分区</w:t>
            </w:r>
          </w:p>
        </w:tc>
        <w:tc>
          <w:tcPr>
            <w:tcW w:w="596" w:type="pct"/>
            <w:vAlign w:val="center"/>
          </w:tcPr>
          <w:p w14:paraId="3318B2A9">
            <w:pPr>
              <w:widowControl/>
              <w:adjustRightIn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措施类型</w:t>
            </w:r>
          </w:p>
        </w:tc>
        <w:tc>
          <w:tcPr>
            <w:tcW w:w="946" w:type="pct"/>
            <w:vAlign w:val="center"/>
          </w:tcPr>
          <w:p w14:paraId="6C7ED568">
            <w:pPr>
              <w:spacing w:line="240" w:lineRule="auto"/>
              <w:ind w:left="208"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防护工程</w:t>
            </w:r>
          </w:p>
        </w:tc>
        <w:tc>
          <w:tcPr>
            <w:tcW w:w="374" w:type="pct"/>
            <w:vAlign w:val="center"/>
          </w:tcPr>
          <w:p w14:paraId="28C756DF">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单位</w:t>
            </w:r>
          </w:p>
        </w:tc>
        <w:tc>
          <w:tcPr>
            <w:tcW w:w="515" w:type="pct"/>
            <w:noWrap/>
            <w:vAlign w:val="center"/>
          </w:tcPr>
          <w:p w14:paraId="41C4A15B">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工程量</w:t>
            </w:r>
          </w:p>
        </w:tc>
        <w:tc>
          <w:tcPr>
            <w:tcW w:w="443" w:type="pct"/>
            <w:noWrap/>
            <w:vAlign w:val="center"/>
          </w:tcPr>
          <w:p w14:paraId="2CAB9A48">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单价</w:t>
            </w:r>
          </w:p>
          <w:p w14:paraId="4D37975D">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（元）</w:t>
            </w:r>
          </w:p>
        </w:tc>
        <w:tc>
          <w:tcPr>
            <w:tcW w:w="554" w:type="pct"/>
            <w:noWrap/>
            <w:vAlign w:val="center"/>
          </w:tcPr>
          <w:p w14:paraId="68C70368">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合计</w:t>
            </w:r>
          </w:p>
          <w:p w14:paraId="52D65359">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（万元）</w:t>
            </w:r>
          </w:p>
        </w:tc>
        <w:tc>
          <w:tcPr>
            <w:tcW w:w="586" w:type="pct"/>
            <w:noWrap/>
            <w:vAlign w:val="center"/>
          </w:tcPr>
          <w:p w14:paraId="67FCCD0E">
            <w:pPr>
              <w:widowControl/>
              <w:adjustRightInd/>
              <w:spacing w:line="240" w:lineRule="auto"/>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备注</w:t>
            </w:r>
          </w:p>
        </w:tc>
      </w:tr>
      <w:tr w14:paraId="70382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restart"/>
            <w:vAlign w:val="center"/>
          </w:tcPr>
          <w:p w14:paraId="3AF18C41">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地下工程区</w:t>
            </w:r>
          </w:p>
        </w:tc>
        <w:tc>
          <w:tcPr>
            <w:tcW w:w="556" w:type="pct"/>
            <w:vMerge w:val="restart"/>
            <w:vAlign w:val="center"/>
          </w:tcPr>
          <w:p w14:paraId="0E16F75A">
            <w:pPr>
              <w:spacing w:line="240" w:lineRule="auto"/>
              <w:ind w:firstLine="0" w:firstLineChars="0"/>
              <w:jc w:val="center"/>
              <w:rPr>
                <w:color w:val="000000" w:themeColor="text1"/>
                <w:sz w:val="18"/>
                <w:szCs w:val="18"/>
                <w14:textFill>
                  <w14:solidFill>
                    <w14:schemeClr w14:val="tx1"/>
                  </w14:solidFill>
                </w14:textFill>
              </w:rPr>
            </w:pPr>
            <w:r>
              <w:rPr>
                <w:rFonts w:hint="eastAsia" w:ascii="仿宋_GB2312"/>
                <w:color w:val="000000" w:themeColor="text1"/>
                <w:sz w:val="18"/>
                <w:szCs w:val="18"/>
                <w14:textFill>
                  <w14:solidFill>
                    <w14:schemeClr w14:val="tx1"/>
                  </w14:solidFill>
                </w14:textFill>
              </w:rPr>
              <w:t>地下建筑工程区</w:t>
            </w:r>
          </w:p>
        </w:tc>
        <w:tc>
          <w:tcPr>
            <w:tcW w:w="596" w:type="pct"/>
            <w:vMerge w:val="restart"/>
            <w:vAlign w:val="center"/>
          </w:tcPr>
          <w:p w14:paraId="52636DE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临时措施</w:t>
            </w:r>
          </w:p>
        </w:tc>
        <w:tc>
          <w:tcPr>
            <w:tcW w:w="946" w:type="pct"/>
            <w:vAlign w:val="center"/>
          </w:tcPr>
          <w:p w14:paraId="0E3C58E8">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基坑坑顶截水沟</w:t>
            </w:r>
          </w:p>
        </w:tc>
        <w:tc>
          <w:tcPr>
            <w:tcW w:w="374" w:type="pct"/>
            <w:vAlign w:val="center"/>
          </w:tcPr>
          <w:p w14:paraId="0D15719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m</w:t>
            </w:r>
          </w:p>
        </w:tc>
        <w:tc>
          <w:tcPr>
            <w:tcW w:w="515" w:type="pct"/>
            <w:noWrap/>
            <w:vAlign w:val="center"/>
          </w:tcPr>
          <w:p w14:paraId="4D344792">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276.3</w:t>
            </w:r>
          </w:p>
        </w:tc>
        <w:tc>
          <w:tcPr>
            <w:tcW w:w="443" w:type="pct"/>
            <w:noWrap/>
            <w:vAlign w:val="center"/>
          </w:tcPr>
          <w:p w14:paraId="27D0E7E7">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116</w:t>
            </w:r>
          </w:p>
        </w:tc>
        <w:tc>
          <w:tcPr>
            <w:tcW w:w="554" w:type="pct"/>
            <w:shd w:val="clear" w:color="auto" w:fill="auto"/>
            <w:noWrap/>
            <w:vAlign w:val="center"/>
          </w:tcPr>
          <w:p w14:paraId="2F590BFE">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3.21 </w:t>
            </w:r>
          </w:p>
        </w:tc>
        <w:tc>
          <w:tcPr>
            <w:tcW w:w="586" w:type="pct"/>
            <w:noWrap/>
            <w:vAlign w:val="center"/>
          </w:tcPr>
          <w:p w14:paraId="6F5C9DAC">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23E65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13B42CB5">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56" w:type="pct"/>
            <w:vMerge w:val="continue"/>
            <w:vAlign w:val="center"/>
          </w:tcPr>
          <w:p w14:paraId="3F2A8DB8">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96" w:type="pct"/>
            <w:vMerge w:val="continue"/>
          </w:tcPr>
          <w:p w14:paraId="3BCFF26C">
            <w:pPr>
              <w:pStyle w:val="34"/>
              <w:rPr>
                <w:color w:val="000000" w:themeColor="text1"/>
                <w:szCs w:val="18"/>
                <w14:textFill>
                  <w14:solidFill>
                    <w14:schemeClr w14:val="tx1"/>
                  </w14:solidFill>
                </w14:textFill>
              </w:rPr>
            </w:pPr>
          </w:p>
        </w:tc>
        <w:tc>
          <w:tcPr>
            <w:tcW w:w="946" w:type="pct"/>
            <w:vAlign w:val="center"/>
          </w:tcPr>
          <w:p w14:paraId="1B11D8B6">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基坑坑顶临时沉沙池</w:t>
            </w:r>
          </w:p>
        </w:tc>
        <w:tc>
          <w:tcPr>
            <w:tcW w:w="374" w:type="pct"/>
            <w:vAlign w:val="center"/>
          </w:tcPr>
          <w:p w14:paraId="70D92337">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个</w:t>
            </w:r>
          </w:p>
        </w:tc>
        <w:tc>
          <w:tcPr>
            <w:tcW w:w="515" w:type="pct"/>
            <w:noWrap/>
            <w:vAlign w:val="center"/>
          </w:tcPr>
          <w:p w14:paraId="6C78001C">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2</w:t>
            </w:r>
          </w:p>
        </w:tc>
        <w:tc>
          <w:tcPr>
            <w:tcW w:w="443" w:type="pct"/>
            <w:noWrap/>
            <w:vAlign w:val="center"/>
          </w:tcPr>
          <w:p w14:paraId="4E8ADD05">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100</w:t>
            </w:r>
          </w:p>
        </w:tc>
        <w:tc>
          <w:tcPr>
            <w:tcW w:w="554" w:type="pct"/>
            <w:shd w:val="clear" w:color="auto" w:fill="auto"/>
            <w:noWrap/>
            <w:vAlign w:val="center"/>
          </w:tcPr>
          <w:p w14:paraId="3B61804A">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0.22 </w:t>
            </w:r>
          </w:p>
        </w:tc>
        <w:tc>
          <w:tcPr>
            <w:tcW w:w="586" w:type="pct"/>
            <w:noWrap/>
          </w:tcPr>
          <w:p w14:paraId="578E24B8">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54829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restart"/>
            <w:vAlign w:val="center"/>
          </w:tcPr>
          <w:p w14:paraId="2FF87962">
            <w:pPr>
              <w:widowControl/>
              <w:adjustRightIn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地上工程区</w:t>
            </w:r>
          </w:p>
        </w:tc>
        <w:tc>
          <w:tcPr>
            <w:tcW w:w="556" w:type="pct"/>
            <w:vMerge w:val="restart"/>
            <w:vAlign w:val="center"/>
          </w:tcPr>
          <w:p w14:paraId="1B87CE65">
            <w:pPr>
              <w:widowControl/>
              <w:adjustRightInd/>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建构筑物工程区</w:t>
            </w:r>
          </w:p>
        </w:tc>
        <w:tc>
          <w:tcPr>
            <w:tcW w:w="596" w:type="pct"/>
            <w:vAlign w:val="center"/>
          </w:tcPr>
          <w:p w14:paraId="0D346932">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工程措施</w:t>
            </w:r>
          </w:p>
        </w:tc>
        <w:tc>
          <w:tcPr>
            <w:tcW w:w="946" w:type="pct"/>
            <w:vAlign w:val="center"/>
          </w:tcPr>
          <w:p w14:paraId="4B2AE0F3">
            <w:pPr>
              <w:pStyle w:val="34"/>
              <w:rPr>
                <w:rFonts w:hint="eastAsia" w:eastAsia="仿宋_GB2312"/>
                <w:color w:val="000000" w:themeColor="text1"/>
                <w:szCs w:val="18"/>
                <w:lang w:eastAsia="zh-CN"/>
                <w14:textFill>
                  <w14:solidFill>
                    <w14:schemeClr w14:val="tx1"/>
                  </w14:solidFill>
                </w14:textFill>
              </w:rPr>
            </w:pPr>
            <w:r>
              <w:rPr>
                <w:rFonts w:hint="eastAsia"/>
                <w:color w:val="000000" w:themeColor="text1"/>
                <w:szCs w:val="18"/>
                <w:lang w:eastAsia="zh-CN"/>
                <w14:textFill>
                  <w14:solidFill>
                    <w14:schemeClr w14:val="tx1"/>
                  </w14:solidFill>
                </w14:textFill>
              </w:rPr>
              <w:t>表土剥离</w:t>
            </w:r>
          </w:p>
        </w:tc>
        <w:tc>
          <w:tcPr>
            <w:tcW w:w="374" w:type="pct"/>
            <w:vAlign w:val="center"/>
          </w:tcPr>
          <w:p w14:paraId="5277715B">
            <w:pPr>
              <w:pStyle w:val="34"/>
              <w:rPr>
                <w:rFonts w:hint="default" w:eastAsia="仿宋_GB2312"/>
                <w:color w:val="000000" w:themeColor="text1"/>
                <w:szCs w:val="18"/>
                <w:lang w:val="en-US" w:eastAsia="zh-CN"/>
                <w14:textFill>
                  <w14:solidFill>
                    <w14:schemeClr w14:val="tx1"/>
                  </w14:solidFill>
                </w14:textFill>
              </w:rPr>
            </w:pPr>
            <w:r>
              <w:rPr>
                <w:rFonts w:hint="eastAsia"/>
                <w:color w:val="000000" w:themeColor="text1"/>
                <w:szCs w:val="18"/>
                <w:lang w:eastAsia="zh-CN"/>
                <w14:textFill>
                  <w14:solidFill>
                    <w14:schemeClr w14:val="tx1"/>
                  </w14:solidFill>
                </w14:textFill>
              </w:rPr>
              <w:t>万</w:t>
            </w:r>
            <w:r>
              <w:rPr>
                <w:rFonts w:hint="eastAsia"/>
                <w:color w:val="000000" w:themeColor="text1"/>
                <w:szCs w:val="18"/>
                <w:lang w:val="en-US" w:eastAsia="zh-CN"/>
                <w14:textFill>
                  <w14:solidFill>
                    <w14:schemeClr w14:val="tx1"/>
                  </w14:solidFill>
                </w14:textFill>
              </w:rPr>
              <w:t>m</w:t>
            </w:r>
            <w:r>
              <w:rPr>
                <w:rFonts w:hint="eastAsia"/>
                <w:color w:val="000000" w:themeColor="text1"/>
                <w:szCs w:val="18"/>
                <w:vertAlign w:val="superscript"/>
                <w:lang w:val="en-US" w:eastAsia="zh-CN"/>
                <w14:textFill>
                  <w14:solidFill>
                    <w14:schemeClr w14:val="tx1"/>
                  </w14:solidFill>
                </w14:textFill>
              </w:rPr>
              <w:t>3</w:t>
            </w:r>
          </w:p>
        </w:tc>
        <w:tc>
          <w:tcPr>
            <w:tcW w:w="515" w:type="pct"/>
            <w:noWrap/>
            <w:vAlign w:val="center"/>
          </w:tcPr>
          <w:p w14:paraId="4E87D9D0">
            <w:pPr>
              <w:pStyle w:val="34"/>
              <w:rPr>
                <w:rFonts w:hint="default" w:eastAsia="仿宋_GB2312"/>
                <w:color w:val="000000" w:themeColor="text1"/>
                <w:szCs w:val="18"/>
                <w:lang w:val="en-US" w:eastAsia="zh-CN"/>
                <w14:textFill>
                  <w14:solidFill>
                    <w14:schemeClr w14:val="tx1"/>
                  </w14:solidFill>
                </w14:textFill>
              </w:rPr>
            </w:pPr>
            <w:r>
              <w:rPr>
                <w:rFonts w:hint="eastAsia"/>
                <w:color w:val="000000" w:themeColor="text1"/>
                <w:szCs w:val="18"/>
                <w:lang w:val="en-US" w:eastAsia="zh-CN"/>
                <w14:textFill>
                  <w14:solidFill>
                    <w14:schemeClr w14:val="tx1"/>
                  </w14:solidFill>
                </w14:textFill>
              </w:rPr>
              <w:t>0.05</w:t>
            </w:r>
          </w:p>
        </w:tc>
        <w:tc>
          <w:tcPr>
            <w:tcW w:w="443" w:type="pct"/>
            <w:noWrap/>
            <w:vAlign w:val="center"/>
          </w:tcPr>
          <w:p w14:paraId="5C064177">
            <w:pPr>
              <w:pStyle w:val="34"/>
              <w:rPr>
                <w:rFonts w:hint="eastAsia"/>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55000</w:t>
            </w:r>
          </w:p>
        </w:tc>
        <w:tc>
          <w:tcPr>
            <w:tcW w:w="554" w:type="pct"/>
            <w:shd w:val="clear" w:color="auto" w:fill="auto"/>
            <w:noWrap/>
            <w:vAlign w:val="center"/>
          </w:tcPr>
          <w:p w14:paraId="26647044">
            <w:pPr>
              <w:pStyle w:val="34"/>
              <w:rPr>
                <w:rFonts w:hint="default" w:eastAsia="仿宋_GB2312"/>
                <w:color w:val="000000" w:themeColor="text1"/>
                <w:szCs w:val="18"/>
                <w:lang w:val="en-US" w:eastAsia="zh-CN"/>
                <w14:textFill>
                  <w14:solidFill>
                    <w14:schemeClr w14:val="tx1"/>
                  </w14:solidFill>
                </w14:textFill>
              </w:rPr>
            </w:pPr>
            <w:r>
              <w:rPr>
                <w:rFonts w:hint="eastAsia"/>
                <w:color w:val="000000" w:themeColor="text1"/>
                <w:szCs w:val="18"/>
                <w:lang w:val="en-US" w:eastAsia="zh-CN"/>
                <w14:textFill>
                  <w14:solidFill>
                    <w14:schemeClr w14:val="tx1"/>
                  </w14:solidFill>
                </w14:textFill>
              </w:rPr>
              <w:t>0.275</w:t>
            </w:r>
          </w:p>
        </w:tc>
        <w:tc>
          <w:tcPr>
            <w:tcW w:w="586" w:type="pct"/>
            <w:noWrap/>
          </w:tcPr>
          <w:p w14:paraId="0282F7FD">
            <w:pPr>
              <w:pStyle w:val="34"/>
              <w:rPr>
                <w:rFonts w:hint="eastAsia" w:eastAsia="仿宋_GB2312"/>
                <w:color w:val="000000" w:themeColor="text1"/>
                <w:szCs w:val="18"/>
                <w:lang w:eastAsia="zh-CN"/>
                <w14:textFill>
                  <w14:solidFill>
                    <w14:schemeClr w14:val="tx1"/>
                  </w14:solidFill>
                </w14:textFill>
              </w:rPr>
            </w:pPr>
            <w:r>
              <w:rPr>
                <w:rFonts w:hint="eastAsia"/>
                <w:color w:val="000000" w:themeColor="text1"/>
                <w:szCs w:val="18"/>
                <w:lang w:eastAsia="zh-CN"/>
                <w14:textFill>
                  <w14:solidFill>
                    <w14:schemeClr w14:val="tx1"/>
                  </w14:solidFill>
                </w14:textFill>
              </w:rPr>
              <w:t>未实施</w:t>
            </w:r>
          </w:p>
        </w:tc>
      </w:tr>
      <w:tr w14:paraId="17A01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vAlign w:val="center"/>
          </w:tcPr>
          <w:p w14:paraId="1B5E8100">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56" w:type="pct"/>
            <w:vMerge w:val="continue"/>
            <w:vAlign w:val="center"/>
          </w:tcPr>
          <w:p w14:paraId="4A3CBF74">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96" w:type="pct"/>
            <w:vMerge w:val="restart"/>
            <w:vAlign w:val="center"/>
          </w:tcPr>
          <w:p w14:paraId="157A00C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临时措施</w:t>
            </w:r>
          </w:p>
        </w:tc>
        <w:tc>
          <w:tcPr>
            <w:tcW w:w="946" w:type="pct"/>
            <w:vAlign w:val="center"/>
          </w:tcPr>
          <w:p w14:paraId="30754262">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临时排水沟</w:t>
            </w:r>
          </w:p>
        </w:tc>
        <w:tc>
          <w:tcPr>
            <w:tcW w:w="374" w:type="pct"/>
            <w:vAlign w:val="center"/>
          </w:tcPr>
          <w:p w14:paraId="69731C02">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m</w:t>
            </w:r>
          </w:p>
        </w:tc>
        <w:tc>
          <w:tcPr>
            <w:tcW w:w="515" w:type="pct"/>
            <w:noWrap/>
            <w:vAlign w:val="center"/>
          </w:tcPr>
          <w:p w14:paraId="789AF6A3">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358</w:t>
            </w:r>
          </w:p>
        </w:tc>
        <w:tc>
          <w:tcPr>
            <w:tcW w:w="443" w:type="pct"/>
            <w:noWrap/>
            <w:vAlign w:val="center"/>
          </w:tcPr>
          <w:p w14:paraId="0D2159A6">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16</w:t>
            </w:r>
          </w:p>
        </w:tc>
        <w:tc>
          <w:tcPr>
            <w:tcW w:w="554" w:type="pct"/>
            <w:shd w:val="clear" w:color="auto" w:fill="auto"/>
            <w:noWrap/>
            <w:vAlign w:val="center"/>
          </w:tcPr>
          <w:p w14:paraId="6B71D8A0">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4.15 </w:t>
            </w:r>
          </w:p>
        </w:tc>
        <w:tc>
          <w:tcPr>
            <w:tcW w:w="586" w:type="pct"/>
            <w:noWrap/>
          </w:tcPr>
          <w:p w14:paraId="752E880C">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69DC5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7A367A78">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56" w:type="pct"/>
            <w:vMerge w:val="continue"/>
            <w:vAlign w:val="center"/>
          </w:tcPr>
          <w:p w14:paraId="6A20AADC">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96" w:type="pct"/>
            <w:vMerge w:val="continue"/>
          </w:tcPr>
          <w:p w14:paraId="440EF97A">
            <w:pPr>
              <w:pStyle w:val="34"/>
              <w:rPr>
                <w:color w:val="000000" w:themeColor="text1"/>
                <w:szCs w:val="18"/>
                <w14:textFill>
                  <w14:solidFill>
                    <w14:schemeClr w14:val="tx1"/>
                  </w14:solidFill>
                </w14:textFill>
              </w:rPr>
            </w:pPr>
          </w:p>
        </w:tc>
        <w:tc>
          <w:tcPr>
            <w:tcW w:w="946" w:type="pct"/>
            <w:vAlign w:val="center"/>
          </w:tcPr>
          <w:p w14:paraId="6F9A9F93">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临时沉沙池</w:t>
            </w:r>
          </w:p>
        </w:tc>
        <w:tc>
          <w:tcPr>
            <w:tcW w:w="374" w:type="pct"/>
            <w:vAlign w:val="center"/>
          </w:tcPr>
          <w:p w14:paraId="0EF6907B">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座</w:t>
            </w:r>
          </w:p>
        </w:tc>
        <w:tc>
          <w:tcPr>
            <w:tcW w:w="515" w:type="pct"/>
            <w:noWrap/>
            <w:vAlign w:val="center"/>
          </w:tcPr>
          <w:p w14:paraId="4CBD776B">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4</w:t>
            </w:r>
          </w:p>
        </w:tc>
        <w:tc>
          <w:tcPr>
            <w:tcW w:w="443" w:type="pct"/>
            <w:noWrap/>
            <w:vAlign w:val="center"/>
          </w:tcPr>
          <w:p w14:paraId="31ADFB27">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100</w:t>
            </w:r>
          </w:p>
        </w:tc>
        <w:tc>
          <w:tcPr>
            <w:tcW w:w="554" w:type="pct"/>
            <w:shd w:val="clear" w:color="auto" w:fill="auto"/>
            <w:noWrap/>
            <w:vAlign w:val="center"/>
          </w:tcPr>
          <w:p w14:paraId="5D9F4E09">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0.44 </w:t>
            </w:r>
          </w:p>
        </w:tc>
        <w:tc>
          <w:tcPr>
            <w:tcW w:w="586" w:type="pct"/>
            <w:noWrap/>
          </w:tcPr>
          <w:p w14:paraId="08AAB881">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6C387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2771B436">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56" w:type="pct"/>
            <w:vMerge w:val="continue"/>
            <w:vAlign w:val="center"/>
          </w:tcPr>
          <w:p w14:paraId="2FDDC7C2">
            <w:pPr>
              <w:widowControl/>
              <w:adjustRightInd/>
              <w:spacing w:line="240" w:lineRule="auto"/>
              <w:ind w:firstLine="0" w:firstLineChars="0"/>
              <w:jc w:val="center"/>
              <w:rPr>
                <w:color w:val="000000" w:themeColor="text1"/>
                <w:sz w:val="18"/>
                <w:szCs w:val="18"/>
                <w14:textFill>
                  <w14:solidFill>
                    <w14:schemeClr w14:val="tx1"/>
                  </w14:solidFill>
                </w14:textFill>
              </w:rPr>
            </w:pPr>
          </w:p>
        </w:tc>
        <w:tc>
          <w:tcPr>
            <w:tcW w:w="596" w:type="pct"/>
            <w:vMerge w:val="continue"/>
          </w:tcPr>
          <w:p w14:paraId="7A498EF0">
            <w:pPr>
              <w:pStyle w:val="34"/>
              <w:rPr>
                <w:color w:val="000000" w:themeColor="text1"/>
                <w:szCs w:val="18"/>
                <w14:textFill>
                  <w14:solidFill>
                    <w14:schemeClr w14:val="tx1"/>
                  </w14:solidFill>
                </w14:textFill>
              </w:rPr>
            </w:pPr>
          </w:p>
        </w:tc>
        <w:tc>
          <w:tcPr>
            <w:tcW w:w="946" w:type="pct"/>
            <w:vAlign w:val="center"/>
          </w:tcPr>
          <w:p w14:paraId="06D37841">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密目网苫盖</w:t>
            </w:r>
          </w:p>
        </w:tc>
        <w:tc>
          <w:tcPr>
            <w:tcW w:w="374" w:type="pct"/>
            <w:vAlign w:val="center"/>
          </w:tcPr>
          <w:p w14:paraId="1D53A65B">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m</w:t>
            </w:r>
            <w:r>
              <w:rPr>
                <w:color w:val="000000" w:themeColor="text1"/>
                <w:szCs w:val="18"/>
                <w:vertAlign w:val="superscript"/>
                <w14:textFill>
                  <w14:solidFill>
                    <w14:schemeClr w14:val="tx1"/>
                  </w14:solidFill>
                </w14:textFill>
              </w:rPr>
              <w:t>2</w:t>
            </w:r>
          </w:p>
        </w:tc>
        <w:tc>
          <w:tcPr>
            <w:tcW w:w="515" w:type="pct"/>
            <w:noWrap/>
            <w:vAlign w:val="center"/>
          </w:tcPr>
          <w:p w14:paraId="0B61412F">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1752</w:t>
            </w:r>
          </w:p>
        </w:tc>
        <w:tc>
          <w:tcPr>
            <w:tcW w:w="443" w:type="pct"/>
            <w:noWrap/>
            <w:vAlign w:val="center"/>
          </w:tcPr>
          <w:p w14:paraId="7570D62B">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6</w:t>
            </w:r>
            <w:r>
              <w:rPr>
                <w:color w:val="000000" w:themeColor="text1"/>
                <w:szCs w:val="18"/>
                <w14:textFill>
                  <w14:solidFill>
                    <w14:schemeClr w14:val="tx1"/>
                  </w14:solidFill>
                </w14:textFill>
              </w:rPr>
              <w:t>.62</w:t>
            </w:r>
          </w:p>
        </w:tc>
        <w:tc>
          <w:tcPr>
            <w:tcW w:w="554" w:type="pct"/>
            <w:shd w:val="clear" w:color="auto" w:fill="auto"/>
            <w:noWrap/>
            <w:vAlign w:val="center"/>
          </w:tcPr>
          <w:p w14:paraId="7C24C280">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 xml:space="preserve">1.16 </w:t>
            </w:r>
          </w:p>
        </w:tc>
        <w:tc>
          <w:tcPr>
            <w:tcW w:w="586" w:type="pct"/>
            <w:noWrap/>
          </w:tcPr>
          <w:p w14:paraId="24EB800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44083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28" w:type="pct"/>
            <w:vMerge w:val="continue"/>
          </w:tcPr>
          <w:p w14:paraId="5B841CA4">
            <w:pPr>
              <w:pStyle w:val="34"/>
              <w:rPr>
                <w:color w:val="000000" w:themeColor="text1"/>
                <w:szCs w:val="18"/>
                <w14:textFill>
                  <w14:solidFill>
                    <w14:schemeClr w14:val="tx1"/>
                  </w14:solidFill>
                </w14:textFill>
              </w:rPr>
            </w:pPr>
          </w:p>
        </w:tc>
        <w:tc>
          <w:tcPr>
            <w:tcW w:w="556" w:type="pct"/>
            <w:vMerge w:val="restart"/>
            <w:vAlign w:val="center"/>
          </w:tcPr>
          <w:p w14:paraId="45A14EB5">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场内道路、地面停车场及硬化工程</w:t>
            </w:r>
            <w:r>
              <w:rPr>
                <w:color w:val="000000" w:themeColor="text1"/>
                <w:szCs w:val="18"/>
                <w14:textFill>
                  <w14:solidFill>
                    <w14:schemeClr w14:val="tx1"/>
                  </w14:solidFill>
                </w14:textFill>
              </w:rPr>
              <w:t>区</w:t>
            </w:r>
          </w:p>
        </w:tc>
        <w:tc>
          <w:tcPr>
            <w:tcW w:w="596" w:type="pct"/>
            <w:vMerge w:val="restart"/>
            <w:vAlign w:val="center"/>
          </w:tcPr>
          <w:p w14:paraId="2380B3F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工程措施</w:t>
            </w:r>
          </w:p>
        </w:tc>
        <w:tc>
          <w:tcPr>
            <w:tcW w:w="946" w:type="pct"/>
            <w:shd w:val="clear" w:color="auto" w:fill="auto"/>
            <w:noWrap/>
            <w:vAlign w:val="center"/>
          </w:tcPr>
          <w:p w14:paraId="7141D126">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表土剥离</w:t>
            </w:r>
          </w:p>
        </w:tc>
        <w:tc>
          <w:tcPr>
            <w:tcW w:w="374" w:type="pct"/>
            <w:shd w:val="clear" w:color="auto" w:fill="auto"/>
            <w:noWrap/>
            <w:vAlign w:val="center"/>
          </w:tcPr>
          <w:p w14:paraId="7C43F2CB">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万</w:t>
            </w:r>
            <w:r>
              <w:rPr>
                <w:rFonts w:hint="eastAsia"/>
                <w:color w:val="000000" w:themeColor="text1"/>
                <w:szCs w:val="18"/>
                <w:lang w:val="en-US" w:eastAsia="zh-CN"/>
                <w14:textFill>
                  <w14:solidFill>
                    <w14:schemeClr w14:val="tx1"/>
                  </w14:solidFill>
                </w14:textFill>
              </w:rPr>
              <w:t>m</w:t>
            </w:r>
            <w:r>
              <w:rPr>
                <w:rFonts w:hint="eastAsia"/>
                <w:color w:val="000000" w:themeColor="text1"/>
                <w:szCs w:val="18"/>
                <w:vertAlign w:val="superscript"/>
                <w:lang w:val="en-US" w:eastAsia="zh-CN"/>
                <w14:textFill>
                  <w14:solidFill>
                    <w14:schemeClr w14:val="tx1"/>
                  </w14:solidFill>
                </w14:textFill>
              </w:rPr>
              <w:t>3</w:t>
            </w:r>
          </w:p>
        </w:tc>
        <w:tc>
          <w:tcPr>
            <w:tcW w:w="515" w:type="pct"/>
            <w:shd w:val="clear" w:color="auto" w:fill="auto"/>
            <w:noWrap/>
            <w:vAlign w:val="center"/>
          </w:tcPr>
          <w:p w14:paraId="477E5578">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0.05</w:t>
            </w:r>
          </w:p>
        </w:tc>
        <w:tc>
          <w:tcPr>
            <w:tcW w:w="443" w:type="pct"/>
            <w:shd w:val="clear" w:color="auto" w:fill="auto"/>
            <w:noWrap/>
            <w:vAlign w:val="center"/>
          </w:tcPr>
          <w:p w14:paraId="02B365EA">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55000</w:t>
            </w:r>
          </w:p>
        </w:tc>
        <w:tc>
          <w:tcPr>
            <w:tcW w:w="554" w:type="pct"/>
            <w:shd w:val="clear" w:color="auto" w:fill="auto"/>
            <w:noWrap/>
            <w:vAlign w:val="center"/>
          </w:tcPr>
          <w:p w14:paraId="177FD24F">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0.275</w:t>
            </w:r>
          </w:p>
        </w:tc>
        <w:tc>
          <w:tcPr>
            <w:tcW w:w="586" w:type="pct"/>
            <w:shd w:val="clear" w:color="auto" w:fill="auto"/>
            <w:noWrap/>
            <w:vAlign w:val="top"/>
          </w:tcPr>
          <w:p w14:paraId="149191CB">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未实施</w:t>
            </w:r>
          </w:p>
        </w:tc>
      </w:tr>
      <w:tr w14:paraId="00EFE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28" w:type="pct"/>
            <w:vMerge w:val="continue"/>
          </w:tcPr>
          <w:p w14:paraId="4188B601">
            <w:pPr>
              <w:pStyle w:val="34"/>
              <w:rPr>
                <w:color w:val="000000" w:themeColor="text1"/>
                <w:szCs w:val="18"/>
                <w14:textFill>
                  <w14:solidFill>
                    <w14:schemeClr w14:val="tx1"/>
                  </w14:solidFill>
                </w14:textFill>
              </w:rPr>
            </w:pPr>
          </w:p>
        </w:tc>
        <w:tc>
          <w:tcPr>
            <w:tcW w:w="556" w:type="pct"/>
            <w:vMerge w:val="continue"/>
            <w:vAlign w:val="center"/>
          </w:tcPr>
          <w:p w14:paraId="49C39361">
            <w:pPr>
              <w:pStyle w:val="34"/>
              <w:rPr>
                <w:color w:val="000000" w:themeColor="text1"/>
                <w:szCs w:val="18"/>
                <w14:textFill>
                  <w14:solidFill>
                    <w14:schemeClr w14:val="tx1"/>
                  </w14:solidFill>
                </w14:textFill>
              </w:rPr>
            </w:pPr>
          </w:p>
        </w:tc>
        <w:tc>
          <w:tcPr>
            <w:tcW w:w="596" w:type="pct"/>
            <w:vMerge w:val="continue"/>
            <w:vAlign w:val="center"/>
          </w:tcPr>
          <w:p w14:paraId="2952AAF9">
            <w:pPr>
              <w:pStyle w:val="34"/>
              <w:rPr>
                <w:color w:val="000000" w:themeColor="text1"/>
                <w:szCs w:val="18"/>
                <w14:textFill>
                  <w14:solidFill>
                    <w14:schemeClr w14:val="tx1"/>
                  </w14:solidFill>
                </w14:textFill>
              </w:rPr>
            </w:pPr>
          </w:p>
        </w:tc>
        <w:tc>
          <w:tcPr>
            <w:tcW w:w="946" w:type="pct"/>
            <w:shd w:val="clear" w:color="auto" w:fill="auto"/>
            <w:noWrap/>
            <w:vAlign w:val="center"/>
          </w:tcPr>
          <w:p w14:paraId="7942C4E3">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DN</w:t>
            </w:r>
            <w:r>
              <w:rPr>
                <w:rFonts w:hint="eastAsia"/>
                <w:color w:val="000000" w:themeColor="text1"/>
                <w:szCs w:val="18"/>
                <w14:textFill>
                  <w14:solidFill>
                    <w14:schemeClr w14:val="tx1"/>
                  </w14:solidFill>
                </w14:textFill>
              </w:rPr>
              <w:t>150</w:t>
            </w:r>
            <w:r>
              <w:rPr>
                <w:color w:val="000000" w:themeColor="text1"/>
                <w:szCs w:val="18"/>
                <w14:textFill>
                  <w14:solidFill>
                    <w14:schemeClr w14:val="tx1"/>
                  </w14:solidFill>
                </w14:textFill>
              </w:rPr>
              <w:t>雨水管</w:t>
            </w:r>
          </w:p>
        </w:tc>
        <w:tc>
          <w:tcPr>
            <w:tcW w:w="374" w:type="pct"/>
            <w:shd w:val="clear" w:color="auto" w:fill="auto"/>
            <w:noWrap/>
            <w:vAlign w:val="center"/>
          </w:tcPr>
          <w:p w14:paraId="0019EB40">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m</w:t>
            </w:r>
          </w:p>
        </w:tc>
        <w:tc>
          <w:tcPr>
            <w:tcW w:w="515" w:type="pct"/>
            <w:shd w:val="clear" w:color="auto" w:fill="auto"/>
            <w:noWrap/>
            <w:vAlign w:val="center"/>
          </w:tcPr>
          <w:p w14:paraId="65AD483F">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25.04</w:t>
            </w:r>
          </w:p>
        </w:tc>
        <w:tc>
          <w:tcPr>
            <w:tcW w:w="443" w:type="pct"/>
            <w:shd w:val="clear" w:color="auto" w:fill="auto"/>
            <w:noWrap/>
            <w:vAlign w:val="center"/>
          </w:tcPr>
          <w:p w14:paraId="3A5524C7">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150</w:t>
            </w:r>
          </w:p>
        </w:tc>
        <w:tc>
          <w:tcPr>
            <w:tcW w:w="554" w:type="pct"/>
            <w:shd w:val="clear" w:color="auto" w:fill="auto"/>
            <w:noWrap/>
            <w:vAlign w:val="center"/>
          </w:tcPr>
          <w:p w14:paraId="61420675">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0.38 </w:t>
            </w:r>
          </w:p>
        </w:tc>
        <w:tc>
          <w:tcPr>
            <w:tcW w:w="586" w:type="pct"/>
            <w:shd w:val="clear" w:color="auto" w:fill="auto"/>
            <w:noWrap/>
            <w:vAlign w:val="center"/>
          </w:tcPr>
          <w:p w14:paraId="678F5F90">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40AA9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28" w:type="pct"/>
            <w:vMerge w:val="continue"/>
          </w:tcPr>
          <w:p w14:paraId="64CD8C86">
            <w:pPr>
              <w:pStyle w:val="34"/>
              <w:rPr>
                <w:color w:val="000000" w:themeColor="text1"/>
                <w:szCs w:val="18"/>
                <w14:textFill>
                  <w14:solidFill>
                    <w14:schemeClr w14:val="tx1"/>
                  </w14:solidFill>
                </w14:textFill>
              </w:rPr>
            </w:pPr>
          </w:p>
        </w:tc>
        <w:tc>
          <w:tcPr>
            <w:tcW w:w="556" w:type="pct"/>
            <w:vMerge w:val="continue"/>
            <w:vAlign w:val="center"/>
          </w:tcPr>
          <w:p w14:paraId="433AC58E">
            <w:pPr>
              <w:pStyle w:val="34"/>
              <w:rPr>
                <w:color w:val="000000" w:themeColor="text1"/>
                <w:szCs w:val="18"/>
                <w14:textFill>
                  <w14:solidFill>
                    <w14:schemeClr w14:val="tx1"/>
                  </w14:solidFill>
                </w14:textFill>
              </w:rPr>
            </w:pPr>
          </w:p>
        </w:tc>
        <w:tc>
          <w:tcPr>
            <w:tcW w:w="596" w:type="pct"/>
            <w:vMerge w:val="continue"/>
            <w:vAlign w:val="center"/>
          </w:tcPr>
          <w:p w14:paraId="013E54D7">
            <w:pPr>
              <w:pStyle w:val="34"/>
              <w:rPr>
                <w:color w:val="000000" w:themeColor="text1"/>
                <w:szCs w:val="18"/>
                <w14:textFill>
                  <w14:solidFill>
                    <w14:schemeClr w14:val="tx1"/>
                  </w14:solidFill>
                </w14:textFill>
              </w:rPr>
            </w:pPr>
          </w:p>
        </w:tc>
        <w:tc>
          <w:tcPr>
            <w:tcW w:w="946" w:type="pct"/>
            <w:shd w:val="clear" w:color="auto" w:fill="auto"/>
            <w:noWrap/>
            <w:vAlign w:val="center"/>
          </w:tcPr>
          <w:p w14:paraId="0828D13B">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DN300雨水管</w:t>
            </w:r>
          </w:p>
        </w:tc>
        <w:tc>
          <w:tcPr>
            <w:tcW w:w="374" w:type="pct"/>
            <w:shd w:val="clear" w:color="auto" w:fill="auto"/>
            <w:noWrap/>
            <w:vAlign w:val="center"/>
          </w:tcPr>
          <w:p w14:paraId="5C226B6A">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m</w:t>
            </w:r>
          </w:p>
        </w:tc>
        <w:tc>
          <w:tcPr>
            <w:tcW w:w="515" w:type="pct"/>
            <w:shd w:val="clear" w:color="auto" w:fill="auto"/>
            <w:noWrap/>
            <w:vAlign w:val="center"/>
          </w:tcPr>
          <w:p w14:paraId="6B464447">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494.51</w:t>
            </w:r>
          </w:p>
        </w:tc>
        <w:tc>
          <w:tcPr>
            <w:tcW w:w="443" w:type="pct"/>
            <w:shd w:val="clear" w:color="auto" w:fill="auto"/>
            <w:noWrap/>
            <w:vAlign w:val="center"/>
          </w:tcPr>
          <w:p w14:paraId="03FB4BC9">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380</w:t>
            </w:r>
          </w:p>
        </w:tc>
        <w:tc>
          <w:tcPr>
            <w:tcW w:w="554" w:type="pct"/>
            <w:shd w:val="clear" w:color="auto" w:fill="auto"/>
            <w:noWrap/>
            <w:vAlign w:val="center"/>
          </w:tcPr>
          <w:p w14:paraId="56BEB96E">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18.79 </w:t>
            </w:r>
          </w:p>
        </w:tc>
        <w:tc>
          <w:tcPr>
            <w:tcW w:w="586" w:type="pct"/>
            <w:shd w:val="clear" w:color="auto" w:fill="auto"/>
            <w:noWrap/>
            <w:vAlign w:val="center"/>
          </w:tcPr>
          <w:p w14:paraId="5CA1C34D">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68E59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28" w:type="pct"/>
            <w:vMerge w:val="continue"/>
          </w:tcPr>
          <w:p w14:paraId="684F59A8">
            <w:pPr>
              <w:pStyle w:val="34"/>
              <w:rPr>
                <w:color w:val="000000" w:themeColor="text1"/>
                <w:szCs w:val="18"/>
                <w14:textFill>
                  <w14:solidFill>
                    <w14:schemeClr w14:val="tx1"/>
                  </w14:solidFill>
                </w14:textFill>
              </w:rPr>
            </w:pPr>
          </w:p>
        </w:tc>
        <w:tc>
          <w:tcPr>
            <w:tcW w:w="556" w:type="pct"/>
            <w:vMerge w:val="continue"/>
            <w:vAlign w:val="center"/>
          </w:tcPr>
          <w:p w14:paraId="40823096">
            <w:pPr>
              <w:pStyle w:val="34"/>
              <w:rPr>
                <w:color w:val="000000" w:themeColor="text1"/>
                <w:szCs w:val="18"/>
                <w14:textFill>
                  <w14:solidFill>
                    <w14:schemeClr w14:val="tx1"/>
                  </w14:solidFill>
                </w14:textFill>
              </w:rPr>
            </w:pPr>
          </w:p>
        </w:tc>
        <w:tc>
          <w:tcPr>
            <w:tcW w:w="596" w:type="pct"/>
            <w:vMerge w:val="continue"/>
            <w:noWrap/>
            <w:vAlign w:val="center"/>
          </w:tcPr>
          <w:p w14:paraId="14F243CA">
            <w:pPr>
              <w:pStyle w:val="34"/>
              <w:rPr>
                <w:color w:val="000000" w:themeColor="text1"/>
                <w:szCs w:val="18"/>
                <w14:textFill>
                  <w14:solidFill>
                    <w14:schemeClr w14:val="tx1"/>
                  </w14:solidFill>
                </w14:textFill>
              </w:rPr>
            </w:pPr>
          </w:p>
        </w:tc>
        <w:tc>
          <w:tcPr>
            <w:tcW w:w="946" w:type="pct"/>
            <w:shd w:val="clear" w:color="auto" w:fill="auto"/>
            <w:noWrap/>
            <w:vAlign w:val="center"/>
          </w:tcPr>
          <w:p w14:paraId="33CFF787">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雨水口</w:t>
            </w:r>
          </w:p>
        </w:tc>
        <w:tc>
          <w:tcPr>
            <w:tcW w:w="374" w:type="pct"/>
            <w:shd w:val="clear" w:color="auto" w:fill="auto"/>
            <w:noWrap/>
            <w:vAlign w:val="center"/>
          </w:tcPr>
          <w:p w14:paraId="7D96C3D7">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个</w:t>
            </w:r>
          </w:p>
        </w:tc>
        <w:tc>
          <w:tcPr>
            <w:tcW w:w="515" w:type="pct"/>
            <w:shd w:val="clear" w:color="auto" w:fill="auto"/>
            <w:noWrap/>
            <w:vAlign w:val="center"/>
          </w:tcPr>
          <w:p w14:paraId="6E464A05">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17</w:t>
            </w:r>
          </w:p>
        </w:tc>
        <w:tc>
          <w:tcPr>
            <w:tcW w:w="443" w:type="pct"/>
            <w:shd w:val="clear" w:color="auto" w:fill="auto"/>
            <w:noWrap/>
            <w:vAlign w:val="center"/>
          </w:tcPr>
          <w:p w14:paraId="1C983D09">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650</w:t>
            </w:r>
          </w:p>
        </w:tc>
        <w:tc>
          <w:tcPr>
            <w:tcW w:w="554" w:type="pct"/>
            <w:shd w:val="clear" w:color="auto" w:fill="auto"/>
            <w:noWrap/>
            <w:vAlign w:val="center"/>
          </w:tcPr>
          <w:p w14:paraId="3A0E3BF3">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1.11 </w:t>
            </w:r>
          </w:p>
        </w:tc>
        <w:tc>
          <w:tcPr>
            <w:tcW w:w="586" w:type="pct"/>
            <w:shd w:val="clear" w:color="auto" w:fill="auto"/>
            <w:noWrap/>
            <w:vAlign w:val="center"/>
          </w:tcPr>
          <w:p w14:paraId="1E8C9BF6">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4B49D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28" w:type="pct"/>
            <w:vMerge w:val="continue"/>
          </w:tcPr>
          <w:p w14:paraId="1DD066B3">
            <w:pPr>
              <w:pStyle w:val="34"/>
              <w:rPr>
                <w:color w:val="000000" w:themeColor="text1"/>
                <w:szCs w:val="18"/>
                <w14:textFill>
                  <w14:solidFill>
                    <w14:schemeClr w14:val="tx1"/>
                  </w14:solidFill>
                </w14:textFill>
              </w:rPr>
            </w:pPr>
          </w:p>
        </w:tc>
        <w:tc>
          <w:tcPr>
            <w:tcW w:w="556" w:type="pct"/>
            <w:vMerge w:val="continue"/>
            <w:vAlign w:val="center"/>
          </w:tcPr>
          <w:p w14:paraId="08FAC787">
            <w:pPr>
              <w:pStyle w:val="34"/>
              <w:rPr>
                <w:color w:val="000000" w:themeColor="text1"/>
                <w:szCs w:val="18"/>
                <w14:textFill>
                  <w14:solidFill>
                    <w14:schemeClr w14:val="tx1"/>
                  </w14:solidFill>
                </w14:textFill>
              </w:rPr>
            </w:pPr>
          </w:p>
        </w:tc>
        <w:tc>
          <w:tcPr>
            <w:tcW w:w="596" w:type="pct"/>
            <w:vMerge w:val="continue"/>
            <w:noWrap/>
            <w:vAlign w:val="center"/>
          </w:tcPr>
          <w:p w14:paraId="32935B62">
            <w:pPr>
              <w:pStyle w:val="34"/>
              <w:rPr>
                <w:color w:val="000000" w:themeColor="text1"/>
                <w:szCs w:val="18"/>
                <w14:textFill>
                  <w14:solidFill>
                    <w14:schemeClr w14:val="tx1"/>
                  </w14:solidFill>
                </w14:textFill>
              </w:rPr>
            </w:pPr>
          </w:p>
        </w:tc>
        <w:tc>
          <w:tcPr>
            <w:tcW w:w="946" w:type="pct"/>
            <w:shd w:val="clear" w:color="auto" w:fill="auto"/>
            <w:noWrap/>
            <w:vAlign w:val="center"/>
          </w:tcPr>
          <w:p w14:paraId="14A4B16B">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雨水蓄水池</w:t>
            </w:r>
          </w:p>
        </w:tc>
        <w:tc>
          <w:tcPr>
            <w:tcW w:w="374" w:type="pct"/>
            <w:shd w:val="clear" w:color="auto" w:fill="auto"/>
            <w:noWrap/>
            <w:vAlign w:val="center"/>
          </w:tcPr>
          <w:p w14:paraId="3CDD6066">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个</w:t>
            </w:r>
          </w:p>
        </w:tc>
        <w:tc>
          <w:tcPr>
            <w:tcW w:w="515" w:type="pct"/>
            <w:shd w:val="clear" w:color="auto" w:fill="auto"/>
            <w:noWrap/>
            <w:vAlign w:val="center"/>
          </w:tcPr>
          <w:p w14:paraId="3E0CAC25">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w:t>
            </w:r>
          </w:p>
        </w:tc>
        <w:tc>
          <w:tcPr>
            <w:tcW w:w="443" w:type="pct"/>
            <w:shd w:val="clear" w:color="auto" w:fill="auto"/>
            <w:noWrap/>
            <w:vAlign w:val="center"/>
          </w:tcPr>
          <w:p w14:paraId="625FD421">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16000</w:t>
            </w:r>
          </w:p>
        </w:tc>
        <w:tc>
          <w:tcPr>
            <w:tcW w:w="554" w:type="pct"/>
            <w:shd w:val="clear" w:color="auto" w:fill="auto"/>
            <w:noWrap/>
            <w:vAlign w:val="center"/>
          </w:tcPr>
          <w:p w14:paraId="7B31EECC">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1.60 </w:t>
            </w:r>
          </w:p>
        </w:tc>
        <w:tc>
          <w:tcPr>
            <w:tcW w:w="586" w:type="pct"/>
            <w:shd w:val="clear" w:color="auto" w:fill="auto"/>
            <w:noWrap/>
            <w:vAlign w:val="center"/>
          </w:tcPr>
          <w:p w14:paraId="5A379075">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07315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28" w:type="pct"/>
            <w:vMerge w:val="continue"/>
          </w:tcPr>
          <w:p w14:paraId="1991BD9A">
            <w:pPr>
              <w:pStyle w:val="34"/>
              <w:rPr>
                <w:color w:val="000000" w:themeColor="text1"/>
                <w:szCs w:val="18"/>
                <w14:textFill>
                  <w14:solidFill>
                    <w14:schemeClr w14:val="tx1"/>
                  </w14:solidFill>
                </w14:textFill>
              </w:rPr>
            </w:pPr>
          </w:p>
        </w:tc>
        <w:tc>
          <w:tcPr>
            <w:tcW w:w="556" w:type="pct"/>
            <w:vMerge w:val="continue"/>
            <w:vAlign w:val="center"/>
          </w:tcPr>
          <w:p w14:paraId="55D397EF">
            <w:pPr>
              <w:pStyle w:val="34"/>
              <w:rPr>
                <w:color w:val="000000" w:themeColor="text1"/>
                <w:szCs w:val="18"/>
                <w14:textFill>
                  <w14:solidFill>
                    <w14:schemeClr w14:val="tx1"/>
                  </w14:solidFill>
                </w14:textFill>
              </w:rPr>
            </w:pPr>
          </w:p>
        </w:tc>
        <w:tc>
          <w:tcPr>
            <w:tcW w:w="596" w:type="pct"/>
            <w:vAlign w:val="center"/>
          </w:tcPr>
          <w:p w14:paraId="10E5DD78">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临时措施</w:t>
            </w:r>
          </w:p>
        </w:tc>
        <w:tc>
          <w:tcPr>
            <w:tcW w:w="946" w:type="pct"/>
            <w:shd w:val="clear" w:color="auto" w:fill="auto"/>
            <w:noWrap/>
            <w:vAlign w:val="center"/>
          </w:tcPr>
          <w:p w14:paraId="7740C792">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洗车设施</w:t>
            </w:r>
          </w:p>
        </w:tc>
        <w:tc>
          <w:tcPr>
            <w:tcW w:w="374" w:type="pct"/>
            <w:shd w:val="clear" w:color="auto" w:fill="auto"/>
            <w:noWrap/>
            <w:vAlign w:val="center"/>
          </w:tcPr>
          <w:p w14:paraId="2666D594">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套</w:t>
            </w:r>
          </w:p>
        </w:tc>
        <w:tc>
          <w:tcPr>
            <w:tcW w:w="515" w:type="pct"/>
            <w:shd w:val="clear" w:color="auto" w:fill="auto"/>
            <w:noWrap/>
            <w:vAlign w:val="center"/>
          </w:tcPr>
          <w:p w14:paraId="56A5D143">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w:t>
            </w:r>
          </w:p>
        </w:tc>
        <w:tc>
          <w:tcPr>
            <w:tcW w:w="443" w:type="pct"/>
            <w:shd w:val="clear" w:color="auto" w:fill="auto"/>
            <w:noWrap/>
            <w:vAlign w:val="center"/>
          </w:tcPr>
          <w:p w14:paraId="3FF9346B">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1000</w:t>
            </w:r>
          </w:p>
        </w:tc>
        <w:tc>
          <w:tcPr>
            <w:tcW w:w="554" w:type="pct"/>
            <w:shd w:val="clear" w:color="auto" w:fill="auto"/>
            <w:noWrap/>
            <w:vAlign w:val="center"/>
          </w:tcPr>
          <w:p w14:paraId="731F706C">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1.10 </w:t>
            </w:r>
          </w:p>
        </w:tc>
        <w:tc>
          <w:tcPr>
            <w:tcW w:w="586" w:type="pct"/>
            <w:shd w:val="clear" w:color="auto" w:fill="auto"/>
            <w:noWrap/>
            <w:vAlign w:val="center"/>
          </w:tcPr>
          <w:p w14:paraId="4BC206D5">
            <w:pPr>
              <w:pStyle w:val="34"/>
              <w:ind w:firstLine="0" w:firstLineChars="0"/>
              <w:rPr>
                <w:rFonts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已实施</w:t>
            </w:r>
          </w:p>
        </w:tc>
      </w:tr>
      <w:tr w14:paraId="736E0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6551F740">
            <w:pPr>
              <w:pStyle w:val="34"/>
              <w:rPr>
                <w:color w:val="000000" w:themeColor="text1"/>
                <w:szCs w:val="18"/>
                <w14:textFill>
                  <w14:solidFill>
                    <w14:schemeClr w14:val="tx1"/>
                  </w14:solidFill>
                </w14:textFill>
              </w:rPr>
            </w:pPr>
          </w:p>
        </w:tc>
        <w:tc>
          <w:tcPr>
            <w:tcW w:w="556" w:type="pct"/>
            <w:vMerge w:val="restart"/>
            <w:vAlign w:val="center"/>
          </w:tcPr>
          <w:p w14:paraId="1E299B20">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绿化工程区</w:t>
            </w:r>
          </w:p>
        </w:tc>
        <w:tc>
          <w:tcPr>
            <w:tcW w:w="596" w:type="pct"/>
            <w:vAlign w:val="center"/>
          </w:tcPr>
          <w:p w14:paraId="2D23DD4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工程措施</w:t>
            </w:r>
          </w:p>
        </w:tc>
        <w:tc>
          <w:tcPr>
            <w:tcW w:w="946" w:type="pct"/>
            <w:shd w:val="clear" w:color="auto" w:fill="auto"/>
            <w:noWrap/>
            <w:vAlign w:val="center"/>
          </w:tcPr>
          <w:p w14:paraId="06BCC4A7">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绿化覆土</w:t>
            </w:r>
          </w:p>
        </w:tc>
        <w:tc>
          <w:tcPr>
            <w:tcW w:w="374" w:type="pct"/>
            <w:shd w:val="clear" w:color="auto" w:fill="auto"/>
            <w:noWrap/>
            <w:vAlign w:val="center"/>
          </w:tcPr>
          <w:p w14:paraId="5F69AE35">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万</w:t>
            </w:r>
            <w:r>
              <w:rPr>
                <w:rFonts w:hint="eastAsia"/>
                <w:color w:val="000000" w:themeColor="text1"/>
                <w:szCs w:val="18"/>
                <w:lang w:val="en-US" w:eastAsia="zh-CN"/>
                <w14:textFill>
                  <w14:solidFill>
                    <w14:schemeClr w14:val="tx1"/>
                  </w14:solidFill>
                </w14:textFill>
              </w:rPr>
              <w:t>m</w:t>
            </w:r>
            <w:r>
              <w:rPr>
                <w:rFonts w:hint="eastAsia"/>
                <w:color w:val="000000" w:themeColor="text1"/>
                <w:szCs w:val="18"/>
                <w:vertAlign w:val="superscript"/>
                <w:lang w:val="en-US" w:eastAsia="zh-CN"/>
                <w14:textFill>
                  <w14:solidFill>
                    <w14:schemeClr w14:val="tx1"/>
                  </w14:solidFill>
                </w14:textFill>
              </w:rPr>
              <w:t>3</w:t>
            </w:r>
          </w:p>
        </w:tc>
        <w:tc>
          <w:tcPr>
            <w:tcW w:w="515" w:type="pct"/>
            <w:shd w:val="clear" w:color="auto" w:fill="auto"/>
            <w:noWrap/>
            <w:vAlign w:val="center"/>
          </w:tcPr>
          <w:p w14:paraId="7282F816">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0.10</w:t>
            </w:r>
          </w:p>
        </w:tc>
        <w:tc>
          <w:tcPr>
            <w:tcW w:w="443" w:type="pct"/>
            <w:shd w:val="clear" w:color="auto" w:fill="auto"/>
            <w:noWrap/>
            <w:vAlign w:val="center"/>
          </w:tcPr>
          <w:p w14:paraId="4C9F6064">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89000</w:t>
            </w:r>
          </w:p>
        </w:tc>
        <w:tc>
          <w:tcPr>
            <w:tcW w:w="554" w:type="pct"/>
            <w:shd w:val="clear" w:color="auto" w:fill="auto"/>
            <w:noWrap/>
            <w:vAlign w:val="center"/>
          </w:tcPr>
          <w:p w14:paraId="37FD60B1">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val="en-US" w:eastAsia="zh-CN"/>
                <w14:textFill>
                  <w14:solidFill>
                    <w14:schemeClr w14:val="tx1"/>
                  </w14:solidFill>
                </w14:textFill>
              </w:rPr>
              <w:t>0.89</w:t>
            </w:r>
          </w:p>
        </w:tc>
        <w:tc>
          <w:tcPr>
            <w:tcW w:w="586" w:type="pct"/>
            <w:shd w:val="clear" w:color="auto" w:fill="auto"/>
            <w:noWrap/>
            <w:vAlign w:val="top"/>
          </w:tcPr>
          <w:p w14:paraId="3F0B89D0">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未实施</w:t>
            </w:r>
          </w:p>
        </w:tc>
      </w:tr>
      <w:tr w14:paraId="2BB9E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541D90F6">
            <w:pPr>
              <w:pStyle w:val="34"/>
              <w:rPr>
                <w:color w:val="000000" w:themeColor="text1"/>
                <w:szCs w:val="18"/>
                <w14:textFill>
                  <w14:solidFill>
                    <w14:schemeClr w14:val="tx1"/>
                  </w14:solidFill>
                </w14:textFill>
              </w:rPr>
            </w:pPr>
          </w:p>
        </w:tc>
        <w:tc>
          <w:tcPr>
            <w:tcW w:w="556" w:type="pct"/>
            <w:vMerge w:val="continue"/>
            <w:vAlign w:val="center"/>
          </w:tcPr>
          <w:p w14:paraId="4ED3A73D">
            <w:pPr>
              <w:pStyle w:val="34"/>
              <w:rPr>
                <w:color w:val="000000" w:themeColor="text1"/>
                <w:szCs w:val="18"/>
                <w14:textFill>
                  <w14:solidFill>
                    <w14:schemeClr w14:val="tx1"/>
                  </w14:solidFill>
                </w14:textFill>
              </w:rPr>
            </w:pPr>
          </w:p>
        </w:tc>
        <w:tc>
          <w:tcPr>
            <w:tcW w:w="596" w:type="pct"/>
            <w:vMerge w:val="restart"/>
            <w:vAlign w:val="center"/>
          </w:tcPr>
          <w:p w14:paraId="54E5A534">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植物措施</w:t>
            </w:r>
          </w:p>
        </w:tc>
        <w:tc>
          <w:tcPr>
            <w:tcW w:w="946" w:type="pct"/>
            <w:shd w:val="clear" w:color="auto" w:fill="auto"/>
            <w:noWrap/>
            <w:vAlign w:val="center"/>
          </w:tcPr>
          <w:p w14:paraId="306E9971">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景观</w:t>
            </w:r>
            <w:r>
              <w:rPr>
                <w:color w:val="000000" w:themeColor="text1"/>
                <w:szCs w:val="18"/>
                <w14:textFill>
                  <w14:solidFill>
                    <w14:schemeClr w14:val="tx1"/>
                  </w14:solidFill>
                </w14:textFill>
              </w:rPr>
              <w:t>绿化</w:t>
            </w:r>
          </w:p>
        </w:tc>
        <w:tc>
          <w:tcPr>
            <w:tcW w:w="374" w:type="pct"/>
            <w:shd w:val="clear" w:color="auto" w:fill="auto"/>
            <w:noWrap/>
            <w:vAlign w:val="center"/>
          </w:tcPr>
          <w:p w14:paraId="39B5A15C">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m</w:t>
            </w:r>
            <w:r>
              <w:rPr>
                <w:rFonts w:hint="eastAsia"/>
                <w:color w:val="000000" w:themeColor="text1"/>
                <w:szCs w:val="18"/>
                <w:vertAlign w:val="superscript"/>
                <w14:textFill>
                  <w14:solidFill>
                    <w14:schemeClr w14:val="tx1"/>
                  </w14:solidFill>
                </w14:textFill>
              </w:rPr>
              <w:t>2</w:t>
            </w:r>
          </w:p>
        </w:tc>
        <w:tc>
          <w:tcPr>
            <w:tcW w:w="515" w:type="pct"/>
            <w:shd w:val="clear" w:color="auto" w:fill="auto"/>
            <w:noWrap/>
            <w:vAlign w:val="center"/>
          </w:tcPr>
          <w:p w14:paraId="4B763FDB">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1201.12</w:t>
            </w:r>
          </w:p>
        </w:tc>
        <w:tc>
          <w:tcPr>
            <w:tcW w:w="443" w:type="pct"/>
            <w:shd w:val="clear" w:color="auto" w:fill="auto"/>
            <w:noWrap/>
            <w:vAlign w:val="center"/>
          </w:tcPr>
          <w:p w14:paraId="7F47856F">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400</w:t>
            </w:r>
          </w:p>
        </w:tc>
        <w:tc>
          <w:tcPr>
            <w:tcW w:w="554" w:type="pct"/>
            <w:shd w:val="clear" w:color="auto" w:fill="auto"/>
            <w:noWrap/>
            <w:vAlign w:val="center"/>
          </w:tcPr>
          <w:p w14:paraId="768A011F">
            <w:pPr>
              <w:pStyle w:val="34"/>
              <w:ind w:firstLine="0" w:firstLineChars="0"/>
              <w:rPr>
                <w:rFonts w:hint="default"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48.04 </w:t>
            </w:r>
          </w:p>
        </w:tc>
        <w:tc>
          <w:tcPr>
            <w:tcW w:w="586" w:type="pct"/>
            <w:shd w:val="clear" w:color="auto" w:fill="auto"/>
            <w:noWrap/>
            <w:vAlign w:val="center"/>
          </w:tcPr>
          <w:p w14:paraId="29603827">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3E221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vMerge w:val="continue"/>
          </w:tcPr>
          <w:p w14:paraId="0064E863">
            <w:pPr>
              <w:pStyle w:val="34"/>
              <w:rPr>
                <w:color w:val="000000" w:themeColor="text1"/>
                <w:szCs w:val="18"/>
                <w14:textFill>
                  <w14:solidFill>
                    <w14:schemeClr w14:val="tx1"/>
                  </w14:solidFill>
                </w14:textFill>
              </w:rPr>
            </w:pPr>
          </w:p>
        </w:tc>
        <w:tc>
          <w:tcPr>
            <w:tcW w:w="556" w:type="pct"/>
            <w:vMerge w:val="continue"/>
            <w:vAlign w:val="center"/>
          </w:tcPr>
          <w:p w14:paraId="241CFA16">
            <w:pPr>
              <w:pStyle w:val="34"/>
              <w:rPr>
                <w:color w:val="000000" w:themeColor="text1"/>
                <w:szCs w:val="18"/>
                <w14:textFill>
                  <w14:solidFill>
                    <w14:schemeClr w14:val="tx1"/>
                  </w14:solidFill>
                </w14:textFill>
              </w:rPr>
            </w:pPr>
          </w:p>
        </w:tc>
        <w:tc>
          <w:tcPr>
            <w:tcW w:w="596" w:type="pct"/>
            <w:vMerge w:val="continue"/>
            <w:vAlign w:val="center"/>
          </w:tcPr>
          <w:p w14:paraId="2CD215B9">
            <w:pPr>
              <w:pStyle w:val="34"/>
              <w:rPr>
                <w:color w:val="000000" w:themeColor="text1"/>
                <w:szCs w:val="18"/>
                <w14:textFill>
                  <w14:solidFill>
                    <w14:schemeClr w14:val="tx1"/>
                  </w14:solidFill>
                </w14:textFill>
              </w:rPr>
            </w:pPr>
          </w:p>
        </w:tc>
        <w:tc>
          <w:tcPr>
            <w:tcW w:w="946" w:type="pct"/>
            <w:shd w:val="clear" w:color="auto" w:fill="auto"/>
            <w:noWrap/>
            <w:vAlign w:val="center"/>
          </w:tcPr>
          <w:p w14:paraId="1079C8F2">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植草沟</w:t>
            </w:r>
          </w:p>
        </w:tc>
        <w:tc>
          <w:tcPr>
            <w:tcW w:w="374" w:type="pct"/>
            <w:shd w:val="clear" w:color="auto" w:fill="auto"/>
            <w:noWrap/>
            <w:vAlign w:val="center"/>
          </w:tcPr>
          <w:p w14:paraId="13BD3CD7">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m</w:t>
            </w:r>
            <w:r>
              <w:rPr>
                <w:rFonts w:hint="eastAsia"/>
                <w:color w:val="000000" w:themeColor="text1"/>
                <w:szCs w:val="18"/>
                <w:vertAlign w:val="superscript"/>
                <w14:textFill>
                  <w14:solidFill>
                    <w14:schemeClr w14:val="tx1"/>
                  </w14:solidFill>
                </w14:textFill>
              </w:rPr>
              <w:t>2</w:t>
            </w:r>
          </w:p>
        </w:tc>
        <w:tc>
          <w:tcPr>
            <w:tcW w:w="515" w:type="pct"/>
            <w:shd w:val="clear" w:color="auto" w:fill="auto"/>
            <w:noWrap/>
            <w:vAlign w:val="center"/>
          </w:tcPr>
          <w:p w14:paraId="75DC59D0">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173.04</w:t>
            </w:r>
          </w:p>
        </w:tc>
        <w:tc>
          <w:tcPr>
            <w:tcW w:w="443" w:type="pct"/>
            <w:shd w:val="clear" w:color="auto" w:fill="auto"/>
            <w:noWrap/>
            <w:vAlign w:val="center"/>
          </w:tcPr>
          <w:p w14:paraId="4451132F">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8</w:t>
            </w:r>
            <w:r>
              <w:rPr>
                <w:color w:val="000000" w:themeColor="text1"/>
                <w:szCs w:val="18"/>
                <w14:textFill>
                  <w14:solidFill>
                    <w14:schemeClr w14:val="tx1"/>
                  </w14:solidFill>
                </w14:textFill>
              </w:rPr>
              <w:t>0</w:t>
            </w:r>
          </w:p>
        </w:tc>
        <w:tc>
          <w:tcPr>
            <w:tcW w:w="554" w:type="pct"/>
            <w:shd w:val="clear" w:color="auto" w:fill="auto"/>
            <w:noWrap/>
            <w:vAlign w:val="center"/>
          </w:tcPr>
          <w:p w14:paraId="3FC64E1C">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color w:val="000000" w:themeColor="text1"/>
                <w:szCs w:val="18"/>
                <w14:textFill>
                  <w14:solidFill>
                    <w14:schemeClr w14:val="tx1"/>
                  </w14:solidFill>
                </w14:textFill>
              </w:rPr>
              <w:t xml:space="preserve">1.38 </w:t>
            </w:r>
          </w:p>
        </w:tc>
        <w:tc>
          <w:tcPr>
            <w:tcW w:w="586" w:type="pct"/>
            <w:shd w:val="clear" w:color="auto" w:fill="auto"/>
            <w:noWrap/>
            <w:vAlign w:val="center"/>
          </w:tcPr>
          <w:p w14:paraId="5DC3289D">
            <w:pPr>
              <w:pStyle w:val="34"/>
              <w:ind w:firstLine="0" w:firstLineChars="0"/>
              <w:rPr>
                <w:rFonts w:hint="eastAsia" w:ascii="Times New Roman" w:hAnsi="Times New Roman" w:eastAsia="仿宋_GB2312" w:cstheme="minorBidi"/>
                <w:color w:val="000000" w:themeColor="text1"/>
                <w:kern w:val="2"/>
                <w:sz w:val="18"/>
                <w:szCs w:val="18"/>
                <w:lang w:val="en-US" w:eastAsia="zh-CN" w:bidi="ar-SA"/>
                <w14:textFill>
                  <w14:solidFill>
                    <w14:schemeClr w14:val="tx1"/>
                  </w14:solidFill>
                </w14:textFill>
              </w:rPr>
            </w:pPr>
            <w:r>
              <w:rPr>
                <w:rFonts w:hint="eastAsia"/>
                <w:color w:val="000000" w:themeColor="text1"/>
                <w:szCs w:val="18"/>
                <w14:textFill>
                  <w14:solidFill>
                    <w14:schemeClr w14:val="tx1"/>
                  </w14:solidFill>
                </w14:textFill>
              </w:rPr>
              <w:t>未实施</w:t>
            </w:r>
          </w:p>
        </w:tc>
      </w:tr>
      <w:tr w14:paraId="7B332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pct"/>
          </w:tcPr>
          <w:p w14:paraId="2A2399AA">
            <w:pPr>
              <w:pStyle w:val="34"/>
              <w:rPr>
                <w:color w:val="000000" w:themeColor="text1"/>
                <w:szCs w:val="18"/>
                <w14:textFill>
                  <w14:solidFill>
                    <w14:schemeClr w14:val="tx1"/>
                  </w14:solidFill>
                </w14:textFill>
              </w:rPr>
            </w:pPr>
          </w:p>
        </w:tc>
        <w:tc>
          <w:tcPr>
            <w:tcW w:w="2098" w:type="pct"/>
            <w:gridSpan w:val="3"/>
            <w:vAlign w:val="center"/>
          </w:tcPr>
          <w:p w14:paraId="6A2C5667">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合计</w:t>
            </w:r>
          </w:p>
        </w:tc>
        <w:tc>
          <w:tcPr>
            <w:tcW w:w="374" w:type="pct"/>
            <w:noWrap/>
            <w:vAlign w:val="center"/>
          </w:tcPr>
          <w:p w14:paraId="17667F56">
            <w:pPr>
              <w:pStyle w:val="34"/>
              <w:rPr>
                <w:color w:val="000000" w:themeColor="text1"/>
                <w:szCs w:val="18"/>
                <w14:textFill>
                  <w14:solidFill>
                    <w14:schemeClr w14:val="tx1"/>
                  </w14:solidFill>
                </w14:textFill>
              </w:rPr>
            </w:pPr>
          </w:p>
        </w:tc>
        <w:tc>
          <w:tcPr>
            <w:tcW w:w="515" w:type="pct"/>
            <w:noWrap/>
            <w:vAlign w:val="center"/>
          </w:tcPr>
          <w:p w14:paraId="7FF8CBFB">
            <w:pPr>
              <w:pStyle w:val="34"/>
              <w:rPr>
                <w:color w:val="000000" w:themeColor="text1"/>
                <w:szCs w:val="18"/>
                <w14:textFill>
                  <w14:solidFill>
                    <w14:schemeClr w14:val="tx1"/>
                  </w14:solidFill>
                </w14:textFill>
              </w:rPr>
            </w:pPr>
          </w:p>
        </w:tc>
        <w:tc>
          <w:tcPr>
            <w:tcW w:w="443" w:type="pct"/>
            <w:noWrap/>
            <w:vAlign w:val="center"/>
          </w:tcPr>
          <w:p w14:paraId="6FA3E396">
            <w:pPr>
              <w:pStyle w:val="34"/>
              <w:rPr>
                <w:b/>
                <w:bCs/>
                <w:color w:val="000000" w:themeColor="text1"/>
                <w:szCs w:val="18"/>
                <w14:textFill>
                  <w14:solidFill>
                    <w14:schemeClr w14:val="tx1"/>
                  </w14:solidFill>
                </w14:textFill>
              </w:rPr>
            </w:pPr>
          </w:p>
        </w:tc>
        <w:tc>
          <w:tcPr>
            <w:tcW w:w="554" w:type="pct"/>
            <w:noWrap/>
            <w:vAlign w:val="center"/>
          </w:tcPr>
          <w:p w14:paraId="2C4458DC">
            <w:pPr>
              <w:widowControl/>
              <w:ind w:firstLine="0" w:firstLineChars="0"/>
              <w:jc w:val="center"/>
              <w:textAlignment w:val="center"/>
              <w:rPr>
                <w:rFonts w:hint="eastAsia" w:eastAsia="仿宋_GB2312"/>
                <w:b/>
                <w:bCs/>
                <w:color w:val="000000" w:themeColor="text1"/>
                <w:sz w:val="18"/>
                <w:szCs w:val="18"/>
                <w:lang w:eastAsia="zh-CN"/>
                <w14:textFill>
                  <w14:solidFill>
                    <w14:schemeClr w14:val="tx1"/>
                  </w14:solidFill>
                </w14:textFill>
              </w:rPr>
            </w:pPr>
            <w:r>
              <w:rPr>
                <w:rFonts w:hint="eastAsia" w:eastAsia="宋体" w:cs="Times New Roman"/>
                <w:b/>
                <w:bCs/>
                <w:color w:val="000000"/>
                <w:kern w:val="0"/>
                <w:sz w:val="18"/>
                <w:szCs w:val="18"/>
                <w:lang w:eastAsia="zh-CN" w:bidi="ar"/>
              </w:rPr>
              <w:t>83.03</w:t>
            </w:r>
          </w:p>
        </w:tc>
        <w:tc>
          <w:tcPr>
            <w:tcW w:w="586" w:type="pct"/>
            <w:noWrap/>
            <w:vAlign w:val="center"/>
          </w:tcPr>
          <w:p w14:paraId="6EE267A0">
            <w:pPr>
              <w:pStyle w:val="34"/>
              <w:rPr>
                <w:color w:val="000000" w:themeColor="text1"/>
                <w:szCs w:val="18"/>
                <w14:textFill>
                  <w14:solidFill>
                    <w14:schemeClr w14:val="tx1"/>
                  </w14:solidFill>
                </w14:textFill>
              </w:rPr>
            </w:pPr>
          </w:p>
        </w:tc>
      </w:tr>
    </w:tbl>
    <w:p w14:paraId="7B22607E">
      <w:pPr>
        <w:pStyle w:val="11"/>
      </w:pPr>
    </w:p>
    <w:p w14:paraId="23AD2A72">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措施总体布局</w:t>
      </w:r>
    </w:p>
    <w:p w14:paraId="45420AF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根据现场调查结合主体工程设计资料分析，本项目实施的水土保持措施体系即总体布局如下。</w:t>
      </w:r>
    </w:p>
    <w:p w14:paraId="11AB7E60">
      <w:pPr>
        <w:pStyle w:val="33"/>
        <w:ind w:firstLine="1265" w:firstLineChars="60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表5.2-1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水土流失防治措施体系及总体布局表</w:t>
      </w:r>
    </w:p>
    <w:tbl>
      <w:tblPr>
        <w:tblStyle w:val="26"/>
        <w:tblW w:w="59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728"/>
        <w:gridCol w:w="1002"/>
        <w:gridCol w:w="996"/>
        <w:gridCol w:w="1560"/>
        <w:gridCol w:w="1714"/>
        <w:gridCol w:w="2584"/>
        <w:gridCol w:w="1131"/>
      </w:tblGrid>
      <w:tr w14:paraId="59BF6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shd w:val="clear" w:color="auto" w:fill="auto"/>
            <w:vAlign w:val="center"/>
          </w:tcPr>
          <w:p w14:paraId="7B1BD7C7">
            <w:pPr>
              <w:pStyle w:val="34"/>
              <w:rPr>
                <w:color w:val="000000" w:themeColor="text1"/>
                <w14:textFill>
                  <w14:solidFill>
                    <w14:schemeClr w14:val="tx1"/>
                  </w14:solidFill>
                </w14:textFill>
              </w:rPr>
            </w:pPr>
            <w:bookmarkStart w:id="106" w:name="_Hlk101537994"/>
            <w:r>
              <w:rPr>
                <w:color w:val="000000" w:themeColor="text1"/>
                <w14:textFill>
                  <w14:solidFill>
                    <w14:schemeClr w14:val="tx1"/>
                  </w14:solidFill>
                </w14:textFill>
              </w:rPr>
              <w:t>序号</w:t>
            </w:r>
          </w:p>
        </w:tc>
        <w:tc>
          <w:tcPr>
            <w:tcW w:w="360" w:type="pct"/>
          </w:tcPr>
          <w:p w14:paraId="7631E24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一级防治分区</w:t>
            </w:r>
          </w:p>
        </w:tc>
        <w:tc>
          <w:tcPr>
            <w:tcW w:w="495" w:type="pct"/>
            <w:shd w:val="clear" w:color="auto" w:fill="auto"/>
            <w:vAlign w:val="center"/>
          </w:tcPr>
          <w:p w14:paraId="72C1C64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二级</w:t>
            </w:r>
            <w:r>
              <w:rPr>
                <w:color w:val="000000" w:themeColor="text1"/>
                <w14:textFill>
                  <w14:solidFill>
                    <w14:schemeClr w14:val="tx1"/>
                  </w14:solidFill>
                </w14:textFill>
              </w:rPr>
              <w:t>防治分区</w:t>
            </w:r>
          </w:p>
        </w:tc>
        <w:tc>
          <w:tcPr>
            <w:tcW w:w="492" w:type="pct"/>
            <w:shd w:val="clear" w:color="auto" w:fill="auto"/>
            <w:noWrap/>
            <w:vAlign w:val="center"/>
          </w:tcPr>
          <w:p w14:paraId="0EE09CF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措施类型</w:t>
            </w:r>
          </w:p>
        </w:tc>
        <w:tc>
          <w:tcPr>
            <w:tcW w:w="771" w:type="pct"/>
            <w:shd w:val="clear" w:color="auto" w:fill="auto"/>
            <w:vAlign w:val="center"/>
          </w:tcPr>
          <w:p w14:paraId="59F16280">
            <w:pPr>
              <w:pStyle w:val="34"/>
              <w:rPr>
                <w:color w:val="000000" w:themeColor="text1"/>
                <w14:textFill>
                  <w14:solidFill>
                    <w14:schemeClr w14:val="tx1"/>
                  </w14:solidFill>
                </w14:textFill>
              </w:rPr>
            </w:pPr>
            <w:r>
              <w:rPr>
                <w:color w:val="000000" w:themeColor="text1"/>
                <w14:textFill>
                  <w14:solidFill>
                    <w14:schemeClr w14:val="tx1"/>
                  </w14:solidFill>
                </w14:textFill>
              </w:rPr>
              <w:t>措施类型</w:t>
            </w:r>
          </w:p>
        </w:tc>
        <w:tc>
          <w:tcPr>
            <w:tcW w:w="847" w:type="pct"/>
            <w:shd w:val="clear" w:color="auto" w:fill="auto"/>
            <w:vAlign w:val="center"/>
          </w:tcPr>
          <w:p w14:paraId="1C5CB500">
            <w:pPr>
              <w:pStyle w:val="34"/>
              <w:rPr>
                <w:color w:val="000000" w:themeColor="text1"/>
                <w14:textFill>
                  <w14:solidFill>
                    <w14:schemeClr w14:val="tx1"/>
                  </w14:solidFill>
                </w14:textFill>
              </w:rPr>
            </w:pPr>
            <w:r>
              <w:rPr>
                <w:color w:val="000000" w:themeColor="text1"/>
                <w14:textFill>
                  <w14:solidFill>
                    <w14:schemeClr w14:val="tx1"/>
                  </w14:solidFill>
                </w14:textFill>
              </w:rPr>
              <w:t>实施位置</w:t>
            </w:r>
          </w:p>
        </w:tc>
        <w:tc>
          <w:tcPr>
            <w:tcW w:w="1277" w:type="pct"/>
            <w:shd w:val="clear" w:color="auto" w:fill="auto"/>
            <w:vAlign w:val="center"/>
          </w:tcPr>
          <w:p w14:paraId="2B987514">
            <w:pPr>
              <w:pStyle w:val="34"/>
              <w:rPr>
                <w:color w:val="000000" w:themeColor="text1"/>
                <w14:textFill>
                  <w14:solidFill>
                    <w14:schemeClr w14:val="tx1"/>
                  </w14:solidFill>
                </w14:textFill>
              </w:rPr>
            </w:pPr>
            <w:r>
              <w:rPr>
                <w:color w:val="000000" w:themeColor="text1"/>
                <w14:textFill>
                  <w14:solidFill>
                    <w14:schemeClr w14:val="tx1"/>
                  </w14:solidFill>
                </w14:textFill>
              </w:rPr>
              <w:t>实施</w:t>
            </w:r>
            <w:r>
              <w:rPr>
                <w:rFonts w:hint="eastAsia"/>
                <w:color w:val="000000" w:themeColor="text1"/>
                <w14:textFill>
                  <w14:solidFill>
                    <w14:schemeClr w14:val="tx1"/>
                  </w14:solidFill>
                </w14:textFill>
              </w:rPr>
              <w:t>时段</w:t>
            </w:r>
          </w:p>
        </w:tc>
        <w:tc>
          <w:tcPr>
            <w:tcW w:w="559" w:type="pct"/>
            <w:shd w:val="clear" w:color="auto" w:fill="auto"/>
            <w:vAlign w:val="center"/>
          </w:tcPr>
          <w:p w14:paraId="12D03CF6">
            <w:pPr>
              <w:pStyle w:val="34"/>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266E2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restart"/>
            <w:shd w:val="clear" w:color="auto" w:fill="auto"/>
            <w:vAlign w:val="center"/>
          </w:tcPr>
          <w:p w14:paraId="1E17539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360" w:type="pct"/>
            <w:vMerge w:val="restart"/>
            <w:vAlign w:val="center"/>
          </w:tcPr>
          <w:p w14:paraId="7FEF373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地下工程区</w:t>
            </w:r>
          </w:p>
        </w:tc>
        <w:tc>
          <w:tcPr>
            <w:tcW w:w="495" w:type="pct"/>
            <w:vMerge w:val="restart"/>
            <w:shd w:val="clear" w:color="auto" w:fill="auto"/>
            <w:vAlign w:val="center"/>
          </w:tcPr>
          <w:p w14:paraId="1727793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地下建筑工程区</w:t>
            </w:r>
          </w:p>
        </w:tc>
        <w:tc>
          <w:tcPr>
            <w:tcW w:w="492" w:type="pct"/>
            <w:vMerge w:val="restart"/>
            <w:shd w:val="clear" w:color="auto" w:fill="auto"/>
            <w:noWrap/>
            <w:vAlign w:val="center"/>
          </w:tcPr>
          <w:p w14:paraId="6061898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临时措施</w:t>
            </w:r>
          </w:p>
        </w:tc>
        <w:tc>
          <w:tcPr>
            <w:tcW w:w="771" w:type="pct"/>
            <w:shd w:val="clear" w:color="auto" w:fill="auto"/>
            <w:vAlign w:val="center"/>
          </w:tcPr>
          <w:p w14:paraId="18E6888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坑顶截水沟</w:t>
            </w:r>
          </w:p>
        </w:tc>
        <w:tc>
          <w:tcPr>
            <w:tcW w:w="847" w:type="pct"/>
            <w:shd w:val="clear" w:color="auto" w:fill="auto"/>
            <w:vAlign w:val="center"/>
          </w:tcPr>
          <w:p w14:paraId="5F10F75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坑顶四周</w:t>
            </w:r>
          </w:p>
        </w:tc>
        <w:tc>
          <w:tcPr>
            <w:tcW w:w="1277" w:type="pct"/>
            <w:shd w:val="clear" w:color="auto" w:fill="auto"/>
            <w:vAlign w:val="center"/>
          </w:tcPr>
          <w:p w14:paraId="28ECA875">
            <w:pPr>
              <w:pStyle w:val="34"/>
              <w:rPr>
                <w:color w:val="000000" w:themeColor="text1"/>
                <w:highlight w:val="blue"/>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2023年8月~2023年10月</w:t>
            </w:r>
          </w:p>
        </w:tc>
        <w:tc>
          <w:tcPr>
            <w:tcW w:w="559" w:type="pct"/>
            <w:shd w:val="clear" w:color="auto" w:fill="auto"/>
          </w:tcPr>
          <w:p w14:paraId="1A0755AA">
            <w:pPr>
              <w:pStyle w:val="34"/>
              <w:rPr>
                <w:color w:val="000000" w:themeColor="text1"/>
                <w14:textFill>
                  <w14:solidFill>
                    <w14:schemeClr w14:val="tx1"/>
                  </w14:solidFill>
                </w14:textFill>
              </w:rPr>
            </w:pPr>
            <w:r>
              <w:rPr>
                <w:rFonts w:hint="eastAsia"/>
              </w:rPr>
              <w:t>主体已</w:t>
            </w:r>
            <w:r>
              <w:rPr>
                <w:rFonts w:hint="eastAsia"/>
                <w:lang w:eastAsia="zh-CN"/>
              </w:rPr>
              <w:t>实</w:t>
            </w:r>
            <w:r>
              <w:rPr>
                <w:rFonts w:hint="eastAsia"/>
              </w:rPr>
              <w:t>施</w:t>
            </w:r>
          </w:p>
        </w:tc>
      </w:tr>
      <w:tr w14:paraId="6D117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6AE7DA24">
            <w:pPr>
              <w:pStyle w:val="34"/>
              <w:rPr>
                <w:color w:val="000000" w:themeColor="text1"/>
                <w14:textFill>
                  <w14:solidFill>
                    <w14:schemeClr w14:val="tx1"/>
                  </w14:solidFill>
                </w14:textFill>
              </w:rPr>
            </w:pPr>
          </w:p>
        </w:tc>
        <w:tc>
          <w:tcPr>
            <w:tcW w:w="360" w:type="pct"/>
            <w:vMerge w:val="continue"/>
            <w:vAlign w:val="center"/>
          </w:tcPr>
          <w:p w14:paraId="5BA8975B">
            <w:pPr>
              <w:pStyle w:val="34"/>
              <w:rPr>
                <w:color w:val="000000" w:themeColor="text1"/>
                <w14:textFill>
                  <w14:solidFill>
                    <w14:schemeClr w14:val="tx1"/>
                  </w14:solidFill>
                </w14:textFill>
              </w:rPr>
            </w:pPr>
          </w:p>
        </w:tc>
        <w:tc>
          <w:tcPr>
            <w:tcW w:w="495" w:type="pct"/>
            <w:vMerge w:val="continue"/>
            <w:shd w:val="clear" w:color="auto" w:fill="auto"/>
            <w:vAlign w:val="center"/>
          </w:tcPr>
          <w:p w14:paraId="6DC356B2">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79E1E64B">
            <w:pPr>
              <w:pStyle w:val="34"/>
              <w:rPr>
                <w:color w:val="000000" w:themeColor="text1"/>
                <w14:textFill>
                  <w14:solidFill>
                    <w14:schemeClr w14:val="tx1"/>
                  </w14:solidFill>
                </w14:textFill>
              </w:rPr>
            </w:pPr>
          </w:p>
        </w:tc>
        <w:tc>
          <w:tcPr>
            <w:tcW w:w="771" w:type="pct"/>
            <w:shd w:val="clear" w:color="auto" w:fill="auto"/>
            <w:vAlign w:val="center"/>
          </w:tcPr>
          <w:p w14:paraId="6A4CC05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坑顶临时沉沙池</w:t>
            </w:r>
          </w:p>
        </w:tc>
        <w:tc>
          <w:tcPr>
            <w:tcW w:w="847" w:type="pct"/>
            <w:shd w:val="clear" w:color="auto" w:fill="auto"/>
            <w:vAlign w:val="center"/>
          </w:tcPr>
          <w:p w14:paraId="1D7C5FA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坑顶四周</w:t>
            </w:r>
          </w:p>
        </w:tc>
        <w:tc>
          <w:tcPr>
            <w:tcW w:w="1277" w:type="pct"/>
            <w:shd w:val="clear" w:color="auto" w:fill="auto"/>
            <w:vAlign w:val="center"/>
          </w:tcPr>
          <w:p w14:paraId="476ED938">
            <w:pPr>
              <w:pStyle w:val="34"/>
              <w:rPr>
                <w:color w:val="000000" w:themeColor="text1"/>
                <w:highlight w:val="blue"/>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2023年8月~2023年10月</w:t>
            </w:r>
          </w:p>
        </w:tc>
        <w:tc>
          <w:tcPr>
            <w:tcW w:w="559" w:type="pct"/>
            <w:shd w:val="clear" w:color="auto" w:fill="auto"/>
          </w:tcPr>
          <w:p w14:paraId="029018BB">
            <w:pPr>
              <w:pStyle w:val="34"/>
              <w:rPr>
                <w:color w:val="000000" w:themeColor="text1"/>
                <w14:textFill>
                  <w14:solidFill>
                    <w14:schemeClr w14:val="tx1"/>
                  </w14:solidFill>
                </w14:textFill>
              </w:rPr>
            </w:pPr>
            <w:r>
              <w:rPr>
                <w:rFonts w:hint="eastAsia"/>
              </w:rPr>
              <w:t>主体已实施</w:t>
            </w:r>
          </w:p>
        </w:tc>
      </w:tr>
      <w:tr w14:paraId="76010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restart"/>
            <w:shd w:val="clear" w:color="auto" w:fill="auto"/>
            <w:vAlign w:val="center"/>
          </w:tcPr>
          <w:p w14:paraId="5288EBB0">
            <w:pPr>
              <w:pStyle w:val="34"/>
              <w:rPr>
                <w:color w:val="000000" w:themeColor="text1"/>
                <w14:textFill>
                  <w14:solidFill>
                    <w14:schemeClr w14:val="tx1"/>
                  </w14:solidFill>
                </w14:textFill>
              </w:rPr>
            </w:pPr>
            <w:r>
              <w:rPr>
                <w:color w:val="000000" w:themeColor="text1"/>
                <w14:textFill>
                  <w14:solidFill>
                    <w14:schemeClr w14:val="tx1"/>
                  </w14:solidFill>
                </w14:textFill>
              </w:rPr>
              <w:t>2</w:t>
            </w:r>
          </w:p>
        </w:tc>
        <w:tc>
          <w:tcPr>
            <w:tcW w:w="360" w:type="pct"/>
            <w:vMerge w:val="restart"/>
            <w:vAlign w:val="center"/>
          </w:tcPr>
          <w:p w14:paraId="69C6998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地上工程区</w:t>
            </w:r>
          </w:p>
        </w:tc>
        <w:tc>
          <w:tcPr>
            <w:tcW w:w="495" w:type="pct"/>
            <w:vMerge w:val="restart"/>
            <w:shd w:val="clear" w:color="auto" w:fill="auto"/>
            <w:vAlign w:val="center"/>
          </w:tcPr>
          <w:p w14:paraId="02FC9AA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建构筑物工程区</w:t>
            </w:r>
          </w:p>
        </w:tc>
        <w:tc>
          <w:tcPr>
            <w:tcW w:w="492" w:type="pct"/>
            <w:vMerge w:val="restart"/>
            <w:shd w:val="clear" w:color="auto" w:fill="auto"/>
            <w:noWrap/>
            <w:vAlign w:val="center"/>
          </w:tcPr>
          <w:p w14:paraId="2FC68F0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临时措施</w:t>
            </w:r>
          </w:p>
        </w:tc>
        <w:tc>
          <w:tcPr>
            <w:tcW w:w="771" w:type="pct"/>
            <w:shd w:val="clear" w:color="auto" w:fill="auto"/>
            <w:noWrap/>
            <w:vAlign w:val="center"/>
          </w:tcPr>
          <w:p w14:paraId="6F69D184">
            <w:pPr>
              <w:pStyle w:val="34"/>
              <w:rPr>
                <w:color w:val="000000" w:themeColor="text1"/>
                <w14:textFill>
                  <w14:solidFill>
                    <w14:schemeClr w14:val="tx1"/>
                  </w14:solidFill>
                </w14:textFill>
              </w:rPr>
            </w:pPr>
            <w:r>
              <w:rPr>
                <w:rFonts w:hint="eastAsia"/>
                <w:color w:val="000000" w:themeColor="text1"/>
                <w:szCs w:val="18"/>
                <w:lang w:eastAsia="zh-CN"/>
                <w14:textFill>
                  <w14:solidFill>
                    <w14:schemeClr w14:val="tx1"/>
                  </w14:solidFill>
                </w14:textFill>
              </w:rPr>
              <w:t>表土剥离</w:t>
            </w:r>
          </w:p>
        </w:tc>
        <w:tc>
          <w:tcPr>
            <w:tcW w:w="847" w:type="pct"/>
            <w:shd w:val="clear" w:color="auto" w:fill="auto"/>
            <w:noWrap/>
            <w:vAlign w:val="center"/>
          </w:tcPr>
          <w:p w14:paraId="49979ADB">
            <w:pPr>
              <w:pStyle w:val="34"/>
              <w:rPr>
                <w:rFonts w:hint="eastAsia" w:eastAsia="仿宋_GB2312"/>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可剥离区域</w:t>
            </w:r>
          </w:p>
        </w:tc>
        <w:tc>
          <w:tcPr>
            <w:tcW w:w="1277" w:type="pct"/>
            <w:shd w:val="clear" w:color="auto" w:fill="auto"/>
            <w:noWrap/>
            <w:vAlign w:val="center"/>
          </w:tcPr>
          <w:p w14:paraId="581C9E98">
            <w:pPr>
              <w:pStyle w:val="34"/>
              <w:rPr>
                <w:color w:val="000000" w:themeColor="text1"/>
                <w:highlight w:val="blue"/>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2023年7月~2023年8月</w:t>
            </w:r>
          </w:p>
        </w:tc>
        <w:tc>
          <w:tcPr>
            <w:tcW w:w="559" w:type="pct"/>
            <w:shd w:val="clear" w:color="auto" w:fill="auto"/>
            <w:noWrap/>
            <w:vAlign w:val="top"/>
          </w:tcPr>
          <w:p w14:paraId="5CFD21A8">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主体已</w:t>
            </w:r>
            <w:r>
              <w:rPr>
                <w:rFonts w:hint="eastAsia"/>
                <w:lang w:eastAsia="zh-CN"/>
              </w:rPr>
              <w:t>实</w:t>
            </w:r>
            <w:r>
              <w:rPr>
                <w:rFonts w:hint="eastAsia"/>
              </w:rPr>
              <w:t>施</w:t>
            </w:r>
          </w:p>
        </w:tc>
      </w:tr>
      <w:tr w14:paraId="0D1D0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218B01D7">
            <w:pPr>
              <w:pStyle w:val="34"/>
              <w:rPr>
                <w:color w:val="000000" w:themeColor="text1"/>
                <w14:textFill>
                  <w14:solidFill>
                    <w14:schemeClr w14:val="tx1"/>
                  </w14:solidFill>
                </w14:textFill>
              </w:rPr>
            </w:pPr>
          </w:p>
        </w:tc>
        <w:tc>
          <w:tcPr>
            <w:tcW w:w="360" w:type="pct"/>
            <w:vMerge w:val="continue"/>
            <w:vAlign w:val="center"/>
          </w:tcPr>
          <w:p w14:paraId="16DDBE66">
            <w:pPr>
              <w:pStyle w:val="34"/>
              <w:rPr>
                <w:color w:val="000000" w:themeColor="text1"/>
                <w14:textFill>
                  <w14:solidFill>
                    <w14:schemeClr w14:val="tx1"/>
                  </w14:solidFill>
                </w14:textFill>
              </w:rPr>
            </w:pPr>
          </w:p>
        </w:tc>
        <w:tc>
          <w:tcPr>
            <w:tcW w:w="495" w:type="pct"/>
            <w:vMerge w:val="continue"/>
            <w:shd w:val="clear" w:color="auto" w:fill="auto"/>
            <w:vAlign w:val="center"/>
          </w:tcPr>
          <w:p w14:paraId="20A78160">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4EFA056F">
            <w:pPr>
              <w:pStyle w:val="34"/>
              <w:rPr>
                <w:color w:val="000000" w:themeColor="text1"/>
                <w14:textFill>
                  <w14:solidFill>
                    <w14:schemeClr w14:val="tx1"/>
                  </w14:solidFill>
                </w14:textFill>
              </w:rPr>
            </w:pPr>
          </w:p>
        </w:tc>
        <w:tc>
          <w:tcPr>
            <w:tcW w:w="771" w:type="pct"/>
            <w:shd w:val="clear" w:color="auto" w:fill="auto"/>
            <w:noWrap/>
            <w:vAlign w:val="center"/>
          </w:tcPr>
          <w:p w14:paraId="74A1CFA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临时排水沟</w:t>
            </w:r>
          </w:p>
        </w:tc>
        <w:tc>
          <w:tcPr>
            <w:tcW w:w="847" w:type="pct"/>
            <w:shd w:val="clear" w:color="auto" w:fill="auto"/>
            <w:noWrap/>
            <w:vAlign w:val="center"/>
          </w:tcPr>
          <w:p w14:paraId="5A1DC61D">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建筑周围</w:t>
            </w:r>
          </w:p>
        </w:tc>
        <w:tc>
          <w:tcPr>
            <w:tcW w:w="1277" w:type="pct"/>
            <w:shd w:val="clear" w:color="auto" w:fill="auto"/>
            <w:noWrap/>
            <w:vAlign w:val="center"/>
          </w:tcPr>
          <w:p w14:paraId="246709E8">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2023年10月~2024年2月</w:t>
            </w:r>
          </w:p>
        </w:tc>
        <w:tc>
          <w:tcPr>
            <w:tcW w:w="559" w:type="pct"/>
            <w:shd w:val="clear" w:color="auto" w:fill="auto"/>
            <w:noWrap/>
            <w:vAlign w:val="top"/>
          </w:tcPr>
          <w:p w14:paraId="4E5D7E11">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主体已实施</w:t>
            </w:r>
          </w:p>
        </w:tc>
      </w:tr>
      <w:tr w14:paraId="5D1E5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5640CC5A">
            <w:pPr>
              <w:pStyle w:val="34"/>
              <w:rPr>
                <w:color w:val="000000" w:themeColor="text1"/>
                <w14:textFill>
                  <w14:solidFill>
                    <w14:schemeClr w14:val="tx1"/>
                  </w14:solidFill>
                </w14:textFill>
              </w:rPr>
            </w:pPr>
          </w:p>
        </w:tc>
        <w:tc>
          <w:tcPr>
            <w:tcW w:w="360" w:type="pct"/>
            <w:vMerge w:val="continue"/>
            <w:vAlign w:val="center"/>
          </w:tcPr>
          <w:p w14:paraId="247F8830">
            <w:pPr>
              <w:pStyle w:val="34"/>
              <w:rPr>
                <w:color w:val="000000" w:themeColor="text1"/>
                <w14:textFill>
                  <w14:solidFill>
                    <w14:schemeClr w14:val="tx1"/>
                  </w14:solidFill>
                </w14:textFill>
              </w:rPr>
            </w:pPr>
          </w:p>
        </w:tc>
        <w:tc>
          <w:tcPr>
            <w:tcW w:w="495" w:type="pct"/>
            <w:vMerge w:val="continue"/>
            <w:shd w:val="clear" w:color="auto" w:fill="auto"/>
            <w:vAlign w:val="center"/>
          </w:tcPr>
          <w:p w14:paraId="70C83631">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77B725B9">
            <w:pPr>
              <w:pStyle w:val="34"/>
              <w:rPr>
                <w:color w:val="000000" w:themeColor="text1"/>
                <w14:textFill>
                  <w14:solidFill>
                    <w14:schemeClr w14:val="tx1"/>
                  </w14:solidFill>
                </w14:textFill>
              </w:rPr>
            </w:pPr>
          </w:p>
        </w:tc>
        <w:tc>
          <w:tcPr>
            <w:tcW w:w="771" w:type="pct"/>
            <w:shd w:val="clear" w:color="auto" w:fill="auto"/>
            <w:noWrap/>
            <w:vAlign w:val="center"/>
          </w:tcPr>
          <w:p w14:paraId="4A5B3406">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临时沉沙池</w:t>
            </w:r>
          </w:p>
        </w:tc>
        <w:tc>
          <w:tcPr>
            <w:tcW w:w="847" w:type="pct"/>
            <w:shd w:val="clear" w:color="auto" w:fill="auto"/>
            <w:noWrap/>
            <w:vAlign w:val="center"/>
          </w:tcPr>
          <w:p w14:paraId="6379201F">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建筑周围</w:t>
            </w:r>
          </w:p>
        </w:tc>
        <w:tc>
          <w:tcPr>
            <w:tcW w:w="1277" w:type="pct"/>
            <w:shd w:val="clear" w:color="auto" w:fill="auto"/>
            <w:noWrap/>
            <w:vAlign w:val="top"/>
          </w:tcPr>
          <w:p w14:paraId="08443F30">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2023年10月~2024年2月</w:t>
            </w:r>
          </w:p>
        </w:tc>
        <w:tc>
          <w:tcPr>
            <w:tcW w:w="559" w:type="pct"/>
            <w:shd w:val="clear" w:color="auto" w:fill="auto"/>
            <w:noWrap/>
            <w:vAlign w:val="top"/>
          </w:tcPr>
          <w:p w14:paraId="1CD941BD">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主体已实施</w:t>
            </w:r>
          </w:p>
        </w:tc>
      </w:tr>
      <w:tr w14:paraId="3CCE9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7A714063">
            <w:pPr>
              <w:pStyle w:val="34"/>
              <w:rPr>
                <w:color w:val="000000" w:themeColor="text1"/>
                <w14:textFill>
                  <w14:solidFill>
                    <w14:schemeClr w14:val="tx1"/>
                  </w14:solidFill>
                </w14:textFill>
              </w:rPr>
            </w:pPr>
          </w:p>
        </w:tc>
        <w:tc>
          <w:tcPr>
            <w:tcW w:w="360" w:type="pct"/>
            <w:vMerge w:val="continue"/>
            <w:vAlign w:val="center"/>
          </w:tcPr>
          <w:p w14:paraId="3B23057D">
            <w:pPr>
              <w:pStyle w:val="34"/>
              <w:rPr>
                <w:color w:val="000000" w:themeColor="text1"/>
                <w14:textFill>
                  <w14:solidFill>
                    <w14:schemeClr w14:val="tx1"/>
                  </w14:solidFill>
                </w14:textFill>
              </w:rPr>
            </w:pPr>
          </w:p>
        </w:tc>
        <w:tc>
          <w:tcPr>
            <w:tcW w:w="495" w:type="pct"/>
            <w:vMerge w:val="continue"/>
            <w:shd w:val="clear" w:color="auto" w:fill="auto"/>
            <w:vAlign w:val="center"/>
          </w:tcPr>
          <w:p w14:paraId="1B1C3615">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36E73E17">
            <w:pPr>
              <w:pStyle w:val="34"/>
              <w:rPr>
                <w:color w:val="000000" w:themeColor="text1"/>
                <w14:textFill>
                  <w14:solidFill>
                    <w14:schemeClr w14:val="tx1"/>
                  </w14:solidFill>
                </w14:textFill>
              </w:rPr>
            </w:pPr>
          </w:p>
        </w:tc>
        <w:tc>
          <w:tcPr>
            <w:tcW w:w="771" w:type="pct"/>
            <w:shd w:val="clear" w:color="auto" w:fill="auto"/>
            <w:noWrap/>
            <w:vAlign w:val="center"/>
          </w:tcPr>
          <w:p w14:paraId="2AC25943">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密目网</w:t>
            </w:r>
            <w:r>
              <w:rPr>
                <w:color w:val="000000" w:themeColor="text1"/>
                <w14:textFill>
                  <w14:solidFill>
                    <w14:schemeClr w14:val="tx1"/>
                  </w14:solidFill>
                </w14:textFill>
              </w:rPr>
              <w:t>苫盖</w:t>
            </w:r>
          </w:p>
        </w:tc>
        <w:tc>
          <w:tcPr>
            <w:tcW w:w="847" w:type="pct"/>
            <w:shd w:val="clear" w:color="auto" w:fill="auto"/>
            <w:noWrap/>
            <w:vAlign w:val="center"/>
          </w:tcPr>
          <w:p w14:paraId="11835A89">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建筑周围</w:t>
            </w:r>
            <w:r>
              <w:rPr>
                <w:color w:val="000000" w:themeColor="text1"/>
                <w14:textFill>
                  <w14:solidFill>
                    <w14:schemeClr w14:val="tx1"/>
                  </w14:solidFill>
                </w14:textFill>
              </w:rPr>
              <w:t>裸露区域</w:t>
            </w:r>
          </w:p>
        </w:tc>
        <w:tc>
          <w:tcPr>
            <w:tcW w:w="1277" w:type="pct"/>
            <w:shd w:val="clear" w:color="auto" w:fill="auto"/>
            <w:noWrap/>
            <w:vAlign w:val="top"/>
          </w:tcPr>
          <w:p w14:paraId="60F7AA16">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2023年10月~2024年6月</w:t>
            </w:r>
          </w:p>
        </w:tc>
        <w:tc>
          <w:tcPr>
            <w:tcW w:w="559" w:type="pct"/>
            <w:shd w:val="clear" w:color="auto" w:fill="auto"/>
            <w:noWrap/>
            <w:vAlign w:val="center"/>
          </w:tcPr>
          <w:p w14:paraId="77B955C0">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主体已实施</w:t>
            </w:r>
          </w:p>
        </w:tc>
      </w:tr>
      <w:tr w14:paraId="1A418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restart"/>
            <w:shd w:val="clear" w:color="auto" w:fill="auto"/>
            <w:vAlign w:val="center"/>
          </w:tcPr>
          <w:p w14:paraId="1D77BC6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360" w:type="pct"/>
            <w:vMerge w:val="continue"/>
            <w:vAlign w:val="center"/>
          </w:tcPr>
          <w:p w14:paraId="158423C6">
            <w:pPr>
              <w:pStyle w:val="34"/>
              <w:rPr>
                <w:color w:val="000000" w:themeColor="text1"/>
                <w14:textFill>
                  <w14:solidFill>
                    <w14:schemeClr w14:val="tx1"/>
                  </w14:solidFill>
                </w14:textFill>
              </w:rPr>
            </w:pPr>
          </w:p>
        </w:tc>
        <w:tc>
          <w:tcPr>
            <w:tcW w:w="495" w:type="pct"/>
            <w:vMerge w:val="restart"/>
            <w:shd w:val="clear" w:color="auto" w:fill="auto"/>
            <w:vAlign w:val="center"/>
          </w:tcPr>
          <w:p w14:paraId="095D20AD">
            <w:pPr>
              <w:pStyle w:val="34"/>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场内道路及硬化工程区</w:t>
            </w:r>
          </w:p>
        </w:tc>
        <w:tc>
          <w:tcPr>
            <w:tcW w:w="492" w:type="pct"/>
            <w:vMerge w:val="restart"/>
            <w:shd w:val="clear" w:color="auto" w:fill="auto"/>
            <w:noWrap/>
            <w:vAlign w:val="center"/>
          </w:tcPr>
          <w:p w14:paraId="54BB33B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工程措施</w:t>
            </w:r>
          </w:p>
        </w:tc>
        <w:tc>
          <w:tcPr>
            <w:tcW w:w="771" w:type="pct"/>
            <w:shd w:val="clear" w:color="auto" w:fill="auto"/>
            <w:noWrap/>
            <w:vAlign w:val="center"/>
          </w:tcPr>
          <w:p w14:paraId="2CBC978D">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szCs w:val="18"/>
                <w:lang w:eastAsia="zh-CN"/>
                <w14:textFill>
                  <w14:solidFill>
                    <w14:schemeClr w14:val="tx1"/>
                  </w14:solidFill>
                </w14:textFill>
              </w:rPr>
              <w:t>表土剥离</w:t>
            </w:r>
          </w:p>
        </w:tc>
        <w:tc>
          <w:tcPr>
            <w:tcW w:w="847" w:type="pct"/>
            <w:shd w:val="clear" w:color="auto" w:fill="auto"/>
            <w:noWrap/>
            <w:vAlign w:val="center"/>
          </w:tcPr>
          <w:p w14:paraId="5A0ED769">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可剥离区域</w:t>
            </w:r>
          </w:p>
        </w:tc>
        <w:tc>
          <w:tcPr>
            <w:tcW w:w="1277" w:type="pct"/>
            <w:shd w:val="clear" w:color="auto" w:fill="auto"/>
            <w:noWrap/>
            <w:vAlign w:val="top"/>
          </w:tcPr>
          <w:p w14:paraId="066AB329">
            <w:pPr>
              <w:pStyle w:val="34"/>
              <w:ind w:firstLine="0" w:firstLineChars="0"/>
              <w:rPr>
                <w:rFonts w:hint="eastAsia" w:ascii="Times New Roman" w:hAnsi="Times New Roman" w:eastAsia="仿宋_GB2312" w:cstheme="minorBidi"/>
                <w:bCs/>
                <w:snapToGrid w:val="0"/>
                <w:color w:val="000000" w:themeColor="text1"/>
                <w:kern w:val="2"/>
                <w:sz w:val="18"/>
                <w:szCs w:val="21"/>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2023年7月~2023年8月</w:t>
            </w:r>
          </w:p>
        </w:tc>
        <w:tc>
          <w:tcPr>
            <w:tcW w:w="559" w:type="pct"/>
            <w:shd w:val="clear" w:color="auto" w:fill="auto"/>
            <w:noWrap/>
            <w:vAlign w:val="top"/>
          </w:tcPr>
          <w:p w14:paraId="4667E178">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主体已实施</w:t>
            </w:r>
          </w:p>
        </w:tc>
      </w:tr>
      <w:tr w14:paraId="294AD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5FE0A667">
            <w:pPr>
              <w:pStyle w:val="34"/>
              <w:rPr>
                <w:color w:val="000000" w:themeColor="text1"/>
                <w14:textFill>
                  <w14:solidFill>
                    <w14:schemeClr w14:val="tx1"/>
                  </w14:solidFill>
                </w14:textFill>
              </w:rPr>
            </w:pPr>
          </w:p>
        </w:tc>
        <w:tc>
          <w:tcPr>
            <w:tcW w:w="360" w:type="pct"/>
            <w:vMerge w:val="continue"/>
          </w:tcPr>
          <w:p w14:paraId="485C9622">
            <w:pPr>
              <w:pStyle w:val="34"/>
              <w:rPr>
                <w:color w:val="000000" w:themeColor="text1"/>
                <w14:textFill>
                  <w14:solidFill>
                    <w14:schemeClr w14:val="tx1"/>
                  </w14:solidFill>
                </w14:textFill>
              </w:rPr>
            </w:pPr>
          </w:p>
        </w:tc>
        <w:tc>
          <w:tcPr>
            <w:tcW w:w="495" w:type="pct"/>
            <w:vMerge w:val="continue"/>
            <w:shd w:val="clear" w:color="auto" w:fill="auto"/>
            <w:vAlign w:val="center"/>
          </w:tcPr>
          <w:p w14:paraId="22F87297">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3050D556">
            <w:pPr>
              <w:pStyle w:val="34"/>
              <w:rPr>
                <w:color w:val="000000" w:themeColor="text1"/>
                <w14:textFill>
                  <w14:solidFill>
                    <w14:schemeClr w14:val="tx1"/>
                  </w14:solidFill>
                </w14:textFill>
              </w:rPr>
            </w:pPr>
          </w:p>
        </w:tc>
        <w:tc>
          <w:tcPr>
            <w:tcW w:w="771" w:type="pct"/>
            <w:shd w:val="clear" w:color="auto" w:fill="auto"/>
            <w:noWrap/>
            <w:vAlign w:val="center"/>
          </w:tcPr>
          <w:p w14:paraId="28150CD9">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DN</w:t>
            </w:r>
            <w:r>
              <w:rPr>
                <w:rFonts w:hint="eastAsia"/>
                <w:color w:val="000000" w:themeColor="text1"/>
                <w14:textFill>
                  <w14:solidFill>
                    <w14:schemeClr w14:val="tx1"/>
                  </w14:solidFill>
                </w14:textFill>
              </w:rPr>
              <w:t>150</w:t>
            </w:r>
            <w:r>
              <w:rPr>
                <w:color w:val="000000" w:themeColor="text1"/>
                <w14:textFill>
                  <w14:solidFill>
                    <w14:schemeClr w14:val="tx1"/>
                  </w14:solidFill>
                </w14:textFill>
              </w:rPr>
              <w:t>雨水管</w:t>
            </w:r>
          </w:p>
        </w:tc>
        <w:tc>
          <w:tcPr>
            <w:tcW w:w="847" w:type="pct"/>
            <w:shd w:val="clear" w:color="auto" w:fill="auto"/>
            <w:noWrap/>
            <w:vAlign w:val="center"/>
          </w:tcPr>
          <w:p w14:paraId="4A9ABB0C">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道路硬化区域</w:t>
            </w:r>
          </w:p>
        </w:tc>
        <w:tc>
          <w:tcPr>
            <w:tcW w:w="1277" w:type="pct"/>
            <w:shd w:val="clear" w:color="auto" w:fill="auto"/>
            <w:noWrap/>
            <w:vAlign w:val="center"/>
          </w:tcPr>
          <w:p w14:paraId="2D068983">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2024年10月~2024年11月</w:t>
            </w:r>
          </w:p>
        </w:tc>
        <w:tc>
          <w:tcPr>
            <w:tcW w:w="559" w:type="pct"/>
            <w:shd w:val="clear" w:color="auto" w:fill="auto"/>
            <w:noWrap/>
            <w:vAlign w:val="center"/>
          </w:tcPr>
          <w:p w14:paraId="6ED62B5F">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主体未实施</w:t>
            </w:r>
          </w:p>
        </w:tc>
      </w:tr>
      <w:tr w14:paraId="25FC5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36661E0A">
            <w:pPr>
              <w:pStyle w:val="34"/>
              <w:rPr>
                <w:color w:val="000000" w:themeColor="text1"/>
                <w14:textFill>
                  <w14:solidFill>
                    <w14:schemeClr w14:val="tx1"/>
                  </w14:solidFill>
                </w14:textFill>
              </w:rPr>
            </w:pPr>
          </w:p>
        </w:tc>
        <w:tc>
          <w:tcPr>
            <w:tcW w:w="360" w:type="pct"/>
            <w:vMerge w:val="continue"/>
          </w:tcPr>
          <w:p w14:paraId="069B44A5">
            <w:pPr>
              <w:pStyle w:val="34"/>
              <w:rPr>
                <w:color w:val="000000" w:themeColor="text1"/>
                <w14:textFill>
                  <w14:solidFill>
                    <w14:schemeClr w14:val="tx1"/>
                  </w14:solidFill>
                </w14:textFill>
              </w:rPr>
            </w:pPr>
          </w:p>
        </w:tc>
        <w:tc>
          <w:tcPr>
            <w:tcW w:w="495" w:type="pct"/>
            <w:vMerge w:val="continue"/>
            <w:shd w:val="clear" w:color="auto" w:fill="auto"/>
            <w:vAlign w:val="center"/>
          </w:tcPr>
          <w:p w14:paraId="0DA52DB5">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14D74256">
            <w:pPr>
              <w:pStyle w:val="34"/>
              <w:rPr>
                <w:color w:val="000000" w:themeColor="text1"/>
                <w14:textFill>
                  <w14:solidFill>
                    <w14:schemeClr w14:val="tx1"/>
                  </w14:solidFill>
                </w14:textFill>
              </w:rPr>
            </w:pPr>
          </w:p>
        </w:tc>
        <w:tc>
          <w:tcPr>
            <w:tcW w:w="771" w:type="pct"/>
            <w:shd w:val="clear" w:color="auto" w:fill="auto"/>
            <w:noWrap/>
            <w:vAlign w:val="center"/>
          </w:tcPr>
          <w:p w14:paraId="21189EF5">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DN</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00雨水管</w:t>
            </w:r>
          </w:p>
        </w:tc>
        <w:tc>
          <w:tcPr>
            <w:tcW w:w="847" w:type="pct"/>
            <w:shd w:val="clear" w:color="auto" w:fill="auto"/>
            <w:noWrap/>
            <w:vAlign w:val="center"/>
          </w:tcPr>
          <w:p w14:paraId="4896DBF2">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道路硬化区域</w:t>
            </w:r>
          </w:p>
        </w:tc>
        <w:tc>
          <w:tcPr>
            <w:tcW w:w="1277" w:type="pct"/>
            <w:shd w:val="clear" w:color="auto" w:fill="auto"/>
            <w:noWrap/>
            <w:vAlign w:val="center"/>
          </w:tcPr>
          <w:p w14:paraId="5E809C91">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2024年10月~2024年11月</w:t>
            </w:r>
          </w:p>
        </w:tc>
        <w:tc>
          <w:tcPr>
            <w:tcW w:w="559" w:type="pct"/>
            <w:shd w:val="clear" w:color="auto" w:fill="auto"/>
            <w:noWrap/>
            <w:vAlign w:val="top"/>
          </w:tcPr>
          <w:p w14:paraId="070355B9">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主体未实施</w:t>
            </w:r>
          </w:p>
        </w:tc>
      </w:tr>
      <w:tr w14:paraId="53597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5C56B792">
            <w:pPr>
              <w:pStyle w:val="34"/>
              <w:rPr>
                <w:color w:val="000000" w:themeColor="text1"/>
                <w14:textFill>
                  <w14:solidFill>
                    <w14:schemeClr w14:val="tx1"/>
                  </w14:solidFill>
                </w14:textFill>
              </w:rPr>
            </w:pPr>
          </w:p>
        </w:tc>
        <w:tc>
          <w:tcPr>
            <w:tcW w:w="360" w:type="pct"/>
            <w:vMerge w:val="continue"/>
          </w:tcPr>
          <w:p w14:paraId="05CD4791">
            <w:pPr>
              <w:pStyle w:val="34"/>
              <w:rPr>
                <w:color w:val="000000" w:themeColor="text1"/>
                <w14:textFill>
                  <w14:solidFill>
                    <w14:schemeClr w14:val="tx1"/>
                  </w14:solidFill>
                </w14:textFill>
              </w:rPr>
            </w:pPr>
          </w:p>
        </w:tc>
        <w:tc>
          <w:tcPr>
            <w:tcW w:w="495" w:type="pct"/>
            <w:vMerge w:val="continue"/>
            <w:shd w:val="clear" w:color="auto" w:fill="auto"/>
            <w:vAlign w:val="center"/>
          </w:tcPr>
          <w:p w14:paraId="2F3F2BE4">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258395BC">
            <w:pPr>
              <w:pStyle w:val="34"/>
              <w:rPr>
                <w:color w:val="000000" w:themeColor="text1"/>
                <w14:textFill>
                  <w14:solidFill>
                    <w14:schemeClr w14:val="tx1"/>
                  </w14:solidFill>
                </w14:textFill>
              </w:rPr>
            </w:pPr>
          </w:p>
        </w:tc>
        <w:tc>
          <w:tcPr>
            <w:tcW w:w="771" w:type="pct"/>
            <w:shd w:val="clear" w:color="auto" w:fill="auto"/>
            <w:noWrap/>
            <w:vAlign w:val="center"/>
          </w:tcPr>
          <w:p w14:paraId="441400D9">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雨水口</w:t>
            </w:r>
          </w:p>
        </w:tc>
        <w:tc>
          <w:tcPr>
            <w:tcW w:w="847" w:type="pct"/>
            <w:shd w:val="clear" w:color="auto" w:fill="auto"/>
            <w:noWrap/>
            <w:vAlign w:val="center"/>
          </w:tcPr>
          <w:p w14:paraId="4E715D79">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道路硬化区域</w:t>
            </w:r>
          </w:p>
        </w:tc>
        <w:tc>
          <w:tcPr>
            <w:tcW w:w="1277" w:type="pct"/>
            <w:shd w:val="clear" w:color="auto" w:fill="auto"/>
            <w:noWrap/>
            <w:vAlign w:val="center"/>
          </w:tcPr>
          <w:p w14:paraId="6E1BC039">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2024年10月~2024年11月</w:t>
            </w:r>
          </w:p>
        </w:tc>
        <w:tc>
          <w:tcPr>
            <w:tcW w:w="559" w:type="pct"/>
            <w:shd w:val="clear" w:color="auto" w:fill="auto"/>
            <w:noWrap/>
            <w:vAlign w:val="center"/>
          </w:tcPr>
          <w:p w14:paraId="39AA3FAC">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主体未实施</w:t>
            </w:r>
          </w:p>
        </w:tc>
      </w:tr>
      <w:tr w14:paraId="43CBB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296F3717">
            <w:pPr>
              <w:pStyle w:val="34"/>
              <w:rPr>
                <w:color w:val="000000" w:themeColor="text1"/>
                <w14:textFill>
                  <w14:solidFill>
                    <w14:schemeClr w14:val="tx1"/>
                  </w14:solidFill>
                </w14:textFill>
              </w:rPr>
            </w:pPr>
          </w:p>
        </w:tc>
        <w:tc>
          <w:tcPr>
            <w:tcW w:w="360" w:type="pct"/>
            <w:vMerge w:val="continue"/>
          </w:tcPr>
          <w:p w14:paraId="2AA125A1">
            <w:pPr>
              <w:pStyle w:val="34"/>
              <w:rPr>
                <w:color w:val="000000" w:themeColor="text1"/>
                <w14:textFill>
                  <w14:solidFill>
                    <w14:schemeClr w14:val="tx1"/>
                  </w14:solidFill>
                </w14:textFill>
              </w:rPr>
            </w:pPr>
          </w:p>
        </w:tc>
        <w:tc>
          <w:tcPr>
            <w:tcW w:w="495" w:type="pct"/>
            <w:vMerge w:val="continue"/>
            <w:shd w:val="clear" w:color="auto" w:fill="auto"/>
            <w:vAlign w:val="center"/>
          </w:tcPr>
          <w:p w14:paraId="032D54C7">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7D1A0E1C">
            <w:pPr>
              <w:pStyle w:val="34"/>
              <w:rPr>
                <w:color w:val="000000" w:themeColor="text1"/>
                <w14:textFill>
                  <w14:solidFill>
                    <w14:schemeClr w14:val="tx1"/>
                  </w14:solidFill>
                </w14:textFill>
              </w:rPr>
            </w:pPr>
          </w:p>
        </w:tc>
        <w:tc>
          <w:tcPr>
            <w:tcW w:w="771" w:type="pct"/>
            <w:shd w:val="clear" w:color="auto" w:fill="auto"/>
            <w:noWrap/>
            <w:vAlign w:val="center"/>
          </w:tcPr>
          <w:p w14:paraId="6B9C54BD">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雨水蓄水池</w:t>
            </w:r>
          </w:p>
        </w:tc>
        <w:tc>
          <w:tcPr>
            <w:tcW w:w="847" w:type="pct"/>
            <w:shd w:val="clear" w:color="auto" w:fill="auto"/>
            <w:noWrap/>
            <w:vAlign w:val="center"/>
          </w:tcPr>
          <w:p w14:paraId="676BBE49">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道路和绿化区域</w:t>
            </w:r>
          </w:p>
        </w:tc>
        <w:tc>
          <w:tcPr>
            <w:tcW w:w="1277" w:type="pct"/>
            <w:shd w:val="clear" w:color="auto" w:fill="auto"/>
            <w:noWrap/>
            <w:vAlign w:val="center"/>
          </w:tcPr>
          <w:p w14:paraId="2B6FD874">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2024年10月~2024年11月</w:t>
            </w:r>
          </w:p>
        </w:tc>
        <w:tc>
          <w:tcPr>
            <w:tcW w:w="559" w:type="pct"/>
            <w:shd w:val="clear" w:color="auto" w:fill="auto"/>
            <w:noWrap/>
            <w:vAlign w:val="center"/>
          </w:tcPr>
          <w:p w14:paraId="7CCF9D20">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主体未实施</w:t>
            </w:r>
          </w:p>
        </w:tc>
      </w:tr>
      <w:tr w14:paraId="7F4A2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09716805">
            <w:pPr>
              <w:pStyle w:val="34"/>
              <w:rPr>
                <w:color w:val="000000" w:themeColor="text1"/>
                <w14:textFill>
                  <w14:solidFill>
                    <w14:schemeClr w14:val="tx1"/>
                  </w14:solidFill>
                </w14:textFill>
              </w:rPr>
            </w:pPr>
          </w:p>
        </w:tc>
        <w:tc>
          <w:tcPr>
            <w:tcW w:w="360" w:type="pct"/>
            <w:vMerge w:val="continue"/>
          </w:tcPr>
          <w:p w14:paraId="0468FFA1">
            <w:pPr>
              <w:pStyle w:val="34"/>
              <w:rPr>
                <w:color w:val="000000" w:themeColor="text1"/>
                <w14:textFill>
                  <w14:solidFill>
                    <w14:schemeClr w14:val="tx1"/>
                  </w14:solidFill>
                </w14:textFill>
              </w:rPr>
            </w:pPr>
          </w:p>
        </w:tc>
        <w:tc>
          <w:tcPr>
            <w:tcW w:w="495" w:type="pct"/>
            <w:vMerge w:val="continue"/>
            <w:shd w:val="clear" w:color="auto" w:fill="auto"/>
            <w:vAlign w:val="center"/>
          </w:tcPr>
          <w:p w14:paraId="2948BBB3">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7E9AE889">
            <w:pPr>
              <w:pStyle w:val="34"/>
              <w:rPr>
                <w:color w:val="000000" w:themeColor="text1"/>
                <w14:textFill>
                  <w14:solidFill>
                    <w14:schemeClr w14:val="tx1"/>
                  </w14:solidFill>
                </w14:textFill>
              </w:rPr>
            </w:pPr>
          </w:p>
        </w:tc>
        <w:tc>
          <w:tcPr>
            <w:tcW w:w="771" w:type="pct"/>
            <w:shd w:val="clear" w:color="auto" w:fill="auto"/>
            <w:noWrap/>
            <w:vAlign w:val="center"/>
          </w:tcPr>
          <w:p w14:paraId="1759FE61">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洗车设施</w:t>
            </w:r>
          </w:p>
        </w:tc>
        <w:tc>
          <w:tcPr>
            <w:tcW w:w="847" w:type="pct"/>
            <w:shd w:val="clear" w:color="auto" w:fill="auto"/>
            <w:noWrap/>
            <w:vAlign w:val="center"/>
          </w:tcPr>
          <w:p w14:paraId="3369DF1C">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北侧</w:t>
            </w:r>
            <w:r>
              <w:rPr>
                <w:color w:val="000000" w:themeColor="text1"/>
                <w14:textFill>
                  <w14:solidFill>
                    <w14:schemeClr w14:val="tx1"/>
                  </w14:solidFill>
                </w14:textFill>
              </w:rPr>
              <w:t>出入口处</w:t>
            </w:r>
          </w:p>
        </w:tc>
        <w:tc>
          <w:tcPr>
            <w:tcW w:w="1277" w:type="pct"/>
            <w:shd w:val="clear" w:color="auto" w:fill="auto"/>
            <w:noWrap/>
            <w:vAlign w:val="center"/>
          </w:tcPr>
          <w:p w14:paraId="03F320F8">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2023年9月~2023年10月</w:t>
            </w:r>
          </w:p>
        </w:tc>
        <w:tc>
          <w:tcPr>
            <w:tcW w:w="559" w:type="pct"/>
            <w:shd w:val="clear" w:color="auto" w:fill="auto"/>
            <w:noWrap/>
            <w:vAlign w:val="center"/>
          </w:tcPr>
          <w:p w14:paraId="6A4B3873">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主体已实施</w:t>
            </w:r>
          </w:p>
        </w:tc>
      </w:tr>
      <w:tr w14:paraId="63E33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584ED157">
            <w:pPr>
              <w:pStyle w:val="34"/>
              <w:rPr>
                <w:color w:val="000000" w:themeColor="text1"/>
                <w14:textFill>
                  <w14:solidFill>
                    <w14:schemeClr w14:val="tx1"/>
                  </w14:solidFill>
                </w14:textFill>
              </w:rPr>
            </w:pPr>
          </w:p>
        </w:tc>
        <w:tc>
          <w:tcPr>
            <w:tcW w:w="360" w:type="pct"/>
            <w:vMerge w:val="continue"/>
          </w:tcPr>
          <w:p w14:paraId="38D02988">
            <w:pPr>
              <w:pStyle w:val="34"/>
              <w:rPr>
                <w:color w:val="000000" w:themeColor="text1"/>
                <w14:textFill>
                  <w14:solidFill>
                    <w14:schemeClr w14:val="tx1"/>
                  </w14:solidFill>
                </w14:textFill>
              </w:rPr>
            </w:pPr>
          </w:p>
        </w:tc>
        <w:tc>
          <w:tcPr>
            <w:tcW w:w="495" w:type="pct"/>
            <w:vMerge w:val="continue"/>
            <w:shd w:val="clear" w:color="auto" w:fill="auto"/>
            <w:vAlign w:val="center"/>
          </w:tcPr>
          <w:p w14:paraId="24D60DF7">
            <w:pPr>
              <w:pStyle w:val="34"/>
              <w:rPr>
                <w:color w:val="000000" w:themeColor="text1"/>
                <w14:textFill>
                  <w14:solidFill>
                    <w14:schemeClr w14:val="tx1"/>
                  </w14:solidFill>
                </w14:textFill>
              </w:rPr>
            </w:pPr>
          </w:p>
        </w:tc>
        <w:tc>
          <w:tcPr>
            <w:tcW w:w="492" w:type="pct"/>
            <w:shd w:val="clear" w:color="auto" w:fill="auto"/>
            <w:noWrap/>
            <w:vAlign w:val="center"/>
          </w:tcPr>
          <w:p w14:paraId="42E2821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临时措施</w:t>
            </w:r>
          </w:p>
        </w:tc>
        <w:tc>
          <w:tcPr>
            <w:tcW w:w="771" w:type="pct"/>
            <w:shd w:val="clear" w:color="auto" w:fill="auto"/>
            <w:noWrap/>
            <w:vAlign w:val="center"/>
          </w:tcPr>
          <w:p w14:paraId="06A67405">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密目网</w:t>
            </w:r>
            <w:r>
              <w:rPr>
                <w:color w:val="000000" w:themeColor="text1"/>
                <w14:textFill>
                  <w14:solidFill>
                    <w14:schemeClr w14:val="tx1"/>
                  </w14:solidFill>
                </w14:textFill>
              </w:rPr>
              <w:t>苫盖</w:t>
            </w:r>
          </w:p>
        </w:tc>
        <w:tc>
          <w:tcPr>
            <w:tcW w:w="847" w:type="pct"/>
            <w:shd w:val="clear" w:color="auto" w:fill="auto"/>
            <w:noWrap/>
            <w:vAlign w:val="center"/>
          </w:tcPr>
          <w:p w14:paraId="3ABDA35B">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裸露区域</w:t>
            </w:r>
          </w:p>
        </w:tc>
        <w:tc>
          <w:tcPr>
            <w:tcW w:w="1277" w:type="pct"/>
            <w:shd w:val="clear" w:color="auto" w:fill="auto"/>
            <w:noWrap/>
            <w:vAlign w:val="center"/>
          </w:tcPr>
          <w:p w14:paraId="1830B519">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2024年7月~2024年11月</w:t>
            </w:r>
          </w:p>
        </w:tc>
        <w:tc>
          <w:tcPr>
            <w:tcW w:w="559" w:type="pct"/>
            <w:shd w:val="clear" w:color="auto" w:fill="auto"/>
            <w:noWrap/>
            <w:vAlign w:val="center"/>
          </w:tcPr>
          <w:p w14:paraId="1FA04E29">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方案新增</w:t>
            </w:r>
          </w:p>
        </w:tc>
      </w:tr>
      <w:tr w14:paraId="18659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restart"/>
            <w:shd w:val="clear" w:color="auto" w:fill="auto"/>
            <w:vAlign w:val="center"/>
          </w:tcPr>
          <w:p w14:paraId="1F03725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360" w:type="pct"/>
            <w:vMerge w:val="continue"/>
          </w:tcPr>
          <w:p w14:paraId="62462D60">
            <w:pPr>
              <w:pStyle w:val="34"/>
              <w:rPr>
                <w:color w:val="000000" w:themeColor="text1"/>
                <w14:textFill>
                  <w14:solidFill>
                    <w14:schemeClr w14:val="tx1"/>
                  </w14:solidFill>
                </w14:textFill>
              </w:rPr>
            </w:pPr>
          </w:p>
        </w:tc>
        <w:tc>
          <w:tcPr>
            <w:tcW w:w="495" w:type="pct"/>
            <w:vMerge w:val="restart"/>
            <w:shd w:val="clear" w:color="auto" w:fill="auto"/>
            <w:vAlign w:val="center"/>
          </w:tcPr>
          <w:p w14:paraId="39479770">
            <w:pPr>
              <w:pStyle w:val="34"/>
              <w:rPr>
                <w:color w:val="000000" w:themeColor="text1"/>
                <w14:textFill>
                  <w14:solidFill>
                    <w14:schemeClr w14:val="tx1"/>
                  </w14:solidFill>
                </w14:textFill>
              </w:rPr>
            </w:pPr>
            <w:r>
              <w:rPr>
                <w:color w:val="000000" w:themeColor="text1"/>
                <w14:textFill>
                  <w14:solidFill>
                    <w14:schemeClr w14:val="tx1"/>
                  </w14:solidFill>
                </w14:textFill>
              </w:rPr>
              <w:t>绿化工程区</w:t>
            </w:r>
          </w:p>
        </w:tc>
        <w:tc>
          <w:tcPr>
            <w:tcW w:w="492" w:type="pct"/>
            <w:vMerge w:val="restart"/>
            <w:shd w:val="clear" w:color="auto" w:fill="auto"/>
            <w:noWrap/>
            <w:vAlign w:val="center"/>
          </w:tcPr>
          <w:p w14:paraId="0A897C2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工程措施</w:t>
            </w:r>
          </w:p>
        </w:tc>
        <w:tc>
          <w:tcPr>
            <w:tcW w:w="771" w:type="pct"/>
            <w:shd w:val="clear" w:color="auto" w:fill="auto"/>
            <w:noWrap/>
            <w:vAlign w:val="center"/>
          </w:tcPr>
          <w:p w14:paraId="576DB80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土地整治</w:t>
            </w:r>
          </w:p>
        </w:tc>
        <w:tc>
          <w:tcPr>
            <w:tcW w:w="847" w:type="pct"/>
            <w:shd w:val="clear" w:color="auto" w:fill="auto"/>
            <w:noWrap/>
            <w:vAlign w:val="center"/>
          </w:tcPr>
          <w:p w14:paraId="273A54D7">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绿化区域</w:t>
            </w:r>
          </w:p>
        </w:tc>
        <w:tc>
          <w:tcPr>
            <w:tcW w:w="1277" w:type="pct"/>
            <w:shd w:val="clear" w:color="auto" w:fill="auto"/>
            <w:noWrap/>
            <w:vAlign w:val="center"/>
          </w:tcPr>
          <w:p w14:paraId="03D58397">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2024年11月~2024年12月</w:t>
            </w:r>
          </w:p>
        </w:tc>
        <w:tc>
          <w:tcPr>
            <w:tcW w:w="559" w:type="pct"/>
            <w:shd w:val="clear" w:color="auto" w:fill="auto"/>
            <w:noWrap/>
            <w:vAlign w:val="center"/>
          </w:tcPr>
          <w:p w14:paraId="3125F646">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方案新增</w:t>
            </w:r>
          </w:p>
        </w:tc>
      </w:tr>
      <w:tr w14:paraId="44D90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71ED7D6B">
            <w:pPr>
              <w:pStyle w:val="34"/>
              <w:rPr>
                <w:rFonts w:hint="eastAsia"/>
                <w:color w:val="000000" w:themeColor="text1"/>
                <w14:textFill>
                  <w14:solidFill>
                    <w14:schemeClr w14:val="tx1"/>
                  </w14:solidFill>
                </w14:textFill>
              </w:rPr>
            </w:pPr>
          </w:p>
        </w:tc>
        <w:tc>
          <w:tcPr>
            <w:tcW w:w="360" w:type="pct"/>
            <w:vMerge w:val="continue"/>
          </w:tcPr>
          <w:p w14:paraId="4CBF0E17">
            <w:pPr>
              <w:pStyle w:val="34"/>
              <w:rPr>
                <w:color w:val="000000" w:themeColor="text1"/>
                <w14:textFill>
                  <w14:solidFill>
                    <w14:schemeClr w14:val="tx1"/>
                  </w14:solidFill>
                </w14:textFill>
              </w:rPr>
            </w:pPr>
          </w:p>
        </w:tc>
        <w:tc>
          <w:tcPr>
            <w:tcW w:w="495" w:type="pct"/>
            <w:vMerge w:val="continue"/>
            <w:shd w:val="clear" w:color="auto" w:fill="auto"/>
            <w:vAlign w:val="center"/>
          </w:tcPr>
          <w:p w14:paraId="57469043">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0E2128E1">
            <w:pPr>
              <w:pStyle w:val="34"/>
              <w:rPr>
                <w:rFonts w:hint="eastAsia"/>
                <w:color w:val="000000" w:themeColor="text1"/>
                <w14:textFill>
                  <w14:solidFill>
                    <w14:schemeClr w14:val="tx1"/>
                  </w14:solidFill>
                </w14:textFill>
              </w:rPr>
            </w:pPr>
          </w:p>
        </w:tc>
        <w:tc>
          <w:tcPr>
            <w:tcW w:w="771" w:type="pct"/>
            <w:shd w:val="clear" w:color="auto" w:fill="auto"/>
            <w:noWrap/>
            <w:vAlign w:val="center"/>
          </w:tcPr>
          <w:p w14:paraId="66C3B3E7">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绿化覆土</w:t>
            </w:r>
          </w:p>
        </w:tc>
        <w:tc>
          <w:tcPr>
            <w:tcW w:w="847" w:type="pct"/>
            <w:shd w:val="clear" w:color="auto" w:fill="auto"/>
            <w:noWrap/>
            <w:vAlign w:val="center"/>
          </w:tcPr>
          <w:p w14:paraId="46D0B8D2">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绿化区域</w:t>
            </w:r>
          </w:p>
        </w:tc>
        <w:tc>
          <w:tcPr>
            <w:tcW w:w="1277" w:type="pct"/>
            <w:shd w:val="clear" w:color="auto" w:fill="auto"/>
            <w:noWrap/>
            <w:vAlign w:val="top"/>
          </w:tcPr>
          <w:p w14:paraId="22CAE1ED">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2024年10月~2024年11月</w:t>
            </w:r>
          </w:p>
        </w:tc>
        <w:tc>
          <w:tcPr>
            <w:tcW w:w="559" w:type="pct"/>
            <w:shd w:val="clear" w:color="auto" w:fill="auto"/>
            <w:noWrap/>
            <w:vAlign w:val="center"/>
          </w:tcPr>
          <w:p w14:paraId="1D0CC3D1">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主体未实施</w:t>
            </w:r>
          </w:p>
        </w:tc>
      </w:tr>
      <w:tr w14:paraId="38E01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46CB434A">
            <w:pPr>
              <w:pStyle w:val="34"/>
              <w:rPr>
                <w:color w:val="000000" w:themeColor="text1"/>
                <w14:textFill>
                  <w14:solidFill>
                    <w14:schemeClr w14:val="tx1"/>
                  </w14:solidFill>
                </w14:textFill>
              </w:rPr>
            </w:pPr>
          </w:p>
        </w:tc>
        <w:tc>
          <w:tcPr>
            <w:tcW w:w="360" w:type="pct"/>
            <w:vMerge w:val="continue"/>
          </w:tcPr>
          <w:p w14:paraId="4059F9DD">
            <w:pPr>
              <w:pStyle w:val="34"/>
              <w:rPr>
                <w:color w:val="000000" w:themeColor="text1"/>
                <w14:textFill>
                  <w14:solidFill>
                    <w14:schemeClr w14:val="tx1"/>
                  </w14:solidFill>
                </w14:textFill>
              </w:rPr>
            </w:pPr>
          </w:p>
        </w:tc>
        <w:tc>
          <w:tcPr>
            <w:tcW w:w="495" w:type="pct"/>
            <w:vMerge w:val="continue"/>
            <w:shd w:val="clear" w:color="auto" w:fill="auto"/>
            <w:vAlign w:val="center"/>
          </w:tcPr>
          <w:p w14:paraId="56D375F7">
            <w:pPr>
              <w:pStyle w:val="34"/>
              <w:rPr>
                <w:color w:val="000000" w:themeColor="text1"/>
                <w14:textFill>
                  <w14:solidFill>
                    <w14:schemeClr w14:val="tx1"/>
                  </w14:solidFill>
                </w14:textFill>
              </w:rPr>
            </w:pPr>
          </w:p>
        </w:tc>
        <w:tc>
          <w:tcPr>
            <w:tcW w:w="492" w:type="pct"/>
            <w:vMerge w:val="restart"/>
            <w:shd w:val="clear" w:color="auto" w:fill="auto"/>
            <w:noWrap/>
            <w:vAlign w:val="center"/>
          </w:tcPr>
          <w:p w14:paraId="0961670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植物措施</w:t>
            </w:r>
          </w:p>
        </w:tc>
        <w:tc>
          <w:tcPr>
            <w:tcW w:w="771" w:type="pct"/>
            <w:shd w:val="clear" w:color="auto" w:fill="auto"/>
            <w:noWrap/>
            <w:vAlign w:val="center"/>
          </w:tcPr>
          <w:p w14:paraId="78BAAA18">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景观绿化</w:t>
            </w:r>
          </w:p>
        </w:tc>
        <w:tc>
          <w:tcPr>
            <w:tcW w:w="847" w:type="pct"/>
            <w:shd w:val="clear" w:color="auto" w:fill="auto"/>
            <w:noWrap/>
            <w:vAlign w:val="center"/>
          </w:tcPr>
          <w:p w14:paraId="2C1C5527">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绿化区域</w:t>
            </w:r>
          </w:p>
        </w:tc>
        <w:tc>
          <w:tcPr>
            <w:tcW w:w="1277" w:type="pct"/>
            <w:shd w:val="clear" w:color="auto" w:fill="auto"/>
            <w:noWrap/>
            <w:vAlign w:val="top"/>
          </w:tcPr>
          <w:p w14:paraId="55FB8B83">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2024年10月~2024年12月</w:t>
            </w:r>
          </w:p>
        </w:tc>
        <w:tc>
          <w:tcPr>
            <w:tcW w:w="559" w:type="pct"/>
            <w:shd w:val="clear" w:color="auto" w:fill="auto"/>
            <w:noWrap/>
            <w:vAlign w:val="center"/>
          </w:tcPr>
          <w:p w14:paraId="2E241255">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主体未实施</w:t>
            </w:r>
          </w:p>
        </w:tc>
      </w:tr>
      <w:tr w14:paraId="1C675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07C7565E">
            <w:pPr>
              <w:pStyle w:val="34"/>
              <w:rPr>
                <w:color w:val="000000" w:themeColor="text1"/>
                <w14:textFill>
                  <w14:solidFill>
                    <w14:schemeClr w14:val="tx1"/>
                  </w14:solidFill>
                </w14:textFill>
              </w:rPr>
            </w:pPr>
          </w:p>
        </w:tc>
        <w:tc>
          <w:tcPr>
            <w:tcW w:w="360" w:type="pct"/>
            <w:vMerge w:val="continue"/>
          </w:tcPr>
          <w:p w14:paraId="0549006F">
            <w:pPr>
              <w:pStyle w:val="34"/>
              <w:rPr>
                <w:color w:val="000000" w:themeColor="text1"/>
                <w14:textFill>
                  <w14:solidFill>
                    <w14:schemeClr w14:val="tx1"/>
                  </w14:solidFill>
                </w14:textFill>
              </w:rPr>
            </w:pPr>
          </w:p>
        </w:tc>
        <w:tc>
          <w:tcPr>
            <w:tcW w:w="495" w:type="pct"/>
            <w:vMerge w:val="continue"/>
            <w:shd w:val="clear" w:color="auto" w:fill="auto"/>
            <w:vAlign w:val="center"/>
          </w:tcPr>
          <w:p w14:paraId="5CA26336">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5CC4F3FE">
            <w:pPr>
              <w:pStyle w:val="34"/>
              <w:rPr>
                <w:color w:val="000000" w:themeColor="text1"/>
                <w14:textFill>
                  <w14:solidFill>
                    <w14:schemeClr w14:val="tx1"/>
                  </w14:solidFill>
                </w14:textFill>
              </w:rPr>
            </w:pPr>
          </w:p>
        </w:tc>
        <w:tc>
          <w:tcPr>
            <w:tcW w:w="771" w:type="pct"/>
            <w:shd w:val="clear" w:color="auto" w:fill="auto"/>
            <w:noWrap/>
            <w:vAlign w:val="center"/>
          </w:tcPr>
          <w:p w14:paraId="0AD14E43">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植草沟</w:t>
            </w:r>
          </w:p>
        </w:tc>
        <w:tc>
          <w:tcPr>
            <w:tcW w:w="847" w:type="pct"/>
            <w:shd w:val="clear" w:color="auto" w:fill="auto"/>
            <w:noWrap/>
            <w:vAlign w:val="center"/>
          </w:tcPr>
          <w:p w14:paraId="1AB424E7">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绿化区域</w:t>
            </w:r>
          </w:p>
        </w:tc>
        <w:tc>
          <w:tcPr>
            <w:tcW w:w="1277" w:type="pct"/>
            <w:shd w:val="clear" w:color="auto" w:fill="auto"/>
            <w:noWrap/>
            <w:vAlign w:val="top"/>
          </w:tcPr>
          <w:p w14:paraId="0BF86D1D">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2024年11月~2024年12月</w:t>
            </w:r>
          </w:p>
        </w:tc>
        <w:tc>
          <w:tcPr>
            <w:tcW w:w="559" w:type="pct"/>
            <w:shd w:val="clear" w:color="auto" w:fill="auto"/>
            <w:noWrap/>
            <w:vAlign w:val="center"/>
          </w:tcPr>
          <w:p w14:paraId="547EB80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rPr>
              <w:t>主体未实施</w:t>
            </w:r>
          </w:p>
        </w:tc>
      </w:tr>
      <w:tr w14:paraId="3EF12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43316375">
            <w:pPr>
              <w:pStyle w:val="34"/>
              <w:rPr>
                <w:color w:val="000000" w:themeColor="text1"/>
                <w14:textFill>
                  <w14:solidFill>
                    <w14:schemeClr w14:val="tx1"/>
                  </w14:solidFill>
                </w14:textFill>
              </w:rPr>
            </w:pPr>
          </w:p>
        </w:tc>
        <w:tc>
          <w:tcPr>
            <w:tcW w:w="360" w:type="pct"/>
            <w:vMerge w:val="continue"/>
          </w:tcPr>
          <w:p w14:paraId="58C16029">
            <w:pPr>
              <w:pStyle w:val="34"/>
              <w:rPr>
                <w:color w:val="000000" w:themeColor="text1"/>
                <w14:textFill>
                  <w14:solidFill>
                    <w14:schemeClr w14:val="tx1"/>
                  </w14:solidFill>
                </w14:textFill>
              </w:rPr>
            </w:pPr>
          </w:p>
        </w:tc>
        <w:tc>
          <w:tcPr>
            <w:tcW w:w="495" w:type="pct"/>
            <w:vMerge w:val="continue"/>
            <w:shd w:val="clear" w:color="auto" w:fill="auto"/>
            <w:vAlign w:val="center"/>
          </w:tcPr>
          <w:p w14:paraId="0D92EAE0">
            <w:pPr>
              <w:pStyle w:val="34"/>
              <w:rPr>
                <w:color w:val="000000" w:themeColor="text1"/>
                <w14:textFill>
                  <w14:solidFill>
                    <w14:schemeClr w14:val="tx1"/>
                  </w14:solidFill>
                </w14:textFill>
              </w:rPr>
            </w:pPr>
          </w:p>
        </w:tc>
        <w:tc>
          <w:tcPr>
            <w:tcW w:w="492" w:type="pct"/>
            <w:vMerge w:val="continue"/>
            <w:shd w:val="clear" w:color="auto" w:fill="auto"/>
            <w:noWrap/>
            <w:vAlign w:val="center"/>
          </w:tcPr>
          <w:p w14:paraId="58494F04">
            <w:pPr>
              <w:pStyle w:val="34"/>
              <w:rPr>
                <w:color w:val="000000" w:themeColor="text1"/>
                <w14:textFill>
                  <w14:solidFill>
                    <w14:schemeClr w14:val="tx1"/>
                  </w14:solidFill>
                </w14:textFill>
              </w:rPr>
            </w:pPr>
          </w:p>
        </w:tc>
        <w:tc>
          <w:tcPr>
            <w:tcW w:w="771" w:type="pct"/>
            <w:shd w:val="clear" w:color="auto" w:fill="auto"/>
            <w:noWrap/>
            <w:vAlign w:val="center"/>
          </w:tcPr>
          <w:p w14:paraId="0F693CC6">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抚育管理</w:t>
            </w:r>
          </w:p>
        </w:tc>
        <w:tc>
          <w:tcPr>
            <w:tcW w:w="847" w:type="pct"/>
            <w:shd w:val="clear" w:color="auto" w:fill="auto"/>
            <w:noWrap/>
            <w:vAlign w:val="center"/>
          </w:tcPr>
          <w:p w14:paraId="534D361F">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绿化区域</w:t>
            </w:r>
          </w:p>
        </w:tc>
        <w:tc>
          <w:tcPr>
            <w:tcW w:w="1277" w:type="pct"/>
            <w:shd w:val="clear" w:color="auto" w:fill="auto"/>
            <w:noWrap/>
            <w:vAlign w:val="top"/>
          </w:tcPr>
          <w:p w14:paraId="542213F5">
            <w:pPr>
              <w:pStyle w:val="34"/>
              <w:ind w:firstLine="0" w:firstLineChars="0"/>
              <w:rPr>
                <w:rFonts w:hint="eastAsia" w:ascii="Times New Roman" w:hAnsi="Times New Roman" w:eastAsia="仿宋_GB2312" w:cstheme="minorBidi"/>
                <w:color w:val="000000" w:themeColor="text1"/>
                <w:kern w:val="2"/>
                <w:sz w:val="18"/>
                <w:szCs w:val="21"/>
                <w:highlight w:val="blue"/>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2024年11月~2024年12月</w:t>
            </w:r>
          </w:p>
        </w:tc>
        <w:tc>
          <w:tcPr>
            <w:tcW w:w="559" w:type="pct"/>
            <w:shd w:val="clear" w:color="auto" w:fill="auto"/>
            <w:noWrap/>
            <w:vAlign w:val="center"/>
          </w:tcPr>
          <w:p w14:paraId="3A648FE5">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方案新增</w:t>
            </w:r>
          </w:p>
        </w:tc>
      </w:tr>
      <w:tr w14:paraId="1D081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95" w:type="pct"/>
            <w:vMerge w:val="continue"/>
            <w:shd w:val="clear" w:color="auto" w:fill="auto"/>
            <w:vAlign w:val="center"/>
          </w:tcPr>
          <w:p w14:paraId="43A3E45F">
            <w:pPr>
              <w:pStyle w:val="34"/>
              <w:rPr>
                <w:color w:val="000000" w:themeColor="text1"/>
                <w14:textFill>
                  <w14:solidFill>
                    <w14:schemeClr w14:val="tx1"/>
                  </w14:solidFill>
                </w14:textFill>
              </w:rPr>
            </w:pPr>
          </w:p>
        </w:tc>
        <w:tc>
          <w:tcPr>
            <w:tcW w:w="360" w:type="pct"/>
            <w:vMerge w:val="continue"/>
          </w:tcPr>
          <w:p w14:paraId="017CE3E9">
            <w:pPr>
              <w:pStyle w:val="34"/>
              <w:rPr>
                <w:color w:val="000000" w:themeColor="text1"/>
                <w14:textFill>
                  <w14:solidFill>
                    <w14:schemeClr w14:val="tx1"/>
                  </w14:solidFill>
                </w14:textFill>
              </w:rPr>
            </w:pPr>
          </w:p>
        </w:tc>
        <w:tc>
          <w:tcPr>
            <w:tcW w:w="495" w:type="pct"/>
            <w:vMerge w:val="continue"/>
            <w:shd w:val="clear" w:color="auto" w:fill="auto"/>
            <w:vAlign w:val="center"/>
          </w:tcPr>
          <w:p w14:paraId="2F401B7E">
            <w:pPr>
              <w:pStyle w:val="34"/>
              <w:rPr>
                <w:color w:val="000000" w:themeColor="text1"/>
                <w14:textFill>
                  <w14:solidFill>
                    <w14:schemeClr w14:val="tx1"/>
                  </w14:solidFill>
                </w14:textFill>
              </w:rPr>
            </w:pPr>
          </w:p>
        </w:tc>
        <w:tc>
          <w:tcPr>
            <w:tcW w:w="492" w:type="pct"/>
            <w:shd w:val="clear" w:color="auto" w:fill="auto"/>
            <w:noWrap/>
            <w:vAlign w:val="center"/>
          </w:tcPr>
          <w:p w14:paraId="496B6CF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临时措施</w:t>
            </w:r>
          </w:p>
        </w:tc>
        <w:tc>
          <w:tcPr>
            <w:tcW w:w="771" w:type="pct"/>
            <w:shd w:val="clear" w:color="auto" w:fill="auto"/>
            <w:noWrap/>
            <w:vAlign w:val="center"/>
          </w:tcPr>
          <w:p w14:paraId="393F396C">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密目网</w:t>
            </w:r>
            <w:r>
              <w:rPr>
                <w:color w:val="000000" w:themeColor="text1"/>
                <w14:textFill>
                  <w14:solidFill>
                    <w14:schemeClr w14:val="tx1"/>
                  </w14:solidFill>
                </w14:textFill>
              </w:rPr>
              <w:t>苫盖</w:t>
            </w:r>
          </w:p>
        </w:tc>
        <w:tc>
          <w:tcPr>
            <w:tcW w:w="847" w:type="pct"/>
            <w:shd w:val="clear" w:color="auto" w:fill="auto"/>
            <w:noWrap/>
            <w:vAlign w:val="center"/>
          </w:tcPr>
          <w:p w14:paraId="498ABA8D">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绿化周围</w:t>
            </w:r>
            <w:r>
              <w:rPr>
                <w:color w:val="000000" w:themeColor="text1"/>
                <w14:textFill>
                  <w14:solidFill>
                    <w14:schemeClr w14:val="tx1"/>
                  </w14:solidFill>
                </w14:textFill>
              </w:rPr>
              <w:t>裸露区域</w:t>
            </w:r>
          </w:p>
        </w:tc>
        <w:tc>
          <w:tcPr>
            <w:tcW w:w="1277" w:type="pct"/>
            <w:shd w:val="clear" w:color="auto" w:fill="auto"/>
            <w:noWrap/>
            <w:vAlign w:val="center"/>
          </w:tcPr>
          <w:p w14:paraId="6A2396A6">
            <w:pPr>
              <w:pStyle w:val="34"/>
              <w:ind w:firstLine="0" w:firstLineChars="0"/>
              <w:rPr>
                <w:rFonts w:hint="eastAsia" w:ascii="Times New Roman" w:hAnsi="Times New Roman" w:eastAsia="仿宋_GB2312" w:cstheme="minorBidi"/>
                <w:color w:val="000000" w:themeColor="text1"/>
                <w:kern w:val="2"/>
                <w:sz w:val="18"/>
                <w:szCs w:val="21"/>
                <w:highlight w:val="green"/>
                <w:lang w:val="en-US" w:eastAsia="zh-CN" w:bidi="ar-SA"/>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2024年10月~2024年12月</w:t>
            </w:r>
          </w:p>
        </w:tc>
        <w:tc>
          <w:tcPr>
            <w:tcW w:w="559" w:type="pct"/>
            <w:shd w:val="clear" w:color="auto" w:fill="auto"/>
            <w:noWrap/>
            <w:vAlign w:val="center"/>
          </w:tcPr>
          <w:p w14:paraId="72575FEE">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方案新增</w:t>
            </w:r>
          </w:p>
        </w:tc>
      </w:tr>
      <w:bookmarkEnd w:id="106"/>
    </w:tbl>
    <w:p w14:paraId="71632CB9">
      <w:pPr>
        <w:ind w:firstLine="0" w:firstLineChars="0"/>
        <w:rPr>
          <w:color w:val="000000" w:themeColor="text1"/>
          <w14:textFill>
            <w14:solidFill>
              <w14:schemeClr w14:val="tx1"/>
            </w14:solidFill>
          </w14:textFill>
        </w:rPr>
      </w:pPr>
    </w:p>
    <w:p w14:paraId="0F8A77DE">
      <w:pPr>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5266690" cy="2963545"/>
            <wp:effectExtent l="0" t="0" r="10160" b="8255"/>
            <wp:docPr id="4" name="图片 4" descr="水土流失防治体系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水土流失防治体系_01"/>
                    <pic:cNvPicPr>
                      <a:picLocks noChangeAspect="1"/>
                    </pic:cNvPicPr>
                  </pic:nvPicPr>
                  <pic:blipFill>
                    <a:blip r:embed="rId71"/>
                    <a:stretch>
                      <a:fillRect/>
                    </a:stretch>
                  </pic:blipFill>
                  <pic:spPr>
                    <a:xfrm>
                      <a:off x="0" y="0"/>
                      <a:ext cx="5266690" cy="2963545"/>
                    </a:xfrm>
                    <a:prstGeom prst="rect">
                      <a:avLst/>
                    </a:prstGeom>
                  </pic:spPr>
                </pic:pic>
              </a:graphicData>
            </a:graphic>
          </wp:inline>
        </w:drawing>
      </w:r>
    </w:p>
    <w:p w14:paraId="4E252ABB">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图5.2-1   水土流失防治体系框图</w:t>
      </w:r>
    </w:p>
    <w:p w14:paraId="02E532C9">
      <w:pPr>
        <w:pStyle w:val="3"/>
        <w:rPr>
          <w:color w:val="000000" w:themeColor="text1"/>
          <w14:textFill>
            <w14:solidFill>
              <w14:schemeClr w14:val="tx1"/>
            </w14:solidFill>
          </w14:textFill>
        </w:rPr>
      </w:pPr>
      <w:bookmarkStart w:id="107" w:name="_Toc29324"/>
      <w:r>
        <w:rPr>
          <w:rFonts w:hint="eastAsia"/>
          <w:color w:val="000000" w:themeColor="text1"/>
          <w14:textFill>
            <w14:solidFill>
              <w14:schemeClr w14:val="tx1"/>
            </w14:solidFill>
          </w14:textFill>
        </w:rPr>
        <w:t>5.3 措施设计标准</w:t>
      </w:r>
      <w:bookmarkEnd w:id="107"/>
    </w:p>
    <w:p w14:paraId="2DD9FD3F">
      <w:pPr>
        <w:pStyle w:val="4"/>
        <w:rPr>
          <w:color w:val="000000" w:themeColor="text1"/>
          <w14:textFill>
            <w14:solidFill>
              <w14:schemeClr w14:val="tx1"/>
            </w14:solidFill>
          </w14:textFill>
        </w:rPr>
      </w:pPr>
      <w:r>
        <w:rPr>
          <w:color w:val="000000" w:themeColor="text1"/>
          <w14:textFill>
            <w14:solidFill>
              <w14:schemeClr w14:val="tx1"/>
            </w14:solidFill>
          </w14:textFill>
        </w:rPr>
        <w:t>5.3.</w:t>
      </w:r>
      <w:r>
        <w:rPr>
          <w:rFonts w:hint="eastAsia"/>
          <w:color w:val="000000" w:themeColor="text1"/>
          <w14:textFill>
            <w14:solidFill>
              <w14:schemeClr w14:val="tx1"/>
            </w14:solidFill>
          </w14:textFill>
        </w:rPr>
        <w:t xml:space="preserve">1 </w:t>
      </w:r>
      <w:r>
        <w:rPr>
          <w:color w:val="000000" w:themeColor="text1"/>
          <w14:textFill>
            <w14:solidFill>
              <w14:schemeClr w14:val="tx1"/>
            </w14:solidFill>
          </w14:textFill>
        </w:rPr>
        <w:t>工程措施设计标准及原则</w:t>
      </w:r>
    </w:p>
    <w:p w14:paraId="1ED52485">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）对于主体工程具有水土保持功能的工程，</w:t>
      </w:r>
      <w:r>
        <w:rPr>
          <w:rFonts w:hint="eastAsia"/>
          <w:color w:val="000000" w:themeColor="text1"/>
          <w14:textFill>
            <w14:solidFill>
              <w14:schemeClr w14:val="tx1"/>
            </w14:solidFill>
          </w14:textFill>
        </w:rPr>
        <w:t>符合水土保持要求，</w:t>
      </w:r>
      <w:r>
        <w:rPr>
          <w:color w:val="000000" w:themeColor="text1"/>
          <w14:textFill>
            <w14:solidFill>
              <w14:schemeClr w14:val="tx1"/>
            </w14:solidFill>
          </w14:textFill>
        </w:rPr>
        <w:t>在方案编制中不重新设计</w:t>
      </w:r>
      <w:r>
        <w:rPr>
          <w:rFonts w:hint="eastAsia"/>
          <w:color w:val="000000" w:themeColor="text1"/>
          <w14:textFill>
            <w14:solidFill>
              <w14:schemeClr w14:val="tx1"/>
            </w14:solidFill>
          </w14:textFill>
        </w:rPr>
        <w:t>。</w:t>
      </w:r>
    </w:p>
    <w:p w14:paraId="71E6C97F">
      <w:pPr>
        <w:ind w:firstLine="480"/>
        <w:rPr>
          <w:color w:val="000000" w:themeColor="text1"/>
          <w14:textFill>
            <w14:solidFill>
              <w14:schemeClr w14:val="tx1"/>
            </w14:solidFill>
          </w14:textFill>
        </w:rPr>
      </w:pPr>
      <w:r>
        <w:rPr>
          <w:color w:val="000000" w:themeColor="text1"/>
          <w14:textFill>
            <w14:solidFill>
              <w14:schemeClr w14:val="tx1"/>
            </w14:solidFill>
          </w14:textFill>
        </w:rPr>
        <w:t>（2）在主体工程之外规划的水土保持工程，设计时以安全、经济、水土保持效果好为原则；</w:t>
      </w:r>
    </w:p>
    <w:p w14:paraId="3DCCFC68">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）设计采用的技术标准为《生产建设项目水土保持技术标准》（GB50433-2018）、《水土保持工程设计规范》（GB51018-2014），同时参照水利部和相关行业有关的技术规范，工程设计满足有关技术规范的要求。</w:t>
      </w:r>
    </w:p>
    <w:p w14:paraId="7BFBF194">
      <w:pPr>
        <w:pStyle w:val="4"/>
        <w:rPr>
          <w:color w:val="000000" w:themeColor="text1"/>
          <w14:textFill>
            <w14:solidFill>
              <w14:schemeClr w14:val="tx1"/>
            </w14:solidFill>
          </w14:textFill>
        </w:rPr>
      </w:pPr>
      <w:r>
        <w:rPr>
          <w:color w:val="000000" w:themeColor="text1"/>
          <w14:textFill>
            <w14:solidFill>
              <w14:schemeClr w14:val="tx1"/>
            </w14:solidFill>
          </w14:textFill>
        </w:rPr>
        <w:t>5.3.</w:t>
      </w:r>
      <w:r>
        <w:rPr>
          <w:rFonts w:hint="eastAsia"/>
          <w:color w:val="000000" w:themeColor="text1"/>
          <w14:textFill>
            <w14:solidFill>
              <w14:schemeClr w14:val="tx1"/>
            </w14:solidFill>
          </w14:textFill>
        </w:rPr>
        <w:t xml:space="preserve">2 </w:t>
      </w:r>
      <w:r>
        <w:rPr>
          <w:color w:val="000000" w:themeColor="text1"/>
          <w14:textFill>
            <w14:solidFill>
              <w14:schemeClr w14:val="tx1"/>
            </w14:solidFill>
          </w14:textFill>
        </w:rPr>
        <w:t>植物措施技术和质量要求</w:t>
      </w:r>
    </w:p>
    <w:p w14:paraId="0B6FA5C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景观绿化：</w:t>
      </w:r>
      <w:r>
        <w:rPr>
          <w:color w:val="000000" w:themeColor="text1"/>
          <w14:textFill>
            <w14:solidFill>
              <w14:schemeClr w14:val="tx1"/>
            </w14:solidFill>
          </w14:textFill>
        </w:rPr>
        <w:t>根据《水土保持工程设计规范》（GB 51018-2014），植被恢复级别采用1级</w:t>
      </w:r>
      <w:r>
        <w:rPr>
          <w:rFonts w:hint="eastAsia"/>
          <w:color w:val="000000" w:themeColor="text1"/>
          <w14:textFill>
            <w14:solidFill>
              <w14:schemeClr w14:val="tx1"/>
            </w14:solidFill>
          </w14:textFill>
        </w:rPr>
        <w:t>，按照园林绿化工程标准执行。绿化部分实行单独专业分包招标，由专业绿化公司实施。</w:t>
      </w:r>
    </w:p>
    <w:p w14:paraId="5537125D">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5.3.3 临时措施设计标准</w:t>
      </w:r>
    </w:p>
    <w:p w14:paraId="3CC86289">
      <w:pPr>
        <w:ind w:firstLine="480"/>
        <w:rPr>
          <w:color w:val="000000" w:themeColor="text1"/>
          <w14:textFill>
            <w14:solidFill>
              <w14:schemeClr w14:val="tx1"/>
            </w14:solidFill>
          </w14:textFill>
        </w:rPr>
      </w:pPr>
      <w:r>
        <w:rPr>
          <w:color w:val="000000" w:themeColor="text1"/>
          <w14:textFill>
            <w14:solidFill>
              <w14:schemeClr w14:val="tx1"/>
            </w14:solidFill>
          </w14:textFill>
        </w:rPr>
        <w:t>临时排水沟：临时排水沟采用5年一遇10min暴雨强度的洪水标准。</w:t>
      </w:r>
    </w:p>
    <w:p w14:paraId="6E78F90F">
      <w:pPr>
        <w:pStyle w:val="3"/>
        <w:rPr>
          <w:color w:val="000000" w:themeColor="text1"/>
          <w14:textFill>
            <w14:solidFill>
              <w14:schemeClr w14:val="tx1"/>
            </w14:solidFill>
          </w14:textFill>
        </w:rPr>
      </w:pPr>
      <w:bookmarkStart w:id="108" w:name="_Toc8258"/>
      <w:r>
        <w:rPr>
          <w:rFonts w:hint="eastAsia"/>
          <w:color w:val="000000" w:themeColor="text1"/>
          <w14:textFill>
            <w14:solidFill>
              <w14:schemeClr w14:val="tx1"/>
            </w14:solidFill>
          </w14:textFill>
        </w:rPr>
        <w:t>5.4分区措施布设</w:t>
      </w:r>
      <w:bookmarkEnd w:id="108"/>
    </w:p>
    <w:p w14:paraId="31F7A5BE">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5.4.1地下工程区</w:t>
      </w:r>
    </w:p>
    <w:p w14:paraId="049E3614">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.4.1.1</w:t>
      </w:r>
      <w:r>
        <w:rPr>
          <w:rFonts w:hint="eastAsia"/>
          <w:color w:val="000000" w:themeColor="text1"/>
          <w14:textFill>
            <w14:solidFill>
              <w14:schemeClr w14:val="tx1"/>
            </w14:solidFill>
          </w14:textFill>
        </w:rPr>
        <w:t>临时措施</w:t>
      </w:r>
    </w:p>
    <w:p w14:paraId="448D5EC1">
      <w:pPr>
        <w:widowControl/>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、坑顶截水沟、沉沙池（主体已实施）</w:t>
      </w:r>
    </w:p>
    <w:p w14:paraId="651D9C02">
      <w:pPr>
        <w:widowControl/>
        <w:ind w:firstLine="480"/>
        <w:rPr>
          <w:rFonts w:hint="eastAsia"/>
          <w:bCs/>
          <w:snapToGrid w:val="0"/>
          <w:color w:val="000000" w:themeColor="text1"/>
          <w:lang w:eastAsia="zh-CN"/>
          <w14:textFill>
            <w14:solidFill>
              <w14:schemeClr w14:val="tx1"/>
            </w14:solidFill>
          </w14:textFill>
        </w:rPr>
      </w:pPr>
      <w:r>
        <w:rPr>
          <w:rFonts w:hint="eastAsia"/>
          <w:bCs/>
          <w:snapToGrid w:val="0"/>
          <w:color w:val="000000" w:themeColor="text1"/>
          <w14:textFill>
            <w14:solidFill>
              <w14:schemeClr w14:val="tx1"/>
            </w14:solidFill>
          </w14:textFill>
        </w:rPr>
        <w:t>在坑顶设置截水沟及临时沉沙池，在基坑开挖线外1m处开挖建设</w:t>
      </w:r>
      <w:r>
        <w:rPr>
          <w:rFonts w:hint="eastAsia"/>
          <w:bCs/>
          <w:snapToGrid w:val="0"/>
          <w:color w:val="000000" w:themeColor="text1"/>
          <w:lang w:eastAsia="zh-CN"/>
          <w14:textFill>
            <w14:solidFill>
              <w14:schemeClr w14:val="tx1"/>
            </w14:solidFill>
          </w14:textFill>
        </w:rPr>
        <w:t>，</w:t>
      </w:r>
      <w:r>
        <w:rPr>
          <w:rFonts w:hint="eastAsia"/>
          <w:bCs/>
          <w:snapToGrid w:val="0"/>
          <w:color w:val="000000" w:themeColor="text1"/>
          <w14:textFill>
            <w14:solidFill>
              <w14:schemeClr w14:val="tx1"/>
            </w14:solidFill>
          </w14:textFill>
        </w:rPr>
        <w:t>坑顶设置</w:t>
      </w:r>
      <w:r>
        <w:rPr>
          <w:bCs/>
          <w:snapToGrid w:val="0"/>
          <w:color w:val="000000" w:themeColor="text1"/>
          <w14:textFill>
            <w14:solidFill>
              <w14:schemeClr w14:val="tx1"/>
            </w14:solidFill>
          </w14:textFill>
        </w:rPr>
        <w:t>截水沟</w:t>
      </w:r>
      <w:r>
        <w:rPr>
          <w:rFonts w:hint="eastAsia"/>
          <w:bCs/>
          <w:snapToGrid w:val="0"/>
          <w:color w:val="000000" w:themeColor="text1"/>
          <w14:textFill>
            <w14:solidFill>
              <w14:schemeClr w14:val="tx1"/>
            </w14:solidFill>
          </w14:textFill>
        </w:rPr>
        <w:t>276.3m，截水沟采用砌砖，矩形断面，</w:t>
      </w:r>
      <w:r>
        <w:rPr>
          <w:rFonts w:hint="eastAsia"/>
          <w:snapToGrid w:val="0"/>
          <w:color w:val="000000" w:themeColor="text1"/>
          <w14:textFill>
            <w14:solidFill>
              <w14:schemeClr w14:val="tx1"/>
            </w14:solidFill>
          </w14:textFill>
        </w:rPr>
        <w:t>MU7.5普通砖砌</w:t>
      </w:r>
      <w:r>
        <w:rPr>
          <w:rFonts w:hint="eastAsia"/>
          <w:bCs/>
          <w:snapToGrid w:val="0"/>
          <w:color w:val="000000" w:themeColor="text1"/>
          <w:lang w:eastAsia="zh-CN"/>
          <w14:textFill>
            <w14:solidFill>
              <w14:schemeClr w14:val="tx1"/>
            </w14:solidFill>
          </w14:textFill>
        </w:rPr>
        <w:t>，</w:t>
      </w:r>
      <w:r>
        <w:rPr>
          <w:rFonts w:hint="eastAsia"/>
          <w:bCs/>
          <w:snapToGrid w:val="0"/>
          <w:color w:val="000000" w:themeColor="text1"/>
          <w14:textFill>
            <w14:solidFill>
              <w14:schemeClr w14:val="tx1"/>
            </w14:solidFill>
          </w14:textFill>
        </w:rPr>
        <w:t>断面尺寸为净宽0.40m×净深0.40m，</w:t>
      </w:r>
      <w:r>
        <w:rPr>
          <w:rFonts w:hint="eastAsia"/>
          <w:snapToGrid w:val="0"/>
          <w:color w:val="000000" w:themeColor="text1"/>
          <w14:textFill>
            <w14:solidFill>
              <w14:schemeClr w14:val="tx1"/>
            </w14:solidFill>
          </w14:textFill>
        </w:rPr>
        <w:t>按5年一遇 10min 暴雨强度进行设计，沟底比降结合地形布置，平均沟底比降0.4%—0.7%</w:t>
      </w:r>
      <w:r>
        <w:rPr>
          <w:rFonts w:hint="eastAsia"/>
          <w:bCs/>
          <w:snapToGrid w:val="0"/>
          <w:color w:val="000000" w:themeColor="text1"/>
          <w:lang w:eastAsia="zh-CN"/>
          <w14:textFill>
            <w14:solidFill>
              <w14:schemeClr w14:val="tx1"/>
            </w14:solidFill>
          </w14:textFill>
        </w:rPr>
        <w:t>，</w:t>
      </w:r>
      <w:r>
        <w:rPr>
          <w:rFonts w:hint="eastAsia"/>
          <w:snapToGrid w:val="0"/>
          <w:color w:val="000000" w:themeColor="text1"/>
          <w14:textFill>
            <w14:solidFill>
              <w14:schemeClr w14:val="tx1"/>
            </w14:solidFill>
          </w14:textFill>
        </w:rPr>
        <w:t>施工结束后拆除。</w:t>
      </w:r>
    </w:p>
    <w:p w14:paraId="4FFDADA4">
      <w:pPr>
        <w:widowControl/>
        <w:ind w:firstLine="480"/>
        <w:rPr>
          <w:bCs/>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在截水沟转角位置</w:t>
      </w:r>
      <w:r>
        <w:rPr>
          <w:rFonts w:hint="eastAsia"/>
          <w:bCs/>
          <w:snapToGrid w:val="0"/>
          <w:color w:val="000000" w:themeColor="text1"/>
          <w:lang w:eastAsia="zh-CN"/>
          <w14:textFill>
            <w14:solidFill>
              <w14:schemeClr w14:val="tx1"/>
            </w14:solidFill>
          </w14:textFill>
        </w:rPr>
        <w:t>，设置</w:t>
      </w:r>
      <w:r>
        <w:rPr>
          <w:rFonts w:hint="eastAsia"/>
          <w:bCs/>
          <w:snapToGrid w:val="0"/>
          <w:color w:val="000000" w:themeColor="text1"/>
          <w14:textFill>
            <w14:solidFill>
              <w14:schemeClr w14:val="tx1"/>
            </w14:solidFill>
          </w14:textFill>
        </w:rPr>
        <w:t>临时沉沙池采用砖砌，沉沙池底长1.50m，底宽1.00m，深1.05m，</w:t>
      </w:r>
      <w:r>
        <w:rPr>
          <w:bCs/>
          <w:snapToGrid w:val="0"/>
          <w:color w:val="000000" w:themeColor="text1"/>
          <w14:textFill>
            <w14:solidFill>
              <w14:schemeClr w14:val="tx1"/>
            </w14:solidFill>
          </w14:textFill>
        </w:rPr>
        <w:t>临时</w:t>
      </w:r>
      <w:r>
        <w:rPr>
          <w:rFonts w:hint="eastAsia"/>
          <w:bCs/>
          <w:snapToGrid w:val="0"/>
          <w:color w:val="000000" w:themeColor="text1"/>
          <w14:textFill>
            <w14:solidFill>
              <w14:schemeClr w14:val="tx1"/>
            </w14:solidFill>
          </w14:textFill>
        </w:rPr>
        <w:t>沉沙池合计2个。</w:t>
      </w:r>
    </w:p>
    <w:p w14:paraId="715CD53A">
      <w:pPr>
        <w:ind w:firstLine="482"/>
        <w:rPr>
          <w:b/>
          <w:snapToGrid w:val="0"/>
          <w:color w:val="000000" w:themeColor="text1"/>
          <w14:textFill>
            <w14:solidFill>
              <w14:schemeClr w14:val="tx1"/>
            </w14:solidFill>
          </w14:textFill>
        </w:rPr>
      </w:pPr>
      <w:r>
        <w:rPr>
          <w:rFonts w:hint="eastAsia"/>
          <w:b/>
          <w:snapToGrid w:val="0"/>
          <w:color w:val="000000" w:themeColor="text1"/>
          <w14:textFill>
            <w14:solidFill>
              <w14:schemeClr w14:val="tx1"/>
            </w14:solidFill>
          </w14:textFill>
        </w:rPr>
        <w:t>截水沟过流能力复核：</w:t>
      </w:r>
    </w:p>
    <w:p w14:paraId="116CFDE5">
      <w:pPr>
        <w:ind w:firstLine="480"/>
        <w:rPr>
          <w:bCs/>
          <w:snapToGrid w:val="0"/>
          <w:color w:val="000000" w:themeColor="text1"/>
          <w14:textFill>
            <w14:solidFill>
              <w14:schemeClr w14:val="tx1"/>
            </w14:solidFill>
          </w14:textFill>
        </w:rPr>
      </w:pPr>
      <w:r>
        <w:rPr>
          <w:rFonts w:hint="eastAsia"/>
          <w:bCs/>
          <w:snapToGrid w:val="0"/>
          <w:color w:val="000000" w:themeColor="text1"/>
          <w14:textFill>
            <w14:solidFill>
              <w14:schemeClr w14:val="tx1"/>
            </w14:solidFill>
          </w14:textFill>
        </w:rPr>
        <w:t>本方案对主体工程设计的地下室基坑坑顶的截水沟过流能力进行复核，暴雨洪水按</w:t>
      </w:r>
      <w:r>
        <w:rPr>
          <w:bCs/>
          <w:snapToGrid w:val="0"/>
          <w:color w:val="000000" w:themeColor="text1"/>
          <w14:textFill>
            <w14:solidFill>
              <w14:schemeClr w14:val="tx1"/>
            </w14:solidFill>
          </w14:textFill>
        </w:rPr>
        <w:t>5</w:t>
      </w:r>
      <w:r>
        <w:rPr>
          <w:rFonts w:hint="eastAsia"/>
          <w:bCs/>
          <w:snapToGrid w:val="0"/>
          <w:color w:val="000000" w:themeColor="text1"/>
          <w14:textFill>
            <w14:solidFill>
              <w14:schemeClr w14:val="tx1"/>
            </w14:solidFill>
          </w14:textFill>
        </w:rPr>
        <w:t>年一遇最大10min短历时降雨对其过流能力进行复核，计算情况详见下表。</w:t>
      </w:r>
    </w:p>
    <w:p w14:paraId="1D54FC5B">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（1）设计暴雨流量</w:t>
      </w:r>
    </w:p>
    <w:p w14:paraId="6061F172">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考虑到临时建构筑物工程区、地下工程区截、排水沟均分区域排水，汇水面积重复，本方案建、构筑物工程区分区汇水面积均取0.0</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45km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，坡面洪峰流量计算按下式计算：</w:t>
      </w:r>
    </w:p>
    <w:p w14:paraId="287879B5">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Q=16.67φqF</w:t>
      </w:r>
    </w:p>
    <w:p w14:paraId="30E1DFAF">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式中：Q——坡面洪峰流量（m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w:t>
      </w:r>
    </w:p>
    <w:p w14:paraId="644F08A0">
      <w:pPr>
        <w:ind w:firstLine="1200" w:firstLineChars="5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φ——径流系数，根据本项目地面实际情况按照加权平均取0.8</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p>
    <w:p w14:paraId="470AC9FA">
      <w:pPr>
        <w:ind w:firstLine="1274" w:firstLineChars="531"/>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q——设计重现期和降雨历时内平均降雨强度（mm/min），本项目取</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年一遇10 min；根据绵阳市暴雨强度公式计算</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w:t>
      </w:r>
      <w:r>
        <w:rPr>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1.68mm/min</w:t>
      </w:r>
      <w:r>
        <w:rPr>
          <w:rFonts w:hint="eastAsia"/>
          <w:color w:val="000000" w:themeColor="text1"/>
          <w14:textFill>
            <w14:solidFill>
              <w14:schemeClr w14:val="tx1"/>
            </w14:solidFill>
          </w14:textFill>
        </w:rPr>
        <w:t>；绵阳市暴雨强度公式如下：</w:t>
      </w:r>
    </w:p>
    <w:p w14:paraId="03F34C39">
      <w:pPr>
        <w:ind w:firstLine="1274" w:firstLineChars="531"/>
        <w:jc w:val="left"/>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402080" cy="358140"/>
            <wp:effectExtent l="19050" t="19050" r="26670" b="2286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72"/>
                    <a:stretch>
                      <a:fillRect/>
                    </a:stretch>
                  </pic:blipFill>
                  <pic:spPr>
                    <a:xfrm>
                      <a:off x="0" y="0"/>
                      <a:ext cx="1402202" cy="358171"/>
                    </a:xfrm>
                    <a:prstGeom prst="rect">
                      <a:avLst/>
                    </a:prstGeom>
                    <a:ln>
                      <a:solidFill>
                        <a:schemeClr val="tx1"/>
                      </a:solidFill>
                    </a:ln>
                  </pic:spPr>
                </pic:pic>
              </a:graphicData>
            </a:graphic>
          </wp:inline>
        </w:drawing>
      </w:r>
    </w:p>
    <w:p w14:paraId="27BFD65D">
      <w:pPr>
        <w:ind w:firstLine="1274" w:firstLineChars="531"/>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F——坡面汇水面积（km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058F7558">
      <w:pPr>
        <w:pStyle w:val="33"/>
        <w:ind w:firstLine="632" w:firstLineChars="30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设计暴雨洪峰流量计算表</w:t>
      </w:r>
    </w:p>
    <w:tbl>
      <w:tblPr>
        <w:tblStyle w:val="27"/>
        <w:tblW w:w="77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780"/>
        <w:gridCol w:w="1249"/>
        <w:gridCol w:w="1094"/>
        <w:gridCol w:w="1249"/>
        <w:gridCol w:w="936"/>
        <w:gridCol w:w="1251"/>
      </w:tblGrid>
      <w:tr w14:paraId="2664A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3" w:type="dxa"/>
            <w:vMerge w:val="restart"/>
            <w:vAlign w:val="center"/>
          </w:tcPr>
          <w:p w14:paraId="6B95765A">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汇水面积（k</w:t>
            </w:r>
            <w:r>
              <w:rPr>
                <w:color w:val="000000" w:themeColor="text1"/>
                <w:sz w:val="18"/>
                <w:szCs w:val="18"/>
                <w14:textFill>
                  <w14:solidFill>
                    <w14:schemeClr w14:val="tx1"/>
                  </w14:solidFill>
                </w14:textFill>
              </w:rPr>
              <w:t>m</w:t>
            </w:r>
            <w:r>
              <w:rPr>
                <w:color w:val="000000" w:themeColor="text1"/>
                <w:sz w:val="18"/>
                <w:szCs w:val="18"/>
                <w:vertAlign w:val="superscript"/>
                <w14:textFill>
                  <w14:solidFill>
                    <w14:schemeClr w14:val="tx1"/>
                  </w14:solidFill>
                </w14:textFill>
              </w:rPr>
              <w:t>2</w:t>
            </w:r>
            <w:r>
              <w:rPr>
                <w:rFonts w:hint="eastAsia"/>
                <w:color w:val="000000" w:themeColor="text1"/>
                <w:sz w:val="18"/>
                <w:szCs w:val="18"/>
                <w14:textFill>
                  <w14:solidFill>
                    <w14:schemeClr w14:val="tx1"/>
                  </w14:solidFill>
                </w14:textFill>
              </w:rPr>
              <w:t>）</w:t>
            </w:r>
          </w:p>
        </w:tc>
        <w:tc>
          <w:tcPr>
            <w:tcW w:w="780" w:type="dxa"/>
            <w:vMerge w:val="restart"/>
            <w:vAlign w:val="center"/>
          </w:tcPr>
          <w:p w14:paraId="5FEA3C2D">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径流系数</w:t>
            </w:r>
          </w:p>
        </w:tc>
        <w:tc>
          <w:tcPr>
            <w:tcW w:w="1249" w:type="dxa"/>
            <w:vMerge w:val="restart"/>
            <w:vAlign w:val="center"/>
          </w:tcPr>
          <w:p w14:paraId="38137053">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标准降雨强度(q</w:t>
            </w:r>
            <w:r>
              <w:rPr>
                <w:color w:val="000000" w:themeColor="text1"/>
                <w:sz w:val="18"/>
                <w:szCs w:val="18"/>
                <w:vertAlign w:val="subscript"/>
                <w14:textFill>
                  <w14:solidFill>
                    <w14:schemeClr w14:val="tx1"/>
                  </w14:solidFill>
                </w14:textFill>
              </w:rPr>
              <w:t>5,</w:t>
            </w:r>
            <w:r>
              <w:rPr>
                <w:rFonts w:hint="eastAsia"/>
                <w:color w:val="000000" w:themeColor="text1"/>
                <w:sz w:val="18"/>
                <w:szCs w:val="18"/>
                <w:vertAlign w:val="subscript"/>
                <w14:textFill>
                  <w14:solidFill>
                    <w14:schemeClr w14:val="tx1"/>
                  </w14:solidFill>
                </w14:textFill>
              </w:rPr>
              <w:t>10</w:t>
            </w:r>
            <w:r>
              <w:rPr>
                <w:color w:val="000000" w:themeColor="text1"/>
                <w:sz w:val="18"/>
                <w:szCs w:val="18"/>
                <w14:textFill>
                  <w14:solidFill>
                    <w14:schemeClr w14:val="tx1"/>
                  </w14:solidFill>
                </w14:textFill>
              </w:rPr>
              <w:t>)</w:t>
            </w:r>
          </w:p>
        </w:tc>
        <w:tc>
          <w:tcPr>
            <w:tcW w:w="4530" w:type="dxa"/>
            <w:gridSpan w:val="4"/>
            <w:vAlign w:val="center"/>
          </w:tcPr>
          <w:p w14:paraId="5CC90228">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5年一遇</w:t>
            </w:r>
          </w:p>
        </w:tc>
      </w:tr>
      <w:tr w14:paraId="28158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1213" w:type="dxa"/>
            <w:vMerge w:val="continue"/>
          </w:tcPr>
          <w:p w14:paraId="7EAE7162">
            <w:pPr>
              <w:ind w:firstLine="0" w:firstLineChars="0"/>
              <w:jc w:val="left"/>
              <w:rPr>
                <w:color w:val="000000" w:themeColor="text1"/>
                <w:sz w:val="18"/>
                <w:szCs w:val="18"/>
                <w14:textFill>
                  <w14:solidFill>
                    <w14:schemeClr w14:val="tx1"/>
                  </w14:solidFill>
                </w14:textFill>
              </w:rPr>
            </w:pPr>
          </w:p>
        </w:tc>
        <w:tc>
          <w:tcPr>
            <w:tcW w:w="780" w:type="dxa"/>
            <w:vMerge w:val="continue"/>
          </w:tcPr>
          <w:p w14:paraId="0540B3AB">
            <w:pPr>
              <w:ind w:firstLine="0" w:firstLineChars="0"/>
              <w:jc w:val="left"/>
              <w:rPr>
                <w:color w:val="000000" w:themeColor="text1"/>
                <w:sz w:val="18"/>
                <w:szCs w:val="18"/>
                <w14:textFill>
                  <w14:solidFill>
                    <w14:schemeClr w14:val="tx1"/>
                  </w14:solidFill>
                </w14:textFill>
              </w:rPr>
            </w:pPr>
          </w:p>
        </w:tc>
        <w:tc>
          <w:tcPr>
            <w:tcW w:w="1249" w:type="dxa"/>
            <w:vMerge w:val="continue"/>
          </w:tcPr>
          <w:p w14:paraId="1E394C5D">
            <w:pPr>
              <w:ind w:firstLine="0" w:firstLineChars="0"/>
              <w:jc w:val="left"/>
              <w:rPr>
                <w:color w:val="000000" w:themeColor="text1"/>
                <w:sz w:val="18"/>
                <w:szCs w:val="18"/>
                <w14:textFill>
                  <w14:solidFill>
                    <w14:schemeClr w14:val="tx1"/>
                  </w14:solidFill>
                </w14:textFill>
              </w:rPr>
            </w:pPr>
          </w:p>
        </w:tc>
        <w:tc>
          <w:tcPr>
            <w:tcW w:w="1094" w:type="dxa"/>
            <w:vAlign w:val="center"/>
          </w:tcPr>
          <w:p w14:paraId="173349D4">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重现期转化系数</w:t>
            </w:r>
          </w:p>
        </w:tc>
        <w:tc>
          <w:tcPr>
            <w:tcW w:w="1249" w:type="dxa"/>
            <w:vAlign w:val="center"/>
          </w:tcPr>
          <w:p w14:paraId="25A40CC7">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降雨历时转换系数</w:t>
            </w:r>
          </w:p>
        </w:tc>
        <w:tc>
          <w:tcPr>
            <w:tcW w:w="936" w:type="dxa"/>
            <w:vAlign w:val="center"/>
          </w:tcPr>
          <w:p w14:paraId="218B0211">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计算降雨强度</w:t>
            </w:r>
          </w:p>
        </w:tc>
        <w:tc>
          <w:tcPr>
            <w:tcW w:w="1249" w:type="dxa"/>
            <w:vAlign w:val="center"/>
          </w:tcPr>
          <w:p w14:paraId="6CDAFC7F">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洪水流量（m</w:t>
            </w:r>
            <w:r>
              <w:rPr>
                <w:color w:val="000000" w:themeColor="text1"/>
                <w:sz w:val="18"/>
                <w:szCs w:val="18"/>
                <w:vertAlign w:val="superscript"/>
                <w14:textFill>
                  <w14:solidFill>
                    <w14:schemeClr w14:val="tx1"/>
                  </w14:solidFill>
                </w14:textFill>
              </w:rPr>
              <w:t>3</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S</w:t>
            </w:r>
            <w:r>
              <w:rPr>
                <w:rFonts w:hint="eastAsia"/>
                <w:color w:val="000000" w:themeColor="text1"/>
                <w:sz w:val="18"/>
                <w:szCs w:val="18"/>
                <w14:textFill>
                  <w14:solidFill>
                    <w14:schemeClr w14:val="tx1"/>
                  </w14:solidFill>
                </w14:textFill>
              </w:rPr>
              <w:t>）</w:t>
            </w:r>
          </w:p>
        </w:tc>
      </w:tr>
      <w:tr w14:paraId="5252B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13" w:type="dxa"/>
            <w:vAlign w:val="center"/>
          </w:tcPr>
          <w:p w14:paraId="5D1F93D7">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.00</w:t>
            </w:r>
            <w:r>
              <w:rPr>
                <w:rFonts w:hint="eastAsia"/>
                <w:color w:val="000000" w:themeColor="text1"/>
                <w:sz w:val="18"/>
                <w:szCs w:val="18"/>
                <w14:textFill>
                  <w14:solidFill>
                    <w14:schemeClr w14:val="tx1"/>
                  </w14:solidFill>
                </w14:textFill>
              </w:rPr>
              <w:t>45</w:t>
            </w:r>
          </w:p>
        </w:tc>
        <w:tc>
          <w:tcPr>
            <w:tcW w:w="780" w:type="dxa"/>
            <w:vAlign w:val="center"/>
          </w:tcPr>
          <w:p w14:paraId="1F777B92">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.85</w:t>
            </w:r>
          </w:p>
        </w:tc>
        <w:tc>
          <w:tcPr>
            <w:tcW w:w="1249" w:type="dxa"/>
            <w:vAlign w:val="center"/>
          </w:tcPr>
          <w:p w14:paraId="45CC490F">
            <w:pPr>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1.68</w:t>
            </w:r>
          </w:p>
        </w:tc>
        <w:tc>
          <w:tcPr>
            <w:tcW w:w="1094" w:type="dxa"/>
            <w:vAlign w:val="center"/>
          </w:tcPr>
          <w:p w14:paraId="491BA70E">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00</w:t>
            </w:r>
          </w:p>
        </w:tc>
        <w:tc>
          <w:tcPr>
            <w:tcW w:w="1249" w:type="dxa"/>
            <w:vAlign w:val="center"/>
          </w:tcPr>
          <w:p w14:paraId="44E49F6C">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.00</w:t>
            </w:r>
          </w:p>
        </w:tc>
        <w:tc>
          <w:tcPr>
            <w:tcW w:w="936" w:type="dxa"/>
            <w:vAlign w:val="center"/>
          </w:tcPr>
          <w:p w14:paraId="11C4DC30">
            <w:pPr>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1.68</w:t>
            </w:r>
          </w:p>
        </w:tc>
        <w:tc>
          <w:tcPr>
            <w:tcW w:w="1249" w:type="dxa"/>
            <w:vAlign w:val="center"/>
          </w:tcPr>
          <w:p w14:paraId="483FCAC5">
            <w:pPr>
              <w:ind w:firstLine="0" w:firstLineChars="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w:t>
            </w:r>
            <w:r>
              <w:rPr>
                <w:rFonts w:hint="eastAsia"/>
                <w:color w:val="000000" w:themeColor="text1"/>
                <w:sz w:val="18"/>
                <w:szCs w:val="18"/>
                <w14:textFill>
                  <w14:solidFill>
                    <w14:schemeClr w14:val="tx1"/>
                  </w14:solidFill>
                </w14:textFill>
              </w:rPr>
              <w:t>107</w:t>
            </w:r>
          </w:p>
        </w:tc>
      </w:tr>
    </w:tbl>
    <w:p w14:paraId="4B346B9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（2）过流能力计算</w:t>
      </w:r>
    </w:p>
    <w:p w14:paraId="350F6F8B">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排水沟排水能力按明渠均匀流公式计算：</w:t>
      </w:r>
    </w:p>
    <w:p w14:paraId="2C37077B">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78205" cy="420370"/>
            <wp:effectExtent l="0" t="0" r="0" b="1143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878205" cy="420370"/>
                    </a:xfrm>
                    <a:prstGeom prst="rect">
                      <a:avLst/>
                    </a:prstGeom>
                    <a:noFill/>
                  </pic:spPr>
                </pic:pic>
              </a:graphicData>
            </a:graphic>
          </wp:inline>
        </w:drawing>
      </w:r>
    </w:p>
    <w:p w14:paraId="5626C74F">
      <w:pPr>
        <w:ind w:firstLine="480"/>
        <w:rPr>
          <w:color w:val="000000" w:themeColor="text1"/>
          <w14:textFill>
            <w14:solidFill>
              <w14:schemeClr w14:val="tx1"/>
            </w14:solidFill>
          </w14:textFill>
        </w:rPr>
      </w:pPr>
      <w:r>
        <w:rPr>
          <w:color w:val="000000" w:themeColor="text1"/>
          <w14:textFill>
            <w14:solidFill>
              <w14:schemeClr w14:val="tx1"/>
            </w14:solidFill>
          </w14:textFill>
        </w:rPr>
        <w:t>式中：Q</w:t>
      </w:r>
      <w:r>
        <w:rPr>
          <w:rFonts w:hint="eastAsia"/>
          <w:color w:val="000000" w:themeColor="text1"/>
          <w:vertAlign w:val="subscript"/>
          <w14:textFill>
            <w14:solidFill>
              <w14:schemeClr w14:val="tx1"/>
            </w14:solidFill>
          </w14:textFill>
        </w:rPr>
        <w:t>b</w:t>
      </w:r>
      <w:r>
        <w:rPr>
          <w:rFonts w:hint="eastAsia"/>
          <w:color w:val="000000" w:themeColor="text1"/>
          <w14:textFill>
            <w14:solidFill>
              <w14:schemeClr w14:val="tx1"/>
            </w14:solidFill>
          </w14:textFill>
        </w:rPr>
        <w:t>——排水沟</w:t>
      </w:r>
      <w:r>
        <w:rPr>
          <w:color w:val="000000" w:themeColor="text1"/>
          <w14:textFill>
            <w14:solidFill>
              <w14:schemeClr w14:val="tx1"/>
            </w14:solidFill>
          </w14:textFill>
        </w:rPr>
        <w:t>排水流量，m³/s；</w:t>
      </w:r>
    </w:p>
    <w:p w14:paraId="28B9026F">
      <w:pPr>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A－过水断面面积，m²；</w:t>
      </w:r>
    </w:p>
    <w:p w14:paraId="5C9F22E8">
      <w:pPr>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n－排水沟糙率</w:t>
      </w:r>
      <w:r>
        <w:rPr>
          <w:rFonts w:hint="eastAsia"/>
          <w:color w:val="000000" w:themeColor="text1"/>
          <w14:textFill>
            <w14:solidFill>
              <w14:schemeClr w14:val="tx1"/>
            </w14:solidFill>
          </w14:textFill>
        </w:rPr>
        <w:t>，查《水土保持工程设计规范》（GB51018-2014）P146表A.4.2-2，水泥混凝土抹面明沟糙率取0.015</w:t>
      </w:r>
      <w:r>
        <w:rPr>
          <w:color w:val="000000" w:themeColor="text1"/>
          <w14:textFill>
            <w14:solidFill>
              <w14:schemeClr w14:val="tx1"/>
            </w14:solidFill>
          </w14:textFill>
        </w:rPr>
        <w:t>；</w:t>
      </w:r>
    </w:p>
    <w:p w14:paraId="600AFC2A">
      <w:pPr>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R－水力半径，</w:t>
      </w:r>
      <w:r>
        <w:rPr>
          <w:rFonts w:hint="eastAsia"/>
          <w:color w:val="000000" w:themeColor="text1"/>
          <w14:textFill>
            <w14:solidFill>
              <w14:schemeClr w14:val="tx1"/>
            </w14:solidFill>
          </w14:textFill>
        </w:rPr>
        <w:t>R=A/χm；</w:t>
      </w:r>
    </w:p>
    <w:p w14:paraId="2078C7F4">
      <w:pPr>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i－排水沟纵坡比降。</w:t>
      </w:r>
    </w:p>
    <w:p w14:paraId="549B964F">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截水沟过流能力计算表</w:t>
      </w:r>
    </w:p>
    <w:tbl>
      <w:tblPr>
        <w:tblStyle w:val="26"/>
        <w:tblW w:w="98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960"/>
        <w:gridCol w:w="960"/>
        <w:gridCol w:w="1120"/>
        <w:gridCol w:w="1380"/>
        <w:gridCol w:w="1600"/>
        <w:gridCol w:w="1040"/>
        <w:gridCol w:w="960"/>
        <w:gridCol w:w="960"/>
      </w:tblGrid>
      <w:tr w14:paraId="236B8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833" w:type="dxa"/>
            <w:vMerge w:val="restart"/>
            <w:shd w:val="clear" w:color="auto" w:fill="auto"/>
            <w:vAlign w:val="center"/>
          </w:tcPr>
          <w:p w14:paraId="6FE23727">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类型</w:t>
            </w:r>
          </w:p>
        </w:tc>
        <w:tc>
          <w:tcPr>
            <w:tcW w:w="960" w:type="dxa"/>
            <w:shd w:val="clear" w:color="auto" w:fill="auto"/>
            <w:vAlign w:val="center"/>
          </w:tcPr>
          <w:p w14:paraId="546AC6E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底宽（</w:t>
            </w:r>
            <w:r>
              <w:rPr>
                <w:rFonts w:cs="Times New Roman"/>
                <w:color w:val="000000" w:themeColor="text1"/>
                <w:kern w:val="0"/>
                <w:sz w:val="18"/>
                <w:szCs w:val="18"/>
                <w14:textFill>
                  <w14:solidFill>
                    <w14:schemeClr w14:val="tx1"/>
                  </w14:solidFill>
                </w14:textFill>
              </w:rPr>
              <w:t>m)</w:t>
            </w:r>
          </w:p>
        </w:tc>
        <w:tc>
          <w:tcPr>
            <w:tcW w:w="960" w:type="dxa"/>
            <w:shd w:val="clear" w:color="auto" w:fill="auto"/>
            <w:vAlign w:val="center"/>
          </w:tcPr>
          <w:p w14:paraId="1F5E8ABB">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水深</w:t>
            </w:r>
            <w:r>
              <w:rPr>
                <w:rFonts w:cs="Times New Roman"/>
                <w:color w:val="000000" w:themeColor="text1"/>
                <w:kern w:val="0"/>
                <w:sz w:val="18"/>
                <w:szCs w:val="18"/>
                <w14:textFill>
                  <w14:solidFill>
                    <w14:schemeClr w14:val="tx1"/>
                  </w14:solidFill>
                </w14:textFill>
              </w:rPr>
              <w:t>(m)</w:t>
            </w:r>
          </w:p>
        </w:tc>
        <w:tc>
          <w:tcPr>
            <w:tcW w:w="1120" w:type="dxa"/>
            <w:shd w:val="clear" w:color="auto" w:fill="auto"/>
            <w:vAlign w:val="center"/>
          </w:tcPr>
          <w:p w14:paraId="08FCDB7D">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过水面积</w:t>
            </w:r>
            <w:r>
              <w:rPr>
                <w:rFonts w:cs="Times New Roman"/>
                <w:color w:val="000000" w:themeColor="text1"/>
                <w:kern w:val="0"/>
                <w:sz w:val="18"/>
                <w:szCs w:val="18"/>
                <w14:textFill>
                  <w14:solidFill>
                    <w14:schemeClr w14:val="tx1"/>
                  </w14:solidFill>
                </w14:textFill>
              </w:rPr>
              <w:t>(m</w:t>
            </w:r>
            <w:r>
              <w:rPr>
                <w:rFonts w:cs="Times New Roman"/>
                <w:color w:val="000000" w:themeColor="text1"/>
                <w:kern w:val="0"/>
                <w:sz w:val="18"/>
                <w:szCs w:val="18"/>
                <w:vertAlign w:val="superscript"/>
                <w14:textFill>
                  <w14:solidFill>
                    <w14:schemeClr w14:val="tx1"/>
                  </w14:solidFill>
                </w14:textFill>
              </w:rPr>
              <w:t>2</w:t>
            </w:r>
            <w:r>
              <w:rPr>
                <w:rFonts w:cs="Times New Roman"/>
                <w:color w:val="000000" w:themeColor="text1"/>
                <w:kern w:val="0"/>
                <w:sz w:val="18"/>
                <w:szCs w:val="18"/>
                <w14:textFill>
                  <w14:solidFill>
                    <w14:schemeClr w14:val="tx1"/>
                  </w14:solidFill>
                </w14:textFill>
              </w:rPr>
              <w:t>)</w:t>
            </w:r>
          </w:p>
        </w:tc>
        <w:tc>
          <w:tcPr>
            <w:tcW w:w="1380" w:type="dxa"/>
            <w:shd w:val="clear" w:color="auto" w:fill="auto"/>
            <w:vAlign w:val="center"/>
          </w:tcPr>
          <w:p w14:paraId="677CFCA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湿周</w:t>
            </w:r>
            <w:r>
              <w:rPr>
                <w:rFonts w:cs="Times New Roman"/>
                <w:color w:val="000000" w:themeColor="text1"/>
                <w:kern w:val="0"/>
                <w:sz w:val="18"/>
                <w:szCs w:val="18"/>
                <w14:textFill>
                  <w14:solidFill>
                    <w14:schemeClr w14:val="tx1"/>
                  </w14:solidFill>
                </w14:textFill>
              </w:rPr>
              <w:t>(m)</w:t>
            </w:r>
          </w:p>
        </w:tc>
        <w:tc>
          <w:tcPr>
            <w:tcW w:w="1600" w:type="dxa"/>
            <w:shd w:val="clear" w:color="auto" w:fill="auto"/>
            <w:vAlign w:val="center"/>
          </w:tcPr>
          <w:p w14:paraId="40F6C135">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水力半径（</w:t>
            </w:r>
            <w:r>
              <w:rPr>
                <w:rFonts w:cs="Times New Roman"/>
                <w:color w:val="000000" w:themeColor="text1"/>
                <w:kern w:val="0"/>
                <w:sz w:val="18"/>
                <w:szCs w:val="18"/>
                <w14:textFill>
                  <w14:solidFill>
                    <w14:schemeClr w14:val="tx1"/>
                  </w14:solidFill>
                </w14:textFill>
              </w:rPr>
              <w:t>m)</w:t>
            </w:r>
          </w:p>
        </w:tc>
        <w:tc>
          <w:tcPr>
            <w:tcW w:w="1040" w:type="dxa"/>
            <w:shd w:val="clear" w:color="auto" w:fill="auto"/>
            <w:vAlign w:val="center"/>
          </w:tcPr>
          <w:p w14:paraId="555EDCDA">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粗糙系数</w:t>
            </w:r>
          </w:p>
        </w:tc>
        <w:tc>
          <w:tcPr>
            <w:tcW w:w="960" w:type="dxa"/>
            <w:shd w:val="clear" w:color="auto" w:fill="auto"/>
            <w:vAlign w:val="center"/>
          </w:tcPr>
          <w:p w14:paraId="334B85CA">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水力坡降</w:t>
            </w:r>
          </w:p>
        </w:tc>
        <w:tc>
          <w:tcPr>
            <w:tcW w:w="960" w:type="dxa"/>
            <w:shd w:val="clear" w:color="auto" w:fill="auto"/>
            <w:vAlign w:val="center"/>
          </w:tcPr>
          <w:p w14:paraId="7358741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最大过水流量</w:t>
            </w:r>
          </w:p>
        </w:tc>
      </w:tr>
      <w:tr w14:paraId="2D13E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33" w:type="dxa"/>
            <w:vMerge w:val="continue"/>
            <w:vAlign w:val="center"/>
          </w:tcPr>
          <w:p w14:paraId="6EF34117">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960" w:type="dxa"/>
            <w:shd w:val="clear" w:color="auto" w:fill="auto"/>
            <w:vAlign w:val="center"/>
          </w:tcPr>
          <w:p w14:paraId="0514FF01">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W</w:t>
            </w:r>
          </w:p>
        </w:tc>
        <w:tc>
          <w:tcPr>
            <w:tcW w:w="960" w:type="dxa"/>
            <w:shd w:val="clear" w:color="auto" w:fill="auto"/>
            <w:vAlign w:val="center"/>
          </w:tcPr>
          <w:p w14:paraId="11876F5B">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H</w:t>
            </w:r>
          </w:p>
        </w:tc>
        <w:tc>
          <w:tcPr>
            <w:tcW w:w="1120" w:type="dxa"/>
            <w:shd w:val="clear" w:color="auto" w:fill="auto"/>
            <w:vAlign w:val="center"/>
          </w:tcPr>
          <w:p w14:paraId="13C7AD0F">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A</w:t>
            </w:r>
            <w:r>
              <w:rPr>
                <w:rFonts w:hint="eastAsia" w:ascii="仿宋_GB2312" w:cs="Times New Roman"/>
                <w:color w:val="000000" w:themeColor="text1"/>
                <w:kern w:val="0"/>
                <w:sz w:val="18"/>
                <w:szCs w:val="18"/>
                <w14:textFill>
                  <w14:solidFill>
                    <w14:schemeClr w14:val="tx1"/>
                  </w14:solidFill>
                </w14:textFill>
              </w:rPr>
              <w:t>（</w:t>
            </w:r>
            <w:r>
              <w:rPr>
                <w:rFonts w:cs="Times New Roman"/>
                <w:color w:val="000000" w:themeColor="text1"/>
                <w:kern w:val="0"/>
                <w:sz w:val="18"/>
                <w:szCs w:val="18"/>
                <w14:textFill>
                  <w14:solidFill>
                    <w14:schemeClr w14:val="tx1"/>
                  </w14:solidFill>
                </w14:textFill>
              </w:rPr>
              <w:t>W</w:t>
            </w:r>
            <w:r>
              <w:rPr>
                <w:rFonts w:ascii="仿宋_GB2312" w:cs="Times New Roman"/>
                <w:color w:val="000000" w:themeColor="text1"/>
                <w:kern w:val="0"/>
                <w:sz w:val="18"/>
                <w:szCs w:val="18"/>
                <w14:textFill>
                  <w14:solidFill>
                    <w14:schemeClr w14:val="tx1"/>
                  </w14:solidFill>
                </w14:textFill>
              </w:rPr>
              <w:t xml:space="preserve"> </w:t>
            </w:r>
            <w:r>
              <w:rPr>
                <w:rFonts w:eastAsia="宋体" w:cs="Times New Roman"/>
                <w:color w:val="000000" w:themeColor="text1"/>
                <w:kern w:val="0"/>
                <w:sz w:val="18"/>
                <w:szCs w:val="18"/>
                <w14:textFill>
                  <w14:solidFill>
                    <w14:schemeClr w14:val="tx1"/>
                  </w14:solidFill>
                </w14:textFill>
              </w:rPr>
              <w:t>H</w:t>
            </w:r>
            <w:r>
              <w:rPr>
                <w:rFonts w:hint="eastAsia" w:ascii="仿宋_GB2312" w:cs="Times New Roman"/>
                <w:color w:val="000000" w:themeColor="text1"/>
                <w:kern w:val="0"/>
                <w:sz w:val="18"/>
                <w:szCs w:val="18"/>
                <w14:textFill>
                  <w14:solidFill>
                    <w14:schemeClr w14:val="tx1"/>
                  </w14:solidFill>
                </w14:textFill>
              </w:rPr>
              <w:t>）</w:t>
            </w:r>
          </w:p>
        </w:tc>
        <w:tc>
          <w:tcPr>
            <w:tcW w:w="1380" w:type="dxa"/>
            <w:shd w:val="clear" w:color="auto" w:fill="auto"/>
            <w:vAlign w:val="center"/>
          </w:tcPr>
          <w:p w14:paraId="6E46D85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X</w:t>
            </w:r>
            <w:r>
              <w:rPr>
                <w:rFonts w:hint="eastAsia" w:ascii="仿宋_GB2312" w:cs="Times New Roman"/>
                <w:color w:val="000000" w:themeColor="text1"/>
                <w:kern w:val="0"/>
                <w:sz w:val="18"/>
                <w:szCs w:val="18"/>
                <w14:textFill>
                  <w14:solidFill>
                    <w14:schemeClr w14:val="tx1"/>
                  </w14:solidFill>
                </w14:textFill>
              </w:rPr>
              <w:t>（</w:t>
            </w:r>
            <w:r>
              <w:rPr>
                <w:rFonts w:eastAsia="宋体" w:cs="Times New Roman"/>
                <w:color w:val="000000" w:themeColor="text1"/>
                <w:kern w:val="0"/>
                <w:sz w:val="18"/>
                <w:szCs w:val="18"/>
                <w14:textFill>
                  <w14:solidFill>
                    <w14:schemeClr w14:val="tx1"/>
                  </w14:solidFill>
                </w14:textFill>
              </w:rPr>
              <w:t>W+2H</w:t>
            </w:r>
            <w:r>
              <w:rPr>
                <w:rFonts w:hint="eastAsia" w:ascii="仿宋_GB2312" w:cs="Times New Roman"/>
                <w:color w:val="000000" w:themeColor="text1"/>
                <w:kern w:val="0"/>
                <w:sz w:val="18"/>
                <w:szCs w:val="18"/>
                <w14:textFill>
                  <w14:solidFill>
                    <w14:schemeClr w14:val="tx1"/>
                  </w14:solidFill>
                </w14:textFill>
              </w:rPr>
              <w:t>）</w:t>
            </w:r>
          </w:p>
        </w:tc>
        <w:tc>
          <w:tcPr>
            <w:tcW w:w="1600" w:type="dxa"/>
            <w:shd w:val="clear" w:color="auto" w:fill="auto"/>
            <w:vAlign w:val="center"/>
          </w:tcPr>
          <w:p w14:paraId="2EE73F4E">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R</w:t>
            </w:r>
            <w:r>
              <w:rPr>
                <w:rFonts w:hint="eastAsia" w:ascii="仿宋_GB2312" w:cs="Times New Roman"/>
                <w:color w:val="000000" w:themeColor="text1"/>
                <w:kern w:val="0"/>
                <w:sz w:val="18"/>
                <w:szCs w:val="18"/>
                <w14:textFill>
                  <w14:solidFill>
                    <w14:schemeClr w14:val="tx1"/>
                  </w14:solidFill>
                </w14:textFill>
              </w:rPr>
              <w:t>（</w:t>
            </w:r>
            <w:r>
              <w:rPr>
                <w:rFonts w:eastAsia="宋体" w:cs="Times New Roman"/>
                <w:color w:val="000000" w:themeColor="text1"/>
                <w:kern w:val="0"/>
                <w:sz w:val="18"/>
                <w:szCs w:val="18"/>
                <w14:textFill>
                  <w14:solidFill>
                    <w14:schemeClr w14:val="tx1"/>
                  </w14:solidFill>
                </w14:textFill>
              </w:rPr>
              <w:t>A/X</w:t>
            </w:r>
            <w:r>
              <w:rPr>
                <w:rFonts w:hint="eastAsia" w:ascii="仿宋_GB2312" w:cs="Times New Roman"/>
                <w:color w:val="000000" w:themeColor="text1"/>
                <w:kern w:val="0"/>
                <w:sz w:val="18"/>
                <w:szCs w:val="18"/>
                <w14:textFill>
                  <w14:solidFill>
                    <w14:schemeClr w14:val="tx1"/>
                  </w14:solidFill>
                </w14:textFill>
              </w:rPr>
              <w:t>）</w:t>
            </w:r>
          </w:p>
        </w:tc>
        <w:tc>
          <w:tcPr>
            <w:tcW w:w="1040" w:type="dxa"/>
            <w:shd w:val="clear" w:color="auto" w:fill="auto"/>
            <w:vAlign w:val="center"/>
          </w:tcPr>
          <w:p w14:paraId="78744CCE">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n</w:t>
            </w:r>
          </w:p>
        </w:tc>
        <w:tc>
          <w:tcPr>
            <w:tcW w:w="960" w:type="dxa"/>
            <w:shd w:val="clear" w:color="auto" w:fill="auto"/>
            <w:vAlign w:val="center"/>
          </w:tcPr>
          <w:p w14:paraId="20B360E4">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i</w:t>
            </w:r>
          </w:p>
        </w:tc>
        <w:tc>
          <w:tcPr>
            <w:tcW w:w="960" w:type="dxa"/>
            <w:shd w:val="clear" w:color="auto" w:fill="auto"/>
            <w:vAlign w:val="center"/>
          </w:tcPr>
          <w:p w14:paraId="1C98CD97">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Q</w:t>
            </w:r>
            <w:r>
              <w:rPr>
                <w:rFonts w:hint="eastAsia" w:ascii="仿宋_GB2312" w:cs="Times New Roman"/>
                <w:color w:val="000000" w:themeColor="text1"/>
                <w:kern w:val="0"/>
                <w:sz w:val="18"/>
                <w:szCs w:val="18"/>
                <w14:textFill>
                  <w14:solidFill>
                    <w14:schemeClr w14:val="tx1"/>
                  </w14:solidFill>
                </w14:textFill>
              </w:rPr>
              <w:t>（</w:t>
            </w:r>
            <w:r>
              <w:rPr>
                <w:rFonts w:eastAsia="宋体" w:cs="Times New Roman"/>
                <w:color w:val="000000" w:themeColor="text1"/>
                <w:kern w:val="0"/>
                <w:sz w:val="18"/>
                <w:szCs w:val="18"/>
                <w14:textFill>
                  <w14:solidFill>
                    <w14:schemeClr w14:val="tx1"/>
                  </w14:solidFill>
                </w14:textFill>
              </w:rPr>
              <w:t>m</w:t>
            </w:r>
            <w:r>
              <w:rPr>
                <w:rFonts w:eastAsia="宋体" w:cs="Times New Roman"/>
                <w:color w:val="000000" w:themeColor="text1"/>
                <w:kern w:val="0"/>
                <w:sz w:val="18"/>
                <w:szCs w:val="18"/>
                <w:vertAlign w:val="superscript"/>
                <w14:textFill>
                  <w14:solidFill>
                    <w14:schemeClr w14:val="tx1"/>
                  </w14:solidFill>
                </w14:textFill>
              </w:rPr>
              <w:t>3</w:t>
            </w:r>
            <w:r>
              <w:rPr>
                <w:rFonts w:eastAsia="宋体" w:cs="Times New Roman"/>
                <w:color w:val="000000" w:themeColor="text1"/>
                <w:kern w:val="0"/>
                <w:sz w:val="18"/>
                <w:szCs w:val="18"/>
                <w14:textFill>
                  <w14:solidFill>
                    <w14:schemeClr w14:val="tx1"/>
                  </w14:solidFill>
                </w14:textFill>
              </w:rPr>
              <w:t>/s)</w:t>
            </w:r>
          </w:p>
        </w:tc>
      </w:tr>
      <w:tr w14:paraId="6361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33" w:type="dxa"/>
            <w:shd w:val="clear" w:color="auto" w:fill="auto"/>
            <w:vAlign w:val="center"/>
          </w:tcPr>
          <w:p w14:paraId="708FEFCF">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截水沟</w:t>
            </w:r>
          </w:p>
        </w:tc>
        <w:tc>
          <w:tcPr>
            <w:tcW w:w="960" w:type="dxa"/>
            <w:shd w:val="clear" w:color="auto" w:fill="auto"/>
            <w:vAlign w:val="center"/>
          </w:tcPr>
          <w:p w14:paraId="5CEFCC7D">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0.4</w:t>
            </w:r>
          </w:p>
        </w:tc>
        <w:tc>
          <w:tcPr>
            <w:tcW w:w="960" w:type="dxa"/>
            <w:shd w:val="clear" w:color="auto" w:fill="auto"/>
            <w:vAlign w:val="center"/>
          </w:tcPr>
          <w:p w14:paraId="7684ADA6">
            <w:pPr>
              <w:widowControl/>
              <w:adjustRightInd/>
              <w:snapToGrid/>
              <w:spacing w:line="240" w:lineRule="auto"/>
              <w:ind w:firstLine="0" w:firstLineChars="0"/>
              <w:jc w:val="center"/>
              <w:rPr>
                <w:rFonts w:hint="eastAsia" w:eastAsia="宋体" w:cs="Times New Roman"/>
                <w:color w:val="000000" w:themeColor="text1"/>
                <w:kern w:val="0"/>
                <w:sz w:val="18"/>
                <w:szCs w:val="18"/>
                <w:lang w:eastAsia="zh-CN"/>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w:t>
            </w:r>
            <w:r>
              <w:rPr>
                <w:rFonts w:hint="eastAsia" w:eastAsia="宋体" w:cs="Times New Roman"/>
                <w:color w:val="000000" w:themeColor="text1"/>
                <w:kern w:val="0"/>
                <w:sz w:val="18"/>
                <w:szCs w:val="18"/>
                <w:lang w:val="en-US" w:eastAsia="zh-CN"/>
                <w14:textFill>
                  <w14:solidFill>
                    <w14:schemeClr w14:val="tx1"/>
                  </w14:solidFill>
                </w14:textFill>
              </w:rPr>
              <w:t>4</w:t>
            </w:r>
          </w:p>
        </w:tc>
        <w:tc>
          <w:tcPr>
            <w:tcW w:w="1120" w:type="dxa"/>
            <w:shd w:val="clear" w:color="auto" w:fill="auto"/>
            <w:vAlign w:val="center"/>
          </w:tcPr>
          <w:p w14:paraId="5B06BC21">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w:t>
            </w:r>
            <w:r>
              <w:rPr>
                <w:rFonts w:hint="eastAsia" w:eastAsia="宋体" w:cs="Times New Roman"/>
                <w:color w:val="000000" w:themeColor="text1"/>
                <w:kern w:val="0"/>
                <w:sz w:val="18"/>
                <w:szCs w:val="18"/>
                <w:lang w:val="en-US" w:eastAsia="zh-CN"/>
                <w14:textFill>
                  <w14:solidFill>
                    <w14:schemeClr w14:val="tx1"/>
                  </w14:solidFill>
                </w14:textFill>
              </w:rPr>
              <w:t>16</w:t>
            </w:r>
          </w:p>
        </w:tc>
        <w:tc>
          <w:tcPr>
            <w:tcW w:w="1380" w:type="dxa"/>
            <w:shd w:val="clear" w:color="auto" w:fill="auto"/>
            <w:vAlign w:val="center"/>
          </w:tcPr>
          <w:p w14:paraId="2C6C1D86">
            <w:pPr>
              <w:widowControl/>
              <w:adjustRightInd/>
              <w:snapToGrid/>
              <w:spacing w:line="240" w:lineRule="auto"/>
              <w:ind w:firstLine="0" w:firstLineChars="0"/>
              <w:jc w:val="center"/>
              <w:rPr>
                <w:rFonts w:hint="default" w:eastAsia="宋体" w:cs="Times New Roman"/>
                <w:color w:val="000000" w:themeColor="text1"/>
                <w:kern w:val="0"/>
                <w:sz w:val="18"/>
                <w:szCs w:val="18"/>
                <w:lang w:val="en-US" w:eastAsia="zh-CN"/>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1.2</w:t>
            </w:r>
          </w:p>
        </w:tc>
        <w:tc>
          <w:tcPr>
            <w:tcW w:w="1600" w:type="dxa"/>
            <w:shd w:val="clear" w:color="auto" w:fill="auto"/>
            <w:vAlign w:val="center"/>
          </w:tcPr>
          <w:p w14:paraId="4AB567DC">
            <w:pPr>
              <w:widowControl/>
              <w:adjustRightInd/>
              <w:snapToGrid/>
              <w:spacing w:line="240" w:lineRule="auto"/>
              <w:ind w:firstLine="0" w:firstLineChars="0"/>
              <w:jc w:val="center"/>
              <w:rPr>
                <w:rFonts w:hint="eastAsia" w:eastAsia="宋体" w:cs="Times New Roman"/>
                <w:color w:val="000000" w:themeColor="text1"/>
                <w:kern w:val="0"/>
                <w:sz w:val="18"/>
                <w:szCs w:val="18"/>
                <w:lang w:eastAsia="zh-CN"/>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0.1</w:t>
            </w:r>
            <w:r>
              <w:rPr>
                <w:rFonts w:hint="eastAsia" w:eastAsia="宋体" w:cs="Times New Roman"/>
                <w:color w:val="000000" w:themeColor="text1"/>
                <w:kern w:val="0"/>
                <w:sz w:val="18"/>
                <w:szCs w:val="18"/>
                <w:lang w:val="en-US" w:eastAsia="zh-CN"/>
                <w14:textFill>
                  <w14:solidFill>
                    <w14:schemeClr w14:val="tx1"/>
                  </w14:solidFill>
                </w14:textFill>
              </w:rPr>
              <w:t>3</w:t>
            </w:r>
          </w:p>
        </w:tc>
        <w:tc>
          <w:tcPr>
            <w:tcW w:w="1040" w:type="dxa"/>
            <w:shd w:val="clear" w:color="auto" w:fill="auto"/>
            <w:vAlign w:val="center"/>
          </w:tcPr>
          <w:p w14:paraId="2C5E3605">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0.015</w:t>
            </w:r>
          </w:p>
        </w:tc>
        <w:tc>
          <w:tcPr>
            <w:tcW w:w="960" w:type="dxa"/>
            <w:shd w:val="clear" w:color="auto" w:fill="auto"/>
            <w:vAlign w:val="center"/>
          </w:tcPr>
          <w:p w14:paraId="354B2227">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0.003</w:t>
            </w:r>
          </w:p>
        </w:tc>
        <w:tc>
          <w:tcPr>
            <w:tcW w:w="960" w:type="dxa"/>
            <w:shd w:val="clear" w:color="auto" w:fill="auto"/>
            <w:vAlign w:val="center"/>
          </w:tcPr>
          <w:p w14:paraId="1E69FED2">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0.172</w:t>
            </w:r>
          </w:p>
        </w:tc>
      </w:tr>
    </w:tbl>
    <w:p w14:paraId="310AA7B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经计算得，考虑0.10m安全超高，主体工程设计截水沟能过流量为0.172m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/s，设计洪峰流量为</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07</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/s，过流能力＞设计洪峰流量，截水沟设计尺寸满足要求。</w:t>
      </w:r>
    </w:p>
    <w:p w14:paraId="00CFE3F5">
      <w:pPr>
        <w:pStyle w:val="33"/>
        <w:ind w:firstLine="422" w:firstLineChars="20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表5.4-</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地下工程区区水土保持措施工程量统计表</w:t>
      </w:r>
    </w:p>
    <w:tbl>
      <w:tblPr>
        <w:tblStyle w:val="26"/>
        <w:tblW w:w="4679"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1176"/>
        <w:gridCol w:w="1177"/>
        <w:gridCol w:w="1793"/>
        <w:gridCol w:w="1227"/>
        <w:gridCol w:w="1434"/>
        <w:gridCol w:w="1168"/>
      </w:tblGrid>
      <w:tr w14:paraId="481CBD0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56" w:hRule="atLeast"/>
          <w:jc w:val="center"/>
        </w:trPr>
        <w:tc>
          <w:tcPr>
            <w:tcW w:w="738" w:type="pct"/>
            <w:vMerge w:val="restart"/>
            <w:tcBorders>
              <w:tl2br w:val="nil"/>
              <w:tr2bl w:val="nil"/>
            </w:tcBorders>
            <w:shd w:val="clear" w:color="auto" w:fill="auto"/>
            <w:vAlign w:val="center"/>
          </w:tcPr>
          <w:p w14:paraId="4268D963">
            <w:pPr>
              <w:pStyle w:val="34"/>
              <w:rPr>
                <w:color w:val="000000" w:themeColor="text1"/>
                <w14:textFill>
                  <w14:solidFill>
                    <w14:schemeClr w14:val="tx1"/>
                  </w14:solidFill>
                </w14:textFill>
              </w:rPr>
            </w:pPr>
            <w:r>
              <w:rPr>
                <w:color w:val="000000" w:themeColor="text1"/>
                <w14:textFill>
                  <w14:solidFill>
                    <w14:schemeClr w14:val="tx1"/>
                  </w14:solidFill>
                </w14:textFill>
              </w:rPr>
              <w:t>防治分区</w:t>
            </w:r>
          </w:p>
        </w:tc>
        <w:tc>
          <w:tcPr>
            <w:tcW w:w="738" w:type="pct"/>
            <w:vMerge w:val="restart"/>
            <w:tcBorders>
              <w:tl2br w:val="nil"/>
              <w:tr2bl w:val="nil"/>
            </w:tcBorders>
            <w:shd w:val="clear" w:color="auto" w:fill="auto"/>
            <w:vAlign w:val="center"/>
          </w:tcPr>
          <w:p w14:paraId="4B688B53">
            <w:pPr>
              <w:pStyle w:val="34"/>
              <w:rPr>
                <w:color w:val="000000" w:themeColor="text1"/>
                <w14:textFill>
                  <w14:solidFill>
                    <w14:schemeClr w14:val="tx1"/>
                  </w14:solidFill>
                </w14:textFill>
              </w:rPr>
            </w:pPr>
            <w:r>
              <w:rPr>
                <w:color w:val="000000" w:themeColor="text1"/>
                <w14:textFill>
                  <w14:solidFill>
                    <w14:schemeClr w14:val="tx1"/>
                  </w14:solidFill>
                </w14:textFill>
              </w:rPr>
              <w:t>措施类型</w:t>
            </w:r>
          </w:p>
        </w:tc>
        <w:tc>
          <w:tcPr>
            <w:tcW w:w="1124" w:type="pct"/>
            <w:vMerge w:val="restart"/>
            <w:tcBorders>
              <w:tl2br w:val="nil"/>
              <w:tr2bl w:val="nil"/>
            </w:tcBorders>
            <w:shd w:val="clear" w:color="auto" w:fill="auto"/>
            <w:vAlign w:val="center"/>
          </w:tcPr>
          <w:p w14:paraId="04B5C4B9">
            <w:pPr>
              <w:pStyle w:val="34"/>
              <w:rPr>
                <w:color w:val="000000" w:themeColor="text1"/>
                <w14:textFill>
                  <w14:solidFill>
                    <w14:schemeClr w14:val="tx1"/>
                  </w14:solidFill>
                </w14:textFill>
              </w:rPr>
            </w:pPr>
            <w:r>
              <w:rPr>
                <w:color w:val="000000" w:themeColor="text1"/>
                <w14:textFill>
                  <w14:solidFill>
                    <w14:schemeClr w14:val="tx1"/>
                  </w14:solidFill>
                </w14:textFill>
              </w:rPr>
              <w:t>措施名称</w:t>
            </w:r>
          </w:p>
        </w:tc>
        <w:tc>
          <w:tcPr>
            <w:tcW w:w="1668" w:type="pct"/>
            <w:gridSpan w:val="2"/>
            <w:tcBorders>
              <w:left w:val="single" w:color="auto" w:sz="4" w:space="0"/>
              <w:tl2br w:val="nil"/>
              <w:tr2bl w:val="nil"/>
            </w:tcBorders>
            <w:shd w:val="clear" w:color="auto" w:fill="auto"/>
            <w:vAlign w:val="center"/>
          </w:tcPr>
          <w:p w14:paraId="4C48B151">
            <w:pPr>
              <w:pStyle w:val="34"/>
              <w:rPr>
                <w:color w:val="000000" w:themeColor="text1"/>
                <w14:textFill>
                  <w14:solidFill>
                    <w14:schemeClr w14:val="tx1"/>
                  </w14:solidFill>
                </w14:textFill>
              </w:rPr>
            </w:pPr>
            <w:r>
              <w:rPr>
                <w:color w:val="000000" w:themeColor="text1"/>
                <w14:textFill>
                  <w14:solidFill>
                    <w14:schemeClr w14:val="tx1"/>
                  </w14:solidFill>
                </w14:textFill>
              </w:rPr>
              <w:t>措施规模</w:t>
            </w:r>
          </w:p>
        </w:tc>
        <w:tc>
          <w:tcPr>
            <w:tcW w:w="732" w:type="pct"/>
            <w:vMerge w:val="restart"/>
            <w:tcBorders>
              <w:tl2br w:val="nil"/>
              <w:tr2bl w:val="nil"/>
            </w:tcBorders>
            <w:shd w:val="clear" w:color="auto" w:fill="auto"/>
            <w:vAlign w:val="center"/>
          </w:tcPr>
          <w:p w14:paraId="1BC74E8A">
            <w:pPr>
              <w:pStyle w:val="34"/>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075D03B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93" w:hRule="atLeast"/>
          <w:jc w:val="center"/>
        </w:trPr>
        <w:tc>
          <w:tcPr>
            <w:tcW w:w="738" w:type="pct"/>
            <w:vMerge w:val="continue"/>
            <w:tcBorders>
              <w:bottom w:val="single" w:color="auto" w:sz="4" w:space="0"/>
              <w:tl2br w:val="nil"/>
              <w:tr2bl w:val="nil"/>
            </w:tcBorders>
            <w:shd w:val="clear" w:color="auto" w:fill="auto"/>
            <w:vAlign w:val="center"/>
          </w:tcPr>
          <w:p w14:paraId="118BA409">
            <w:pPr>
              <w:pStyle w:val="34"/>
              <w:rPr>
                <w:color w:val="000000" w:themeColor="text1"/>
                <w14:textFill>
                  <w14:solidFill>
                    <w14:schemeClr w14:val="tx1"/>
                  </w14:solidFill>
                </w14:textFill>
              </w:rPr>
            </w:pPr>
          </w:p>
        </w:tc>
        <w:tc>
          <w:tcPr>
            <w:tcW w:w="738" w:type="pct"/>
            <w:vMerge w:val="continue"/>
            <w:tcBorders>
              <w:tl2br w:val="nil"/>
              <w:tr2bl w:val="nil"/>
            </w:tcBorders>
            <w:shd w:val="clear" w:color="auto" w:fill="auto"/>
            <w:vAlign w:val="center"/>
          </w:tcPr>
          <w:p w14:paraId="3520AA7D">
            <w:pPr>
              <w:pStyle w:val="34"/>
              <w:rPr>
                <w:color w:val="000000" w:themeColor="text1"/>
                <w14:textFill>
                  <w14:solidFill>
                    <w14:schemeClr w14:val="tx1"/>
                  </w14:solidFill>
                </w14:textFill>
              </w:rPr>
            </w:pPr>
          </w:p>
        </w:tc>
        <w:tc>
          <w:tcPr>
            <w:tcW w:w="1124" w:type="pct"/>
            <w:vMerge w:val="continue"/>
            <w:tcBorders>
              <w:bottom w:val="single" w:color="auto" w:sz="4" w:space="0"/>
              <w:tl2br w:val="nil"/>
              <w:tr2bl w:val="nil"/>
            </w:tcBorders>
            <w:shd w:val="clear" w:color="auto" w:fill="auto"/>
            <w:vAlign w:val="center"/>
          </w:tcPr>
          <w:p w14:paraId="4139403F">
            <w:pPr>
              <w:pStyle w:val="34"/>
              <w:rPr>
                <w:color w:val="000000" w:themeColor="text1"/>
                <w14:textFill>
                  <w14:solidFill>
                    <w14:schemeClr w14:val="tx1"/>
                  </w14:solidFill>
                </w14:textFill>
              </w:rPr>
            </w:pPr>
          </w:p>
        </w:tc>
        <w:tc>
          <w:tcPr>
            <w:tcW w:w="769" w:type="pct"/>
            <w:tcBorders>
              <w:left w:val="single" w:color="auto" w:sz="4" w:space="0"/>
              <w:tl2br w:val="nil"/>
              <w:tr2bl w:val="nil"/>
            </w:tcBorders>
            <w:shd w:val="clear" w:color="auto" w:fill="auto"/>
            <w:vAlign w:val="center"/>
          </w:tcPr>
          <w:p w14:paraId="4C628BA0">
            <w:pPr>
              <w:pStyle w:val="34"/>
              <w:rPr>
                <w:color w:val="000000" w:themeColor="text1"/>
                <w14:textFill>
                  <w14:solidFill>
                    <w14:schemeClr w14:val="tx1"/>
                  </w14:solidFill>
                </w14:textFill>
              </w:rPr>
            </w:pPr>
            <w:r>
              <w:rPr>
                <w:color w:val="000000" w:themeColor="text1"/>
                <w14:textFill>
                  <w14:solidFill>
                    <w14:schemeClr w14:val="tx1"/>
                  </w14:solidFill>
                </w14:textFill>
              </w:rPr>
              <w:t>单位</w:t>
            </w:r>
          </w:p>
        </w:tc>
        <w:tc>
          <w:tcPr>
            <w:tcW w:w="899" w:type="pct"/>
            <w:tcBorders>
              <w:tl2br w:val="nil"/>
              <w:tr2bl w:val="nil"/>
            </w:tcBorders>
            <w:shd w:val="clear" w:color="auto" w:fill="auto"/>
            <w:vAlign w:val="center"/>
          </w:tcPr>
          <w:p w14:paraId="7B9351B0">
            <w:pPr>
              <w:pStyle w:val="34"/>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732" w:type="pct"/>
            <w:vMerge w:val="continue"/>
            <w:tcBorders>
              <w:tl2br w:val="nil"/>
              <w:tr2bl w:val="nil"/>
            </w:tcBorders>
            <w:shd w:val="clear" w:color="auto" w:fill="auto"/>
            <w:vAlign w:val="center"/>
          </w:tcPr>
          <w:p w14:paraId="5DB1C199">
            <w:pPr>
              <w:pStyle w:val="34"/>
              <w:rPr>
                <w:color w:val="000000" w:themeColor="text1"/>
                <w14:textFill>
                  <w14:solidFill>
                    <w14:schemeClr w14:val="tx1"/>
                  </w14:solidFill>
                </w14:textFill>
              </w:rPr>
            </w:pPr>
          </w:p>
        </w:tc>
      </w:tr>
      <w:tr w14:paraId="30A4982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93" w:hRule="atLeast"/>
          <w:jc w:val="center"/>
        </w:trPr>
        <w:tc>
          <w:tcPr>
            <w:tcW w:w="738" w:type="pct"/>
            <w:vMerge w:val="restart"/>
            <w:tcBorders>
              <w:top w:val="single" w:color="auto" w:sz="4" w:space="0"/>
              <w:tl2br w:val="nil"/>
              <w:tr2bl w:val="nil"/>
            </w:tcBorders>
            <w:shd w:val="clear" w:color="auto" w:fill="auto"/>
            <w:vAlign w:val="center"/>
          </w:tcPr>
          <w:p w14:paraId="16655ED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地下工程区</w:t>
            </w:r>
          </w:p>
        </w:tc>
        <w:tc>
          <w:tcPr>
            <w:tcW w:w="738" w:type="pct"/>
            <w:vMerge w:val="restart"/>
            <w:tcBorders>
              <w:top w:val="single" w:color="auto" w:sz="4" w:space="0"/>
              <w:tl2br w:val="nil"/>
              <w:tr2bl w:val="nil"/>
            </w:tcBorders>
            <w:shd w:val="clear" w:color="auto" w:fill="auto"/>
            <w:vAlign w:val="center"/>
          </w:tcPr>
          <w:p w14:paraId="49F487F8">
            <w:pPr>
              <w:pStyle w:val="34"/>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临时措施</w:t>
            </w:r>
          </w:p>
        </w:tc>
        <w:tc>
          <w:tcPr>
            <w:tcW w:w="1124" w:type="pct"/>
            <w:tcBorders>
              <w:right w:val="single" w:color="auto" w:sz="4" w:space="0"/>
              <w:tl2br w:val="nil"/>
              <w:tr2bl w:val="nil"/>
            </w:tcBorders>
            <w:shd w:val="clear" w:color="auto" w:fill="auto"/>
            <w:vAlign w:val="center"/>
          </w:tcPr>
          <w:p w14:paraId="45110677">
            <w:pPr>
              <w:pStyle w:val="34"/>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坑顶截水沟</w:t>
            </w:r>
          </w:p>
        </w:tc>
        <w:tc>
          <w:tcPr>
            <w:tcW w:w="769" w:type="pct"/>
            <w:tcBorders>
              <w:tl2br w:val="nil"/>
              <w:tr2bl w:val="nil"/>
            </w:tcBorders>
            <w:shd w:val="clear" w:color="auto" w:fill="auto"/>
          </w:tcPr>
          <w:p w14:paraId="3931E71C">
            <w:pPr>
              <w:pStyle w:val="34"/>
              <w:rPr>
                <w:color w:val="000000" w:themeColor="text1"/>
                <w14:textFill>
                  <w14:solidFill>
                    <w14:schemeClr w14:val="tx1"/>
                  </w14:solidFill>
                </w14:textFill>
              </w:rPr>
            </w:pPr>
            <w:r>
              <w:rPr>
                <w:color w:val="000000" w:themeColor="text1"/>
                <w14:textFill>
                  <w14:solidFill>
                    <w14:schemeClr w14:val="tx1"/>
                  </w14:solidFill>
                </w14:textFill>
              </w:rPr>
              <w:t>m</w:t>
            </w:r>
          </w:p>
        </w:tc>
        <w:tc>
          <w:tcPr>
            <w:tcW w:w="899" w:type="pct"/>
            <w:tcBorders>
              <w:tl2br w:val="nil"/>
              <w:tr2bl w:val="nil"/>
            </w:tcBorders>
            <w:shd w:val="clear" w:color="auto" w:fill="auto"/>
            <w:vAlign w:val="center"/>
          </w:tcPr>
          <w:p w14:paraId="4A7BFBE2">
            <w:pPr>
              <w:pStyle w:val="34"/>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276.3</w:t>
            </w:r>
          </w:p>
        </w:tc>
        <w:tc>
          <w:tcPr>
            <w:tcW w:w="732" w:type="pct"/>
            <w:tcBorders>
              <w:tl2br w:val="nil"/>
              <w:tr2bl w:val="nil"/>
            </w:tcBorders>
            <w:shd w:val="clear" w:color="auto" w:fill="auto"/>
          </w:tcPr>
          <w:p w14:paraId="117AD75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主体已实施</w:t>
            </w:r>
          </w:p>
        </w:tc>
      </w:tr>
      <w:tr w14:paraId="4C7FA40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93" w:hRule="atLeast"/>
          <w:jc w:val="center"/>
        </w:trPr>
        <w:tc>
          <w:tcPr>
            <w:tcW w:w="738" w:type="pct"/>
            <w:vMerge w:val="continue"/>
            <w:tcBorders>
              <w:tl2br w:val="nil"/>
              <w:tr2bl w:val="nil"/>
            </w:tcBorders>
            <w:shd w:val="clear" w:color="auto" w:fill="auto"/>
            <w:vAlign w:val="center"/>
          </w:tcPr>
          <w:p w14:paraId="356CC3D7">
            <w:pPr>
              <w:pStyle w:val="34"/>
              <w:rPr>
                <w:color w:val="000000" w:themeColor="text1"/>
                <w14:textFill>
                  <w14:solidFill>
                    <w14:schemeClr w14:val="tx1"/>
                  </w14:solidFill>
                </w14:textFill>
              </w:rPr>
            </w:pPr>
          </w:p>
        </w:tc>
        <w:tc>
          <w:tcPr>
            <w:tcW w:w="738" w:type="pct"/>
            <w:vMerge w:val="continue"/>
            <w:tcBorders>
              <w:tl2br w:val="nil"/>
              <w:tr2bl w:val="nil"/>
            </w:tcBorders>
            <w:shd w:val="clear" w:color="auto" w:fill="auto"/>
            <w:vAlign w:val="center"/>
          </w:tcPr>
          <w:p w14:paraId="28A1DC22">
            <w:pPr>
              <w:pStyle w:val="34"/>
              <w:rPr>
                <w:color w:val="000000" w:themeColor="text1"/>
                <w14:textFill>
                  <w14:solidFill>
                    <w14:schemeClr w14:val="tx1"/>
                  </w14:solidFill>
                </w14:textFill>
              </w:rPr>
            </w:pPr>
          </w:p>
        </w:tc>
        <w:tc>
          <w:tcPr>
            <w:tcW w:w="1124" w:type="pct"/>
            <w:tcBorders>
              <w:right w:val="single" w:color="auto" w:sz="4" w:space="0"/>
              <w:tl2br w:val="nil"/>
              <w:tr2bl w:val="nil"/>
            </w:tcBorders>
            <w:shd w:val="clear" w:color="auto" w:fill="auto"/>
            <w:vAlign w:val="center"/>
          </w:tcPr>
          <w:p w14:paraId="6486D3B3">
            <w:pPr>
              <w:pStyle w:val="34"/>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沉沙池</w:t>
            </w:r>
          </w:p>
        </w:tc>
        <w:tc>
          <w:tcPr>
            <w:tcW w:w="769" w:type="pct"/>
            <w:tcBorders>
              <w:tl2br w:val="nil"/>
              <w:tr2bl w:val="nil"/>
            </w:tcBorders>
            <w:shd w:val="clear" w:color="auto" w:fill="auto"/>
          </w:tcPr>
          <w:p w14:paraId="2374619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个</w:t>
            </w:r>
          </w:p>
        </w:tc>
        <w:tc>
          <w:tcPr>
            <w:tcW w:w="899" w:type="pct"/>
            <w:tcBorders>
              <w:tl2br w:val="nil"/>
              <w:tr2bl w:val="nil"/>
            </w:tcBorders>
            <w:shd w:val="clear" w:color="auto" w:fill="auto"/>
            <w:vAlign w:val="center"/>
          </w:tcPr>
          <w:p w14:paraId="42D045A7">
            <w:pPr>
              <w:pStyle w:val="34"/>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2</w:t>
            </w:r>
          </w:p>
        </w:tc>
        <w:tc>
          <w:tcPr>
            <w:tcW w:w="732" w:type="pct"/>
            <w:tcBorders>
              <w:tl2br w:val="nil"/>
              <w:tr2bl w:val="nil"/>
            </w:tcBorders>
            <w:shd w:val="clear" w:color="auto" w:fill="auto"/>
          </w:tcPr>
          <w:p w14:paraId="4B0CFE2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主体已实施</w:t>
            </w:r>
          </w:p>
        </w:tc>
      </w:tr>
    </w:tbl>
    <w:p w14:paraId="57C50D7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.4.2</w:t>
      </w:r>
      <w:r>
        <w:rPr>
          <w:rFonts w:hint="eastAsia"/>
          <w:color w:val="000000" w:themeColor="text1"/>
          <w14:textFill>
            <w14:solidFill>
              <w14:schemeClr w14:val="tx1"/>
            </w14:solidFill>
          </w14:textFill>
        </w:rPr>
        <w:t>建构筑物工程区</w:t>
      </w:r>
    </w:p>
    <w:p w14:paraId="3DA27568">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5.4.</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临时措施</w:t>
      </w:r>
    </w:p>
    <w:p w14:paraId="1C7EF532">
      <w:pPr>
        <w:widowControl/>
        <w:ind w:firstLine="482"/>
        <w:rPr>
          <w:b/>
          <w:bCs/>
          <w:snapToGrid w:val="0"/>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w:t>
      </w:r>
      <w:r>
        <w:rPr>
          <w:rFonts w:hint="eastAsia"/>
          <w:b/>
          <w:bCs/>
          <w:snapToGrid w:val="0"/>
          <w:color w:val="000000" w:themeColor="text1"/>
          <w14:textFill>
            <w14:solidFill>
              <w14:schemeClr w14:val="tx1"/>
            </w14:solidFill>
          </w14:textFill>
        </w:rPr>
        <w:t>临时排水沟、</w:t>
      </w:r>
      <w:r>
        <w:rPr>
          <w:rFonts w:hint="eastAsia"/>
          <w:b/>
          <w:bCs/>
          <w:color w:val="000000" w:themeColor="text1"/>
          <w14:textFill>
            <w14:solidFill>
              <w14:schemeClr w14:val="tx1"/>
            </w14:solidFill>
          </w14:textFill>
        </w:rPr>
        <w:t>临时</w:t>
      </w:r>
      <w:r>
        <w:rPr>
          <w:rFonts w:hint="eastAsia"/>
          <w:b/>
          <w:bCs/>
          <w:snapToGrid w:val="0"/>
          <w:color w:val="000000" w:themeColor="text1"/>
          <w14:textFill>
            <w14:solidFill>
              <w14:schemeClr w14:val="tx1"/>
            </w14:solidFill>
          </w14:textFill>
        </w:rPr>
        <w:t>沉沙池（主体已实施）</w:t>
      </w:r>
    </w:p>
    <w:p w14:paraId="4D912D8B">
      <w:pPr>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本方案设计沿地上建筑底部四周地面设置排水沟收集施工场地雨水，临时排水沟共计358m（MU7.5普通砖砌，矩形断面，0.40m×0.40m），按5年一遇 10min 暴雨强度进行设计，表面利用水泥砂浆抹面，沟底比降结合地形布置，平均沟底比降0.4%—0.7%，施工结束后拆除。</w:t>
      </w:r>
    </w:p>
    <w:p w14:paraId="014FDE41">
      <w:pPr>
        <w:ind w:firstLine="480"/>
        <w:rPr>
          <w:bCs/>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在临时排水沟转角位置及出口设置临时沉沙池，设置临时沉沙池</w:t>
      </w:r>
      <w:r>
        <w:rPr>
          <w:snapToGrid w:val="0"/>
          <w:color w:val="000000" w:themeColor="text1"/>
          <w14:textFill>
            <w14:solidFill>
              <w14:schemeClr w14:val="tx1"/>
            </w14:solidFill>
          </w14:textFill>
        </w:rPr>
        <w:t xml:space="preserve"> </w:t>
      </w:r>
      <w:r>
        <w:rPr>
          <w:rFonts w:hint="eastAsia"/>
          <w:snapToGrid w:val="0"/>
          <w:color w:val="000000" w:themeColor="text1"/>
          <w14:textFill>
            <w14:solidFill>
              <w14:schemeClr w14:val="tx1"/>
            </w14:solidFill>
          </w14:textFill>
        </w:rPr>
        <w:t>4个（MU7.5普通砖砌，沉沙池底长1.50m，底宽1.00m，深1.05m），衬砌</w:t>
      </w:r>
      <w:r>
        <w:rPr>
          <w:rFonts w:hint="eastAsia"/>
          <w:snapToGrid w:val="0"/>
          <w:color w:val="000000" w:themeColor="text1"/>
          <w:lang w:eastAsia="zh-CN"/>
          <w14:textFill>
            <w14:solidFill>
              <w14:schemeClr w14:val="tx1"/>
            </w14:solidFill>
          </w14:textFill>
        </w:rPr>
        <w:t>形式</w:t>
      </w:r>
      <w:r>
        <w:rPr>
          <w:rFonts w:hint="eastAsia"/>
        </w:rPr>
        <w:t>M10水泥砂浆抹面</w:t>
      </w:r>
      <w:r>
        <w:rPr>
          <w:rStyle w:val="31"/>
          <w:rFonts w:hint="eastAsia"/>
          <w:lang w:eastAsia="zh-CN"/>
        </w:rPr>
        <w:t>，</w:t>
      </w:r>
      <w:r>
        <w:rPr>
          <w:rFonts w:hint="eastAsia"/>
          <w:snapToGrid w:val="0"/>
          <w:color w:val="000000" w:themeColor="text1"/>
          <w14:textFill>
            <w14:solidFill>
              <w14:schemeClr w14:val="tx1"/>
            </w14:solidFill>
          </w14:textFill>
        </w:rPr>
        <w:t>厚度0.24m，施工结束后拆除</w:t>
      </w:r>
      <w:r>
        <w:rPr>
          <w:bCs/>
          <w:snapToGrid w:val="0"/>
          <w:color w:val="000000" w:themeColor="text1"/>
          <w14:textFill>
            <w14:solidFill>
              <w14:schemeClr w14:val="tx1"/>
            </w14:solidFill>
          </w14:textFill>
        </w:rPr>
        <w:t>。</w:t>
      </w:r>
    </w:p>
    <w:p w14:paraId="20E04314">
      <w:pPr>
        <w:ind w:firstLine="482"/>
        <w:rPr>
          <w:b/>
          <w:snapToGrid w:val="0"/>
          <w:color w:val="000000" w:themeColor="text1"/>
          <w14:textFill>
            <w14:solidFill>
              <w14:schemeClr w14:val="tx1"/>
            </w14:solidFill>
          </w14:textFill>
        </w:rPr>
      </w:pPr>
      <w:r>
        <w:rPr>
          <w:rFonts w:hint="eastAsia"/>
          <w:b/>
          <w:snapToGrid w:val="0"/>
          <w:color w:val="000000" w:themeColor="text1"/>
          <w14:textFill>
            <w14:solidFill>
              <w14:schemeClr w14:val="tx1"/>
            </w14:solidFill>
          </w14:textFill>
        </w:rPr>
        <w:t>排水沟过流能力复核：</w:t>
      </w:r>
    </w:p>
    <w:p w14:paraId="567A0B04">
      <w:pPr>
        <w:ind w:firstLine="480"/>
        <w:rPr>
          <w:bCs/>
          <w:snapToGrid w:val="0"/>
          <w:color w:val="000000" w:themeColor="text1"/>
          <w14:textFill>
            <w14:solidFill>
              <w14:schemeClr w14:val="tx1"/>
            </w14:solidFill>
          </w14:textFill>
        </w:rPr>
      </w:pPr>
      <w:r>
        <w:rPr>
          <w:rFonts w:hint="eastAsia"/>
          <w:bCs/>
          <w:snapToGrid w:val="0"/>
          <w:color w:val="000000" w:themeColor="text1"/>
          <w14:textFill>
            <w14:solidFill>
              <w14:schemeClr w14:val="tx1"/>
            </w14:solidFill>
          </w14:textFill>
        </w:rPr>
        <w:t>本方案对主体工程设计的建筑底部四周排水沟过流能力进行复核，暴雨洪水按</w:t>
      </w:r>
      <w:r>
        <w:rPr>
          <w:bCs/>
          <w:snapToGrid w:val="0"/>
          <w:color w:val="000000" w:themeColor="text1"/>
          <w14:textFill>
            <w14:solidFill>
              <w14:schemeClr w14:val="tx1"/>
            </w14:solidFill>
          </w14:textFill>
        </w:rPr>
        <w:t>5</w:t>
      </w:r>
      <w:r>
        <w:rPr>
          <w:rFonts w:hint="eastAsia"/>
          <w:bCs/>
          <w:snapToGrid w:val="0"/>
          <w:color w:val="000000" w:themeColor="text1"/>
          <w14:textFill>
            <w14:solidFill>
              <w14:schemeClr w14:val="tx1"/>
            </w14:solidFill>
          </w14:textFill>
        </w:rPr>
        <w:t>年一遇最大10min短历时降雨对其过流能力进行复核，计算情况详见下表。</w:t>
      </w:r>
    </w:p>
    <w:p w14:paraId="23056D80">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（1）设计暴雨流量</w:t>
      </w:r>
    </w:p>
    <w:p w14:paraId="22468132">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考虑到临时排水沟和施工生产生活营地、地下室基坑截水沟均为分区域排水，汇水面积重复，本方案建、构筑物工程区分区汇水面积均取0.0045km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，坡面洪峰流量计算按下式计算：</w:t>
      </w:r>
    </w:p>
    <w:p w14:paraId="05D72FC3">
      <w:pPr>
        <w:ind w:firstLine="48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Q=16.67φqF</w:t>
      </w:r>
    </w:p>
    <w:p w14:paraId="2B500217">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式中：Q——坡面洪峰流量（m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w:t>
      </w:r>
    </w:p>
    <w:p w14:paraId="376CF350">
      <w:pPr>
        <w:ind w:firstLine="1200" w:firstLineChars="5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φ——径流系数，根据本项目地面实际情况按照加权平均取0.8</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p>
    <w:p w14:paraId="69BF1E6C">
      <w:pPr>
        <w:ind w:firstLine="1274" w:firstLineChars="531"/>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q——设计重现期和降雨历时内平均降雨强度（mm/min），本项目取</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年一遇10 min；根据绵阳市暴雨强度公式计算</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w:t>
      </w:r>
      <w:r>
        <w:rPr>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1.68mm/min</w:t>
      </w:r>
      <w:r>
        <w:rPr>
          <w:rFonts w:hint="eastAsia"/>
          <w:color w:val="000000" w:themeColor="text1"/>
          <w14:textFill>
            <w14:solidFill>
              <w14:schemeClr w14:val="tx1"/>
            </w14:solidFill>
          </w14:textFill>
        </w:rPr>
        <w:t>；绵阳市暴雨强度公式如下：</w:t>
      </w:r>
    </w:p>
    <w:p w14:paraId="63FF17AF">
      <w:pPr>
        <w:ind w:firstLine="1274" w:firstLineChars="531"/>
        <w:jc w:val="left"/>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402080" cy="358140"/>
            <wp:effectExtent l="19050" t="19050" r="26670" b="2286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72"/>
                    <a:stretch>
                      <a:fillRect/>
                    </a:stretch>
                  </pic:blipFill>
                  <pic:spPr>
                    <a:xfrm>
                      <a:off x="0" y="0"/>
                      <a:ext cx="1402202" cy="358171"/>
                    </a:xfrm>
                    <a:prstGeom prst="rect">
                      <a:avLst/>
                    </a:prstGeom>
                    <a:ln>
                      <a:solidFill>
                        <a:sysClr val="windowText" lastClr="000000"/>
                      </a:solidFill>
                    </a:ln>
                  </pic:spPr>
                </pic:pic>
              </a:graphicData>
            </a:graphic>
          </wp:inline>
        </w:drawing>
      </w:r>
    </w:p>
    <w:p w14:paraId="4C3C777B">
      <w:pPr>
        <w:ind w:firstLine="1274" w:firstLineChars="531"/>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F——坡面汇水面积（km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46C07A88">
      <w:pPr>
        <w:pStyle w:val="33"/>
        <w:ind w:firstLine="1476" w:firstLineChars="70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4                   </w:t>
      </w:r>
      <w:r>
        <w:rPr>
          <w:rFonts w:hint="eastAsia"/>
          <w:color w:val="000000" w:themeColor="text1"/>
          <w14:textFill>
            <w14:solidFill>
              <w14:schemeClr w14:val="tx1"/>
            </w14:solidFill>
          </w14:textFill>
        </w:rPr>
        <w:t>设计暴雨洪峰流量计算表</w:t>
      </w:r>
    </w:p>
    <w:tbl>
      <w:tblPr>
        <w:tblStyle w:val="27"/>
        <w:tblW w:w="77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780"/>
        <w:gridCol w:w="1249"/>
        <w:gridCol w:w="1094"/>
        <w:gridCol w:w="1249"/>
        <w:gridCol w:w="936"/>
        <w:gridCol w:w="1251"/>
      </w:tblGrid>
      <w:tr w14:paraId="3950C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3" w:type="dxa"/>
            <w:vMerge w:val="restart"/>
            <w:vAlign w:val="center"/>
          </w:tcPr>
          <w:p w14:paraId="61298CDE">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汇水面积（k</w:t>
            </w:r>
            <w:r>
              <w:rPr>
                <w:color w:val="000000" w:themeColor="text1"/>
                <w:sz w:val="18"/>
                <w:szCs w:val="18"/>
                <w14:textFill>
                  <w14:solidFill>
                    <w14:schemeClr w14:val="tx1"/>
                  </w14:solidFill>
                </w14:textFill>
              </w:rPr>
              <w:t>m</w:t>
            </w:r>
            <w:r>
              <w:rPr>
                <w:color w:val="000000" w:themeColor="text1"/>
                <w:sz w:val="18"/>
                <w:szCs w:val="18"/>
                <w:vertAlign w:val="superscript"/>
                <w14:textFill>
                  <w14:solidFill>
                    <w14:schemeClr w14:val="tx1"/>
                  </w14:solidFill>
                </w14:textFill>
              </w:rPr>
              <w:t>2</w:t>
            </w:r>
            <w:r>
              <w:rPr>
                <w:rFonts w:hint="eastAsia"/>
                <w:color w:val="000000" w:themeColor="text1"/>
                <w:sz w:val="18"/>
                <w:szCs w:val="18"/>
                <w14:textFill>
                  <w14:solidFill>
                    <w14:schemeClr w14:val="tx1"/>
                  </w14:solidFill>
                </w14:textFill>
              </w:rPr>
              <w:t>）</w:t>
            </w:r>
          </w:p>
        </w:tc>
        <w:tc>
          <w:tcPr>
            <w:tcW w:w="780" w:type="dxa"/>
            <w:vMerge w:val="restart"/>
            <w:vAlign w:val="center"/>
          </w:tcPr>
          <w:p w14:paraId="120E1C35">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径流系数</w:t>
            </w:r>
          </w:p>
        </w:tc>
        <w:tc>
          <w:tcPr>
            <w:tcW w:w="1249" w:type="dxa"/>
            <w:vMerge w:val="restart"/>
            <w:vAlign w:val="center"/>
          </w:tcPr>
          <w:p w14:paraId="425CE4E3">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标准降雨强度(q</w:t>
            </w:r>
            <w:r>
              <w:rPr>
                <w:color w:val="000000" w:themeColor="text1"/>
                <w:sz w:val="18"/>
                <w:szCs w:val="18"/>
                <w:vertAlign w:val="subscript"/>
                <w14:textFill>
                  <w14:solidFill>
                    <w14:schemeClr w14:val="tx1"/>
                  </w14:solidFill>
                </w14:textFill>
              </w:rPr>
              <w:t>5,</w:t>
            </w:r>
            <w:r>
              <w:rPr>
                <w:rFonts w:hint="eastAsia"/>
                <w:color w:val="000000" w:themeColor="text1"/>
                <w:sz w:val="18"/>
                <w:szCs w:val="18"/>
                <w:vertAlign w:val="subscript"/>
                <w14:textFill>
                  <w14:solidFill>
                    <w14:schemeClr w14:val="tx1"/>
                  </w14:solidFill>
                </w14:textFill>
              </w:rPr>
              <w:t>10</w:t>
            </w:r>
            <w:r>
              <w:rPr>
                <w:color w:val="000000" w:themeColor="text1"/>
                <w:sz w:val="18"/>
                <w:szCs w:val="18"/>
                <w14:textFill>
                  <w14:solidFill>
                    <w14:schemeClr w14:val="tx1"/>
                  </w14:solidFill>
                </w14:textFill>
              </w:rPr>
              <w:t>)</w:t>
            </w:r>
          </w:p>
        </w:tc>
        <w:tc>
          <w:tcPr>
            <w:tcW w:w="4530" w:type="dxa"/>
            <w:gridSpan w:val="4"/>
            <w:vAlign w:val="center"/>
          </w:tcPr>
          <w:p w14:paraId="00C5A4D2">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5年一遇</w:t>
            </w:r>
          </w:p>
        </w:tc>
      </w:tr>
      <w:tr w14:paraId="0B39C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1213" w:type="dxa"/>
            <w:vMerge w:val="continue"/>
          </w:tcPr>
          <w:p w14:paraId="6A60ADCC">
            <w:pPr>
              <w:ind w:firstLine="0" w:firstLineChars="0"/>
              <w:jc w:val="left"/>
              <w:rPr>
                <w:color w:val="000000" w:themeColor="text1"/>
                <w:sz w:val="18"/>
                <w:szCs w:val="18"/>
                <w14:textFill>
                  <w14:solidFill>
                    <w14:schemeClr w14:val="tx1"/>
                  </w14:solidFill>
                </w14:textFill>
              </w:rPr>
            </w:pPr>
          </w:p>
        </w:tc>
        <w:tc>
          <w:tcPr>
            <w:tcW w:w="780" w:type="dxa"/>
            <w:vMerge w:val="continue"/>
          </w:tcPr>
          <w:p w14:paraId="19F84E18">
            <w:pPr>
              <w:ind w:firstLine="0" w:firstLineChars="0"/>
              <w:jc w:val="left"/>
              <w:rPr>
                <w:color w:val="000000" w:themeColor="text1"/>
                <w:sz w:val="18"/>
                <w:szCs w:val="18"/>
                <w14:textFill>
                  <w14:solidFill>
                    <w14:schemeClr w14:val="tx1"/>
                  </w14:solidFill>
                </w14:textFill>
              </w:rPr>
            </w:pPr>
          </w:p>
        </w:tc>
        <w:tc>
          <w:tcPr>
            <w:tcW w:w="1249" w:type="dxa"/>
            <w:vMerge w:val="continue"/>
          </w:tcPr>
          <w:p w14:paraId="65D8A02B">
            <w:pPr>
              <w:ind w:firstLine="0" w:firstLineChars="0"/>
              <w:jc w:val="left"/>
              <w:rPr>
                <w:color w:val="000000" w:themeColor="text1"/>
                <w:sz w:val="18"/>
                <w:szCs w:val="18"/>
                <w14:textFill>
                  <w14:solidFill>
                    <w14:schemeClr w14:val="tx1"/>
                  </w14:solidFill>
                </w14:textFill>
              </w:rPr>
            </w:pPr>
          </w:p>
        </w:tc>
        <w:tc>
          <w:tcPr>
            <w:tcW w:w="1094" w:type="dxa"/>
            <w:vAlign w:val="center"/>
          </w:tcPr>
          <w:p w14:paraId="42858D54">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重现期转化系数</w:t>
            </w:r>
          </w:p>
        </w:tc>
        <w:tc>
          <w:tcPr>
            <w:tcW w:w="1249" w:type="dxa"/>
            <w:vAlign w:val="center"/>
          </w:tcPr>
          <w:p w14:paraId="188BA516">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降雨历时转换系数</w:t>
            </w:r>
          </w:p>
        </w:tc>
        <w:tc>
          <w:tcPr>
            <w:tcW w:w="936" w:type="dxa"/>
            <w:vAlign w:val="center"/>
          </w:tcPr>
          <w:p w14:paraId="4049011A">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计算降雨强度</w:t>
            </w:r>
          </w:p>
        </w:tc>
        <w:tc>
          <w:tcPr>
            <w:tcW w:w="1251" w:type="dxa"/>
            <w:vAlign w:val="center"/>
          </w:tcPr>
          <w:p w14:paraId="4BBC208E">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洪水流量（m</w:t>
            </w:r>
            <w:r>
              <w:rPr>
                <w:color w:val="000000" w:themeColor="text1"/>
                <w:sz w:val="18"/>
                <w:szCs w:val="18"/>
                <w:vertAlign w:val="superscript"/>
                <w14:textFill>
                  <w14:solidFill>
                    <w14:schemeClr w14:val="tx1"/>
                  </w14:solidFill>
                </w14:textFill>
              </w:rPr>
              <w:t>3</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S</w:t>
            </w:r>
            <w:r>
              <w:rPr>
                <w:rFonts w:hint="eastAsia"/>
                <w:color w:val="000000" w:themeColor="text1"/>
                <w:sz w:val="18"/>
                <w:szCs w:val="18"/>
                <w14:textFill>
                  <w14:solidFill>
                    <w14:schemeClr w14:val="tx1"/>
                  </w14:solidFill>
                </w14:textFill>
              </w:rPr>
              <w:t>）</w:t>
            </w:r>
          </w:p>
        </w:tc>
      </w:tr>
      <w:tr w14:paraId="06503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13" w:type="dxa"/>
            <w:vAlign w:val="center"/>
          </w:tcPr>
          <w:p w14:paraId="428D3AF5">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0.0045</w:t>
            </w:r>
          </w:p>
        </w:tc>
        <w:tc>
          <w:tcPr>
            <w:tcW w:w="780" w:type="dxa"/>
            <w:vAlign w:val="center"/>
          </w:tcPr>
          <w:p w14:paraId="3F1BAC96">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.85</w:t>
            </w:r>
          </w:p>
        </w:tc>
        <w:tc>
          <w:tcPr>
            <w:tcW w:w="1249" w:type="dxa"/>
            <w:vAlign w:val="center"/>
          </w:tcPr>
          <w:p w14:paraId="23B8B955">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.68</w:t>
            </w:r>
          </w:p>
        </w:tc>
        <w:tc>
          <w:tcPr>
            <w:tcW w:w="1094" w:type="dxa"/>
            <w:vAlign w:val="center"/>
          </w:tcPr>
          <w:p w14:paraId="00AAA642">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00</w:t>
            </w:r>
          </w:p>
        </w:tc>
        <w:tc>
          <w:tcPr>
            <w:tcW w:w="1249" w:type="dxa"/>
            <w:vAlign w:val="center"/>
          </w:tcPr>
          <w:p w14:paraId="2DB8E42E">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.00</w:t>
            </w:r>
          </w:p>
        </w:tc>
        <w:tc>
          <w:tcPr>
            <w:tcW w:w="936" w:type="dxa"/>
            <w:vAlign w:val="center"/>
          </w:tcPr>
          <w:p w14:paraId="29168704">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.68</w:t>
            </w:r>
          </w:p>
        </w:tc>
        <w:tc>
          <w:tcPr>
            <w:tcW w:w="1251" w:type="dxa"/>
            <w:vAlign w:val="center"/>
          </w:tcPr>
          <w:p w14:paraId="60465C4F">
            <w:pPr>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0.107</w:t>
            </w:r>
          </w:p>
        </w:tc>
      </w:tr>
    </w:tbl>
    <w:p w14:paraId="4FA37F6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（2）过流能力计算</w:t>
      </w:r>
    </w:p>
    <w:p w14:paraId="4E5AA70C">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排水沟排水能力按明渠均匀流公式计算：</w:t>
      </w:r>
    </w:p>
    <w:p w14:paraId="06C7460A">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78205" cy="420370"/>
            <wp:effectExtent l="0" t="0" r="0" b="1143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878205" cy="420370"/>
                    </a:xfrm>
                    <a:prstGeom prst="rect">
                      <a:avLst/>
                    </a:prstGeom>
                    <a:noFill/>
                  </pic:spPr>
                </pic:pic>
              </a:graphicData>
            </a:graphic>
          </wp:inline>
        </w:drawing>
      </w:r>
    </w:p>
    <w:p w14:paraId="25D69678">
      <w:pPr>
        <w:ind w:firstLine="480"/>
        <w:rPr>
          <w:color w:val="000000" w:themeColor="text1"/>
          <w14:textFill>
            <w14:solidFill>
              <w14:schemeClr w14:val="tx1"/>
            </w14:solidFill>
          </w14:textFill>
        </w:rPr>
      </w:pPr>
      <w:r>
        <w:rPr>
          <w:color w:val="000000" w:themeColor="text1"/>
          <w14:textFill>
            <w14:solidFill>
              <w14:schemeClr w14:val="tx1"/>
            </w14:solidFill>
          </w14:textFill>
        </w:rPr>
        <w:t>式中：Q</w:t>
      </w:r>
      <w:r>
        <w:rPr>
          <w:rFonts w:hint="eastAsia"/>
          <w:color w:val="000000" w:themeColor="text1"/>
          <w:vertAlign w:val="subscript"/>
          <w14:textFill>
            <w14:solidFill>
              <w14:schemeClr w14:val="tx1"/>
            </w14:solidFill>
          </w14:textFill>
        </w:rPr>
        <w:t>b</w:t>
      </w:r>
      <w:r>
        <w:rPr>
          <w:rFonts w:hint="eastAsia"/>
          <w:color w:val="000000" w:themeColor="text1"/>
          <w14:textFill>
            <w14:solidFill>
              <w14:schemeClr w14:val="tx1"/>
            </w14:solidFill>
          </w14:textFill>
        </w:rPr>
        <w:t>——排水沟</w:t>
      </w:r>
      <w:r>
        <w:rPr>
          <w:color w:val="000000" w:themeColor="text1"/>
          <w14:textFill>
            <w14:solidFill>
              <w14:schemeClr w14:val="tx1"/>
            </w14:solidFill>
          </w14:textFill>
        </w:rPr>
        <w:t>排水流量，m³/s；</w:t>
      </w:r>
    </w:p>
    <w:p w14:paraId="34575336">
      <w:pPr>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A－过水断面面积，m²；</w:t>
      </w:r>
    </w:p>
    <w:p w14:paraId="151FFB63">
      <w:pPr>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n－排水沟糙率</w:t>
      </w:r>
      <w:r>
        <w:rPr>
          <w:rFonts w:hint="eastAsia"/>
          <w:color w:val="000000" w:themeColor="text1"/>
          <w14:textFill>
            <w14:solidFill>
              <w14:schemeClr w14:val="tx1"/>
            </w14:solidFill>
          </w14:textFill>
        </w:rPr>
        <w:t>，查《水土保持工程设计规范》（GB51018-2014）P146表A.4.2-2，水泥混凝土抹面明沟糙率取0.015</w:t>
      </w:r>
      <w:r>
        <w:rPr>
          <w:color w:val="000000" w:themeColor="text1"/>
          <w14:textFill>
            <w14:solidFill>
              <w14:schemeClr w14:val="tx1"/>
            </w14:solidFill>
          </w14:textFill>
        </w:rPr>
        <w:t>；</w:t>
      </w:r>
    </w:p>
    <w:p w14:paraId="06FBC45C">
      <w:pPr>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R－水力半径，</w:t>
      </w:r>
      <w:r>
        <w:rPr>
          <w:rFonts w:hint="eastAsia"/>
          <w:color w:val="000000" w:themeColor="text1"/>
          <w14:textFill>
            <w14:solidFill>
              <w14:schemeClr w14:val="tx1"/>
            </w14:solidFill>
          </w14:textFill>
        </w:rPr>
        <w:t>R=A/χm；</w:t>
      </w:r>
    </w:p>
    <w:p w14:paraId="03A8A42A">
      <w:pPr>
        <w:ind w:firstLine="1274" w:firstLineChars="531"/>
        <w:rPr>
          <w:color w:val="000000" w:themeColor="text1"/>
          <w14:textFill>
            <w14:solidFill>
              <w14:schemeClr w14:val="tx1"/>
            </w14:solidFill>
          </w14:textFill>
        </w:rPr>
      </w:pPr>
      <w:r>
        <w:rPr>
          <w:color w:val="000000" w:themeColor="text1"/>
          <w14:textFill>
            <w14:solidFill>
              <w14:schemeClr w14:val="tx1"/>
            </w14:solidFill>
          </w14:textFill>
        </w:rPr>
        <w:t>i－排水沟纵坡比降。</w:t>
      </w:r>
    </w:p>
    <w:p w14:paraId="77AE8F35">
      <w:pPr>
        <w:pStyle w:val="33"/>
        <w:ind w:firstLine="2108" w:firstLineChars="1000"/>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 xml:space="preserve">                        排水沟过流能力计算表</w:t>
      </w:r>
    </w:p>
    <w:tbl>
      <w:tblPr>
        <w:tblStyle w:val="26"/>
        <w:tblW w:w="98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960"/>
        <w:gridCol w:w="960"/>
        <w:gridCol w:w="1120"/>
        <w:gridCol w:w="1380"/>
        <w:gridCol w:w="1600"/>
        <w:gridCol w:w="1040"/>
        <w:gridCol w:w="960"/>
        <w:gridCol w:w="960"/>
      </w:tblGrid>
      <w:tr w14:paraId="5D252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833" w:type="dxa"/>
            <w:vMerge w:val="restart"/>
            <w:shd w:val="clear" w:color="auto" w:fill="auto"/>
            <w:vAlign w:val="center"/>
          </w:tcPr>
          <w:p w14:paraId="7EB8EE0B">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类型</w:t>
            </w:r>
          </w:p>
        </w:tc>
        <w:tc>
          <w:tcPr>
            <w:tcW w:w="960" w:type="dxa"/>
            <w:shd w:val="clear" w:color="auto" w:fill="auto"/>
            <w:vAlign w:val="center"/>
          </w:tcPr>
          <w:p w14:paraId="17911DB3">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底宽（</w:t>
            </w:r>
            <w:r>
              <w:rPr>
                <w:rFonts w:cs="Times New Roman"/>
                <w:color w:val="000000" w:themeColor="text1"/>
                <w:kern w:val="0"/>
                <w:sz w:val="18"/>
                <w:szCs w:val="18"/>
                <w14:textFill>
                  <w14:solidFill>
                    <w14:schemeClr w14:val="tx1"/>
                  </w14:solidFill>
                </w14:textFill>
              </w:rPr>
              <w:t>m)</w:t>
            </w:r>
          </w:p>
        </w:tc>
        <w:tc>
          <w:tcPr>
            <w:tcW w:w="960" w:type="dxa"/>
            <w:shd w:val="clear" w:color="auto" w:fill="auto"/>
            <w:vAlign w:val="center"/>
          </w:tcPr>
          <w:p w14:paraId="352D1FB0">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水深</w:t>
            </w:r>
            <w:r>
              <w:rPr>
                <w:rFonts w:cs="Times New Roman"/>
                <w:color w:val="000000" w:themeColor="text1"/>
                <w:kern w:val="0"/>
                <w:sz w:val="18"/>
                <w:szCs w:val="18"/>
                <w14:textFill>
                  <w14:solidFill>
                    <w14:schemeClr w14:val="tx1"/>
                  </w14:solidFill>
                </w14:textFill>
              </w:rPr>
              <w:t>(m)</w:t>
            </w:r>
          </w:p>
        </w:tc>
        <w:tc>
          <w:tcPr>
            <w:tcW w:w="1120" w:type="dxa"/>
            <w:shd w:val="clear" w:color="auto" w:fill="auto"/>
            <w:vAlign w:val="center"/>
          </w:tcPr>
          <w:p w14:paraId="1F257D9A">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过水面积</w:t>
            </w:r>
            <w:r>
              <w:rPr>
                <w:rFonts w:cs="Times New Roman"/>
                <w:color w:val="000000" w:themeColor="text1"/>
                <w:kern w:val="0"/>
                <w:sz w:val="18"/>
                <w:szCs w:val="18"/>
                <w14:textFill>
                  <w14:solidFill>
                    <w14:schemeClr w14:val="tx1"/>
                  </w14:solidFill>
                </w14:textFill>
              </w:rPr>
              <w:t>(m</w:t>
            </w:r>
            <w:r>
              <w:rPr>
                <w:rFonts w:cs="Times New Roman"/>
                <w:color w:val="000000" w:themeColor="text1"/>
                <w:kern w:val="0"/>
                <w:sz w:val="18"/>
                <w:szCs w:val="18"/>
                <w:vertAlign w:val="superscript"/>
                <w14:textFill>
                  <w14:solidFill>
                    <w14:schemeClr w14:val="tx1"/>
                  </w14:solidFill>
                </w14:textFill>
              </w:rPr>
              <w:t>2</w:t>
            </w:r>
            <w:r>
              <w:rPr>
                <w:rFonts w:cs="Times New Roman"/>
                <w:color w:val="000000" w:themeColor="text1"/>
                <w:kern w:val="0"/>
                <w:sz w:val="18"/>
                <w:szCs w:val="18"/>
                <w14:textFill>
                  <w14:solidFill>
                    <w14:schemeClr w14:val="tx1"/>
                  </w14:solidFill>
                </w14:textFill>
              </w:rPr>
              <w:t>)</w:t>
            </w:r>
          </w:p>
        </w:tc>
        <w:tc>
          <w:tcPr>
            <w:tcW w:w="1380" w:type="dxa"/>
            <w:shd w:val="clear" w:color="auto" w:fill="auto"/>
            <w:vAlign w:val="center"/>
          </w:tcPr>
          <w:p w14:paraId="7C504E8A">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湿周</w:t>
            </w:r>
            <w:r>
              <w:rPr>
                <w:rFonts w:cs="Times New Roman"/>
                <w:color w:val="000000" w:themeColor="text1"/>
                <w:kern w:val="0"/>
                <w:sz w:val="18"/>
                <w:szCs w:val="18"/>
                <w14:textFill>
                  <w14:solidFill>
                    <w14:schemeClr w14:val="tx1"/>
                  </w14:solidFill>
                </w14:textFill>
              </w:rPr>
              <w:t>(m)</w:t>
            </w:r>
          </w:p>
        </w:tc>
        <w:tc>
          <w:tcPr>
            <w:tcW w:w="1600" w:type="dxa"/>
            <w:shd w:val="clear" w:color="auto" w:fill="auto"/>
            <w:vAlign w:val="center"/>
          </w:tcPr>
          <w:p w14:paraId="2FE1FCEB">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水力半径（</w:t>
            </w:r>
            <w:r>
              <w:rPr>
                <w:rFonts w:cs="Times New Roman"/>
                <w:color w:val="000000" w:themeColor="text1"/>
                <w:kern w:val="0"/>
                <w:sz w:val="18"/>
                <w:szCs w:val="18"/>
                <w14:textFill>
                  <w14:solidFill>
                    <w14:schemeClr w14:val="tx1"/>
                  </w14:solidFill>
                </w14:textFill>
              </w:rPr>
              <w:t>m)</w:t>
            </w:r>
          </w:p>
        </w:tc>
        <w:tc>
          <w:tcPr>
            <w:tcW w:w="1040" w:type="dxa"/>
            <w:shd w:val="clear" w:color="auto" w:fill="auto"/>
            <w:vAlign w:val="center"/>
          </w:tcPr>
          <w:p w14:paraId="0BB095B9">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粗糙系数</w:t>
            </w:r>
          </w:p>
        </w:tc>
        <w:tc>
          <w:tcPr>
            <w:tcW w:w="960" w:type="dxa"/>
            <w:shd w:val="clear" w:color="auto" w:fill="auto"/>
            <w:vAlign w:val="center"/>
          </w:tcPr>
          <w:p w14:paraId="106C7F3A">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水力坡降</w:t>
            </w:r>
          </w:p>
        </w:tc>
        <w:tc>
          <w:tcPr>
            <w:tcW w:w="960" w:type="dxa"/>
            <w:shd w:val="clear" w:color="auto" w:fill="auto"/>
            <w:vAlign w:val="center"/>
          </w:tcPr>
          <w:p w14:paraId="2D597D35">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最大过水流量</w:t>
            </w:r>
          </w:p>
        </w:tc>
      </w:tr>
      <w:tr w14:paraId="271C0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33" w:type="dxa"/>
            <w:vMerge w:val="continue"/>
            <w:vAlign w:val="center"/>
          </w:tcPr>
          <w:p w14:paraId="75B140E2">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960" w:type="dxa"/>
            <w:shd w:val="clear" w:color="auto" w:fill="auto"/>
            <w:vAlign w:val="center"/>
          </w:tcPr>
          <w:p w14:paraId="2C13055B">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W</w:t>
            </w:r>
          </w:p>
        </w:tc>
        <w:tc>
          <w:tcPr>
            <w:tcW w:w="960" w:type="dxa"/>
            <w:shd w:val="clear" w:color="auto" w:fill="auto"/>
            <w:vAlign w:val="center"/>
          </w:tcPr>
          <w:p w14:paraId="70C13338">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H</w:t>
            </w:r>
          </w:p>
        </w:tc>
        <w:tc>
          <w:tcPr>
            <w:tcW w:w="1120" w:type="dxa"/>
            <w:shd w:val="clear" w:color="auto" w:fill="auto"/>
            <w:vAlign w:val="center"/>
          </w:tcPr>
          <w:p w14:paraId="3ED6F044">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A</w:t>
            </w:r>
            <w:r>
              <w:rPr>
                <w:rFonts w:hint="eastAsia" w:ascii="仿宋_GB2312" w:cs="Times New Roman"/>
                <w:color w:val="000000" w:themeColor="text1"/>
                <w:kern w:val="0"/>
                <w:sz w:val="18"/>
                <w:szCs w:val="18"/>
                <w14:textFill>
                  <w14:solidFill>
                    <w14:schemeClr w14:val="tx1"/>
                  </w14:solidFill>
                </w14:textFill>
              </w:rPr>
              <w:t>（</w:t>
            </w:r>
            <w:r>
              <w:rPr>
                <w:rFonts w:cs="Times New Roman"/>
                <w:color w:val="000000" w:themeColor="text1"/>
                <w:kern w:val="0"/>
                <w:sz w:val="18"/>
                <w:szCs w:val="18"/>
                <w14:textFill>
                  <w14:solidFill>
                    <w14:schemeClr w14:val="tx1"/>
                  </w14:solidFill>
                </w14:textFill>
              </w:rPr>
              <w:t>W</w:t>
            </w:r>
            <w:r>
              <w:rPr>
                <w:rFonts w:ascii="仿宋_GB2312" w:cs="Times New Roman"/>
                <w:color w:val="000000" w:themeColor="text1"/>
                <w:kern w:val="0"/>
                <w:sz w:val="18"/>
                <w:szCs w:val="18"/>
                <w14:textFill>
                  <w14:solidFill>
                    <w14:schemeClr w14:val="tx1"/>
                  </w14:solidFill>
                </w14:textFill>
              </w:rPr>
              <w:t xml:space="preserve"> </w:t>
            </w:r>
            <w:r>
              <w:rPr>
                <w:rFonts w:eastAsia="宋体" w:cs="Times New Roman"/>
                <w:color w:val="000000" w:themeColor="text1"/>
                <w:kern w:val="0"/>
                <w:sz w:val="18"/>
                <w:szCs w:val="18"/>
                <w14:textFill>
                  <w14:solidFill>
                    <w14:schemeClr w14:val="tx1"/>
                  </w14:solidFill>
                </w14:textFill>
              </w:rPr>
              <w:t>H</w:t>
            </w:r>
            <w:r>
              <w:rPr>
                <w:rFonts w:hint="eastAsia" w:ascii="仿宋_GB2312" w:cs="Times New Roman"/>
                <w:color w:val="000000" w:themeColor="text1"/>
                <w:kern w:val="0"/>
                <w:sz w:val="18"/>
                <w:szCs w:val="18"/>
                <w14:textFill>
                  <w14:solidFill>
                    <w14:schemeClr w14:val="tx1"/>
                  </w14:solidFill>
                </w14:textFill>
              </w:rPr>
              <w:t>）</w:t>
            </w:r>
          </w:p>
        </w:tc>
        <w:tc>
          <w:tcPr>
            <w:tcW w:w="1380" w:type="dxa"/>
            <w:shd w:val="clear" w:color="auto" w:fill="auto"/>
            <w:vAlign w:val="center"/>
          </w:tcPr>
          <w:p w14:paraId="56CC4388">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X</w:t>
            </w:r>
            <w:r>
              <w:rPr>
                <w:rFonts w:hint="eastAsia" w:ascii="仿宋_GB2312" w:cs="Times New Roman"/>
                <w:color w:val="000000" w:themeColor="text1"/>
                <w:kern w:val="0"/>
                <w:sz w:val="18"/>
                <w:szCs w:val="18"/>
                <w14:textFill>
                  <w14:solidFill>
                    <w14:schemeClr w14:val="tx1"/>
                  </w14:solidFill>
                </w14:textFill>
              </w:rPr>
              <w:t>（</w:t>
            </w:r>
            <w:r>
              <w:rPr>
                <w:rFonts w:eastAsia="宋体" w:cs="Times New Roman"/>
                <w:color w:val="000000" w:themeColor="text1"/>
                <w:kern w:val="0"/>
                <w:sz w:val="18"/>
                <w:szCs w:val="18"/>
                <w14:textFill>
                  <w14:solidFill>
                    <w14:schemeClr w14:val="tx1"/>
                  </w14:solidFill>
                </w14:textFill>
              </w:rPr>
              <w:t>W+2H</w:t>
            </w:r>
            <w:r>
              <w:rPr>
                <w:rFonts w:hint="eastAsia" w:ascii="仿宋_GB2312" w:cs="Times New Roman"/>
                <w:color w:val="000000" w:themeColor="text1"/>
                <w:kern w:val="0"/>
                <w:sz w:val="18"/>
                <w:szCs w:val="18"/>
                <w14:textFill>
                  <w14:solidFill>
                    <w14:schemeClr w14:val="tx1"/>
                  </w14:solidFill>
                </w14:textFill>
              </w:rPr>
              <w:t>）</w:t>
            </w:r>
          </w:p>
        </w:tc>
        <w:tc>
          <w:tcPr>
            <w:tcW w:w="1600" w:type="dxa"/>
            <w:shd w:val="clear" w:color="auto" w:fill="auto"/>
            <w:vAlign w:val="center"/>
          </w:tcPr>
          <w:p w14:paraId="7547A8A5">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R</w:t>
            </w:r>
            <w:r>
              <w:rPr>
                <w:rFonts w:hint="eastAsia" w:ascii="仿宋_GB2312" w:cs="Times New Roman"/>
                <w:color w:val="000000" w:themeColor="text1"/>
                <w:kern w:val="0"/>
                <w:sz w:val="18"/>
                <w:szCs w:val="18"/>
                <w14:textFill>
                  <w14:solidFill>
                    <w14:schemeClr w14:val="tx1"/>
                  </w14:solidFill>
                </w14:textFill>
              </w:rPr>
              <w:t>（</w:t>
            </w:r>
            <w:r>
              <w:rPr>
                <w:rFonts w:eastAsia="宋体" w:cs="Times New Roman"/>
                <w:color w:val="000000" w:themeColor="text1"/>
                <w:kern w:val="0"/>
                <w:sz w:val="18"/>
                <w:szCs w:val="18"/>
                <w14:textFill>
                  <w14:solidFill>
                    <w14:schemeClr w14:val="tx1"/>
                  </w14:solidFill>
                </w14:textFill>
              </w:rPr>
              <w:t>A/X</w:t>
            </w:r>
            <w:r>
              <w:rPr>
                <w:rFonts w:hint="eastAsia" w:ascii="仿宋_GB2312" w:cs="Times New Roman"/>
                <w:color w:val="000000" w:themeColor="text1"/>
                <w:kern w:val="0"/>
                <w:sz w:val="18"/>
                <w:szCs w:val="18"/>
                <w14:textFill>
                  <w14:solidFill>
                    <w14:schemeClr w14:val="tx1"/>
                  </w14:solidFill>
                </w14:textFill>
              </w:rPr>
              <w:t>）</w:t>
            </w:r>
          </w:p>
        </w:tc>
        <w:tc>
          <w:tcPr>
            <w:tcW w:w="1040" w:type="dxa"/>
            <w:shd w:val="clear" w:color="auto" w:fill="auto"/>
            <w:vAlign w:val="center"/>
          </w:tcPr>
          <w:p w14:paraId="591DC5E4">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n</w:t>
            </w:r>
          </w:p>
        </w:tc>
        <w:tc>
          <w:tcPr>
            <w:tcW w:w="960" w:type="dxa"/>
            <w:shd w:val="clear" w:color="auto" w:fill="auto"/>
            <w:vAlign w:val="center"/>
          </w:tcPr>
          <w:p w14:paraId="663D90B8">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i</w:t>
            </w:r>
          </w:p>
        </w:tc>
        <w:tc>
          <w:tcPr>
            <w:tcW w:w="960" w:type="dxa"/>
            <w:shd w:val="clear" w:color="auto" w:fill="auto"/>
            <w:vAlign w:val="center"/>
          </w:tcPr>
          <w:p w14:paraId="62E5DB54">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Q</w:t>
            </w:r>
            <w:r>
              <w:rPr>
                <w:rFonts w:hint="eastAsia" w:ascii="仿宋_GB2312" w:cs="Times New Roman"/>
                <w:color w:val="000000" w:themeColor="text1"/>
                <w:kern w:val="0"/>
                <w:sz w:val="18"/>
                <w:szCs w:val="18"/>
                <w14:textFill>
                  <w14:solidFill>
                    <w14:schemeClr w14:val="tx1"/>
                  </w14:solidFill>
                </w14:textFill>
              </w:rPr>
              <w:t>（</w:t>
            </w:r>
            <w:r>
              <w:rPr>
                <w:rFonts w:eastAsia="宋体" w:cs="Times New Roman"/>
                <w:color w:val="000000" w:themeColor="text1"/>
                <w:kern w:val="0"/>
                <w:sz w:val="18"/>
                <w:szCs w:val="18"/>
                <w14:textFill>
                  <w14:solidFill>
                    <w14:schemeClr w14:val="tx1"/>
                  </w14:solidFill>
                </w14:textFill>
              </w:rPr>
              <w:t>m</w:t>
            </w:r>
            <w:r>
              <w:rPr>
                <w:rFonts w:eastAsia="宋体" w:cs="Times New Roman"/>
                <w:color w:val="000000" w:themeColor="text1"/>
                <w:kern w:val="0"/>
                <w:sz w:val="18"/>
                <w:szCs w:val="18"/>
                <w:vertAlign w:val="superscript"/>
                <w14:textFill>
                  <w14:solidFill>
                    <w14:schemeClr w14:val="tx1"/>
                  </w14:solidFill>
                </w14:textFill>
              </w:rPr>
              <w:t>3</w:t>
            </w:r>
            <w:r>
              <w:rPr>
                <w:rFonts w:eastAsia="宋体" w:cs="Times New Roman"/>
                <w:color w:val="000000" w:themeColor="text1"/>
                <w:kern w:val="0"/>
                <w:sz w:val="18"/>
                <w:szCs w:val="18"/>
                <w14:textFill>
                  <w14:solidFill>
                    <w14:schemeClr w14:val="tx1"/>
                  </w14:solidFill>
                </w14:textFill>
              </w:rPr>
              <w:t>/s)</w:t>
            </w:r>
          </w:p>
        </w:tc>
      </w:tr>
      <w:tr w14:paraId="1740D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33" w:type="dxa"/>
            <w:shd w:val="clear" w:color="auto" w:fill="auto"/>
            <w:vAlign w:val="center"/>
          </w:tcPr>
          <w:p w14:paraId="7893128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排水沟</w:t>
            </w:r>
          </w:p>
        </w:tc>
        <w:tc>
          <w:tcPr>
            <w:tcW w:w="960" w:type="dxa"/>
            <w:shd w:val="clear" w:color="auto" w:fill="auto"/>
            <w:vAlign w:val="center"/>
          </w:tcPr>
          <w:p w14:paraId="3D3BC5F3">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0.4</w:t>
            </w:r>
          </w:p>
        </w:tc>
        <w:tc>
          <w:tcPr>
            <w:tcW w:w="960" w:type="dxa"/>
            <w:shd w:val="clear" w:color="auto" w:fill="auto"/>
            <w:vAlign w:val="center"/>
          </w:tcPr>
          <w:p w14:paraId="3925D890">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w:t>
            </w:r>
            <w:r>
              <w:rPr>
                <w:rFonts w:hint="eastAsia" w:eastAsia="宋体" w:cs="Times New Roman"/>
                <w:color w:val="000000" w:themeColor="text1"/>
                <w:kern w:val="0"/>
                <w:sz w:val="18"/>
                <w:szCs w:val="18"/>
                <w:lang w:val="en-US" w:eastAsia="zh-CN"/>
                <w14:textFill>
                  <w14:solidFill>
                    <w14:schemeClr w14:val="tx1"/>
                  </w14:solidFill>
                </w14:textFill>
              </w:rPr>
              <w:t>4</w:t>
            </w:r>
          </w:p>
        </w:tc>
        <w:tc>
          <w:tcPr>
            <w:tcW w:w="1120" w:type="dxa"/>
            <w:shd w:val="clear" w:color="auto" w:fill="auto"/>
            <w:vAlign w:val="center"/>
          </w:tcPr>
          <w:p w14:paraId="7BF1EB9E">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w:t>
            </w:r>
            <w:r>
              <w:rPr>
                <w:rFonts w:hint="eastAsia" w:eastAsia="宋体" w:cs="Times New Roman"/>
                <w:color w:val="000000" w:themeColor="text1"/>
                <w:kern w:val="0"/>
                <w:sz w:val="18"/>
                <w:szCs w:val="18"/>
                <w:lang w:val="en-US" w:eastAsia="zh-CN"/>
                <w14:textFill>
                  <w14:solidFill>
                    <w14:schemeClr w14:val="tx1"/>
                  </w14:solidFill>
                </w14:textFill>
              </w:rPr>
              <w:t>16</w:t>
            </w:r>
          </w:p>
        </w:tc>
        <w:tc>
          <w:tcPr>
            <w:tcW w:w="1380" w:type="dxa"/>
            <w:shd w:val="clear" w:color="auto" w:fill="auto"/>
            <w:vAlign w:val="center"/>
          </w:tcPr>
          <w:p w14:paraId="0AE90E67">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lang w:val="en-US" w:eastAsia="zh-CN"/>
                <w14:textFill>
                  <w14:solidFill>
                    <w14:schemeClr w14:val="tx1"/>
                  </w14:solidFill>
                </w14:textFill>
              </w:rPr>
              <w:t>1.2</w:t>
            </w:r>
          </w:p>
        </w:tc>
        <w:tc>
          <w:tcPr>
            <w:tcW w:w="1600" w:type="dxa"/>
            <w:shd w:val="clear" w:color="auto" w:fill="auto"/>
            <w:vAlign w:val="center"/>
          </w:tcPr>
          <w:p w14:paraId="29DA3E97">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0.1</w:t>
            </w:r>
            <w:r>
              <w:rPr>
                <w:rFonts w:hint="eastAsia" w:eastAsia="宋体" w:cs="Times New Roman"/>
                <w:color w:val="000000" w:themeColor="text1"/>
                <w:kern w:val="0"/>
                <w:sz w:val="18"/>
                <w:szCs w:val="18"/>
                <w:lang w:val="en-US" w:eastAsia="zh-CN"/>
                <w14:textFill>
                  <w14:solidFill>
                    <w14:schemeClr w14:val="tx1"/>
                  </w14:solidFill>
                </w14:textFill>
              </w:rPr>
              <w:t>3</w:t>
            </w:r>
          </w:p>
        </w:tc>
        <w:tc>
          <w:tcPr>
            <w:tcW w:w="1040" w:type="dxa"/>
            <w:shd w:val="clear" w:color="auto" w:fill="auto"/>
            <w:vAlign w:val="center"/>
          </w:tcPr>
          <w:p w14:paraId="349FF109">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0.015</w:t>
            </w:r>
          </w:p>
        </w:tc>
        <w:tc>
          <w:tcPr>
            <w:tcW w:w="960" w:type="dxa"/>
            <w:shd w:val="clear" w:color="auto" w:fill="auto"/>
            <w:vAlign w:val="center"/>
          </w:tcPr>
          <w:p w14:paraId="76EEB95D">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0.003</w:t>
            </w:r>
          </w:p>
        </w:tc>
        <w:tc>
          <w:tcPr>
            <w:tcW w:w="960" w:type="dxa"/>
            <w:shd w:val="clear" w:color="auto" w:fill="auto"/>
            <w:vAlign w:val="center"/>
          </w:tcPr>
          <w:p w14:paraId="3F4A0F7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0.172</w:t>
            </w:r>
          </w:p>
        </w:tc>
      </w:tr>
    </w:tbl>
    <w:p w14:paraId="2D2CA9E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经计算得，考虑0.10m安全超高，主体工程设计排水沟能过流量为0.</w:t>
      </w:r>
      <w:r>
        <w:rPr>
          <w:rFonts w:hint="eastAsia"/>
          <w:color w:val="000000" w:themeColor="text1"/>
          <w:lang w:val="en-US" w:eastAsia="zh-CN"/>
          <w14:textFill>
            <w14:solidFill>
              <w14:schemeClr w14:val="tx1"/>
            </w14:solidFill>
          </w14:textFill>
        </w:rPr>
        <w:t>172</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/s，设计洪峰流量为0.107m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/s，过流能力＞设计洪峰流量，排水沟设计尺寸满足要求。</w:t>
      </w:r>
    </w:p>
    <w:p w14:paraId="257EB259">
      <w:pPr>
        <w:ind w:firstLine="482"/>
        <w:rPr>
          <w:b/>
          <w:snapToGrid w:val="0"/>
          <w:color w:val="000000" w:themeColor="text1"/>
          <w14:textFill>
            <w14:solidFill>
              <w14:schemeClr w14:val="tx1"/>
            </w14:solidFill>
          </w14:textFill>
        </w:rPr>
      </w:pPr>
      <w:r>
        <w:rPr>
          <w:rFonts w:hint="eastAsia"/>
          <w:b/>
          <w:snapToGrid w:val="0"/>
          <w:color w:val="000000" w:themeColor="text1"/>
          <w14:textFill>
            <w14:solidFill>
              <w14:schemeClr w14:val="tx1"/>
            </w14:solidFill>
          </w14:textFill>
        </w:rPr>
        <w:t>2、密目网苫盖（主体已实施）</w:t>
      </w:r>
    </w:p>
    <w:p w14:paraId="088CD95A">
      <w:pPr>
        <w:ind w:firstLine="480"/>
        <w:rPr>
          <w:bCs/>
          <w:snapToGrid w:val="0"/>
          <w:color w:val="000000" w:themeColor="text1"/>
          <w14:textFill>
            <w14:solidFill>
              <w14:schemeClr w14:val="tx1"/>
            </w14:solidFill>
          </w14:textFill>
        </w:rPr>
      </w:pPr>
      <w:r>
        <w:rPr>
          <w:rFonts w:hint="eastAsia"/>
          <w:color w:val="000000" w:themeColor="text1"/>
          <w14:textFill>
            <w14:solidFill>
              <w14:schemeClr w14:val="tx1"/>
            </w14:solidFill>
          </w14:textFill>
        </w:rPr>
        <w:t>建筑周边裸露土地采用密目网苫盖，合计密目网苫盖面积1752m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1E7AFD15">
      <w:pPr>
        <w:pStyle w:val="33"/>
        <w:ind w:firstLine="422" w:firstLineChars="20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表5.4-</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 xml:space="preserve">                建构筑物工程区水土保持措施工程量统计表</w:t>
      </w:r>
    </w:p>
    <w:tbl>
      <w:tblPr>
        <w:tblStyle w:val="26"/>
        <w:tblW w:w="44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1094"/>
        <w:gridCol w:w="1667"/>
        <w:gridCol w:w="1140"/>
        <w:gridCol w:w="1337"/>
        <w:gridCol w:w="1305"/>
      </w:tblGrid>
      <w:tr w14:paraId="70718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pct"/>
            <w:vMerge w:val="restart"/>
            <w:shd w:val="clear" w:color="auto" w:fill="auto"/>
            <w:vAlign w:val="center"/>
          </w:tcPr>
          <w:p w14:paraId="6F4BC89F">
            <w:pPr>
              <w:pStyle w:val="34"/>
              <w:rPr>
                <w:color w:val="000000" w:themeColor="text1"/>
                <w14:textFill>
                  <w14:solidFill>
                    <w14:schemeClr w14:val="tx1"/>
                  </w14:solidFill>
                </w14:textFill>
              </w:rPr>
            </w:pPr>
            <w:r>
              <w:rPr>
                <w:color w:val="000000" w:themeColor="text1"/>
                <w14:textFill>
                  <w14:solidFill>
                    <w14:schemeClr w14:val="tx1"/>
                  </w14:solidFill>
                </w14:textFill>
              </w:rPr>
              <w:t>防治分区</w:t>
            </w:r>
          </w:p>
        </w:tc>
        <w:tc>
          <w:tcPr>
            <w:tcW w:w="716" w:type="pct"/>
            <w:vMerge w:val="restart"/>
            <w:shd w:val="clear" w:color="auto" w:fill="auto"/>
            <w:vAlign w:val="center"/>
          </w:tcPr>
          <w:p w14:paraId="495C6C3B">
            <w:pPr>
              <w:pStyle w:val="34"/>
              <w:rPr>
                <w:color w:val="000000" w:themeColor="text1"/>
                <w14:textFill>
                  <w14:solidFill>
                    <w14:schemeClr w14:val="tx1"/>
                  </w14:solidFill>
                </w14:textFill>
              </w:rPr>
            </w:pPr>
            <w:r>
              <w:rPr>
                <w:color w:val="000000" w:themeColor="text1"/>
                <w14:textFill>
                  <w14:solidFill>
                    <w14:schemeClr w14:val="tx1"/>
                  </w14:solidFill>
                </w14:textFill>
              </w:rPr>
              <w:t>措施类型</w:t>
            </w:r>
          </w:p>
        </w:tc>
        <w:tc>
          <w:tcPr>
            <w:tcW w:w="1091" w:type="pct"/>
            <w:vMerge w:val="restart"/>
            <w:shd w:val="clear" w:color="auto" w:fill="auto"/>
            <w:vAlign w:val="center"/>
          </w:tcPr>
          <w:p w14:paraId="79B0DFA2">
            <w:pPr>
              <w:pStyle w:val="34"/>
              <w:rPr>
                <w:color w:val="000000" w:themeColor="text1"/>
                <w14:textFill>
                  <w14:solidFill>
                    <w14:schemeClr w14:val="tx1"/>
                  </w14:solidFill>
                </w14:textFill>
              </w:rPr>
            </w:pPr>
            <w:r>
              <w:rPr>
                <w:color w:val="000000" w:themeColor="text1"/>
                <w14:textFill>
                  <w14:solidFill>
                    <w14:schemeClr w14:val="tx1"/>
                  </w14:solidFill>
                </w14:textFill>
              </w:rPr>
              <w:t>措施名称</w:t>
            </w:r>
          </w:p>
        </w:tc>
        <w:tc>
          <w:tcPr>
            <w:tcW w:w="1621" w:type="pct"/>
            <w:gridSpan w:val="2"/>
            <w:shd w:val="clear" w:color="auto" w:fill="auto"/>
            <w:vAlign w:val="center"/>
          </w:tcPr>
          <w:p w14:paraId="11803FA4">
            <w:pPr>
              <w:pStyle w:val="34"/>
              <w:rPr>
                <w:color w:val="000000" w:themeColor="text1"/>
                <w14:textFill>
                  <w14:solidFill>
                    <w14:schemeClr w14:val="tx1"/>
                  </w14:solidFill>
                </w14:textFill>
              </w:rPr>
            </w:pPr>
            <w:r>
              <w:rPr>
                <w:color w:val="000000" w:themeColor="text1"/>
                <w14:textFill>
                  <w14:solidFill>
                    <w14:schemeClr w14:val="tx1"/>
                  </w14:solidFill>
                </w14:textFill>
              </w:rPr>
              <w:t>措施规模</w:t>
            </w:r>
          </w:p>
        </w:tc>
        <w:tc>
          <w:tcPr>
            <w:tcW w:w="854" w:type="pct"/>
            <w:vMerge w:val="restart"/>
            <w:shd w:val="clear" w:color="auto" w:fill="auto"/>
            <w:vAlign w:val="center"/>
          </w:tcPr>
          <w:p w14:paraId="00163EBD">
            <w:pPr>
              <w:pStyle w:val="34"/>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05969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716" w:type="pct"/>
            <w:vMerge w:val="continue"/>
            <w:shd w:val="clear" w:color="auto" w:fill="auto"/>
            <w:vAlign w:val="center"/>
          </w:tcPr>
          <w:p w14:paraId="4EA411B1">
            <w:pPr>
              <w:pStyle w:val="34"/>
              <w:rPr>
                <w:color w:val="000000" w:themeColor="text1"/>
                <w14:textFill>
                  <w14:solidFill>
                    <w14:schemeClr w14:val="tx1"/>
                  </w14:solidFill>
                </w14:textFill>
              </w:rPr>
            </w:pPr>
          </w:p>
        </w:tc>
        <w:tc>
          <w:tcPr>
            <w:tcW w:w="716" w:type="pct"/>
            <w:vMerge w:val="continue"/>
            <w:shd w:val="clear" w:color="auto" w:fill="auto"/>
            <w:vAlign w:val="center"/>
          </w:tcPr>
          <w:p w14:paraId="0747838E">
            <w:pPr>
              <w:pStyle w:val="34"/>
              <w:rPr>
                <w:color w:val="000000" w:themeColor="text1"/>
                <w14:textFill>
                  <w14:solidFill>
                    <w14:schemeClr w14:val="tx1"/>
                  </w14:solidFill>
                </w14:textFill>
              </w:rPr>
            </w:pPr>
          </w:p>
        </w:tc>
        <w:tc>
          <w:tcPr>
            <w:tcW w:w="1091" w:type="pct"/>
            <w:vMerge w:val="continue"/>
            <w:shd w:val="clear" w:color="auto" w:fill="auto"/>
            <w:vAlign w:val="center"/>
          </w:tcPr>
          <w:p w14:paraId="5D8E804D">
            <w:pPr>
              <w:pStyle w:val="34"/>
              <w:rPr>
                <w:color w:val="000000" w:themeColor="text1"/>
                <w14:textFill>
                  <w14:solidFill>
                    <w14:schemeClr w14:val="tx1"/>
                  </w14:solidFill>
                </w14:textFill>
              </w:rPr>
            </w:pPr>
          </w:p>
        </w:tc>
        <w:tc>
          <w:tcPr>
            <w:tcW w:w="746" w:type="pct"/>
            <w:shd w:val="clear" w:color="auto" w:fill="auto"/>
            <w:vAlign w:val="center"/>
          </w:tcPr>
          <w:p w14:paraId="3EDD0023">
            <w:pPr>
              <w:pStyle w:val="34"/>
              <w:rPr>
                <w:color w:val="000000" w:themeColor="text1"/>
                <w14:textFill>
                  <w14:solidFill>
                    <w14:schemeClr w14:val="tx1"/>
                  </w14:solidFill>
                </w14:textFill>
              </w:rPr>
            </w:pPr>
            <w:r>
              <w:rPr>
                <w:color w:val="000000" w:themeColor="text1"/>
                <w14:textFill>
                  <w14:solidFill>
                    <w14:schemeClr w14:val="tx1"/>
                  </w14:solidFill>
                </w14:textFill>
              </w:rPr>
              <w:t>单位</w:t>
            </w:r>
          </w:p>
        </w:tc>
        <w:tc>
          <w:tcPr>
            <w:tcW w:w="875" w:type="pct"/>
            <w:shd w:val="clear" w:color="auto" w:fill="auto"/>
            <w:vAlign w:val="center"/>
          </w:tcPr>
          <w:p w14:paraId="3F5B0359">
            <w:pPr>
              <w:pStyle w:val="34"/>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854" w:type="pct"/>
            <w:vMerge w:val="continue"/>
            <w:shd w:val="clear" w:color="auto" w:fill="auto"/>
            <w:vAlign w:val="center"/>
          </w:tcPr>
          <w:p w14:paraId="219C55DC">
            <w:pPr>
              <w:pStyle w:val="34"/>
              <w:rPr>
                <w:color w:val="000000" w:themeColor="text1"/>
                <w14:textFill>
                  <w14:solidFill>
                    <w14:schemeClr w14:val="tx1"/>
                  </w14:solidFill>
                </w14:textFill>
              </w:rPr>
            </w:pPr>
          </w:p>
        </w:tc>
      </w:tr>
      <w:tr w14:paraId="0709A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716" w:type="pct"/>
            <w:vMerge w:val="restart"/>
            <w:shd w:val="clear" w:color="auto" w:fill="auto"/>
            <w:vAlign w:val="center"/>
          </w:tcPr>
          <w:p w14:paraId="1AABFFC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建构筑物工程区</w:t>
            </w:r>
          </w:p>
        </w:tc>
        <w:tc>
          <w:tcPr>
            <w:tcW w:w="716" w:type="pct"/>
            <w:shd w:val="clear" w:color="auto" w:fill="auto"/>
            <w:vAlign w:val="center"/>
          </w:tcPr>
          <w:p w14:paraId="0D3895C1">
            <w:pPr>
              <w:pStyle w:val="34"/>
              <w:rPr>
                <w:rFonts w:hint="eastAsia" w:eastAsia="仿宋_GB2312"/>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工程措施</w:t>
            </w:r>
          </w:p>
        </w:tc>
        <w:tc>
          <w:tcPr>
            <w:tcW w:w="1091" w:type="pct"/>
            <w:shd w:val="clear" w:color="auto" w:fill="auto"/>
            <w:vAlign w:val="center"/>
          </w:tcPr>
          <w:p w14:paraId="54F25827">
            <w:pPr>
              <w:pStyle w:val="34"/>
              <w:rPr>
                <w:rFonts w:hint="eastAsia" w:eastAsia="仿宋_GB2312"/>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表土剥离</w:t>
            </w:r>
          </w:p>
        </w:tc>
        <w:tc>
          <w:tcPr>
            <w:tcW w:w="746" w:type="pct"/>
            <w:shd w:val="clear" w:color="auto" w:fill="auto"/>
            <w:vAlign w:val="center"/>
          </w:tcPr>
          <w:p w14:paraId="293AB4B4">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p>
        </w:tc>
        <w:tc>
          <w:tcPr>
            <w:tcW w:w="875" w:type="pct"/>
            <w:shd w:val="clear" w:color="auto" w:fill="auto"/>
            <w:vAlign w:val="center"/>
          </w:tcPr>
          <w:p w14:paraId="6DCE4ECA">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0.05</w:t>
            </w:r>
          </w:p>
        </w:tc>
        <w:tc>
          <w:tcPr>
            <w:tcW w:w="854" w:type="pct"/>
            <w:shd w:val="clear" w:color="auto" w:fill="auto"/>
            <w:vAlign w:val="center"/>
          </w:tcPr>
          <w:p w14:paraId="28A1600D">
            <w:pPr>
              <w:pStyle w:val="34"/>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主体已实施</w:t>
            </w:r>
          </w:p>
        </w:tc>
      </w:tr>
      <w:tr w14:paraId="26CC9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716" w:type="pct"/>
            <w:vMerge w:val="continue"/>
            <w:shd w:val="clear" w:color="auto" w:fill="auto"/>
            <w:vAlign w:val="center"/>
          </w:tcPr>
          <w:p w14:paraId="7DD0FCFD">
            <w:pPr>
              <w:pStyle w:val="34"/>
              <w:rPr>
                <w:color w:val="000000" w:themeColor="text1"/>
                <w14:textFill>
                  <w14:solidFill>
                    <w14:schemeClr w14:val="tx1"/>
                  </w14:solidFill>
                </w14:textFill>
              </w:rPr>
            </w:pPr>
          </w:p>
        </w:tc>
        <w:tc>
          <w:tcPr>
            <w:tcW w:w="716" w:type="pct"/>
            <w:vMerge w:val="restart"/>
            <w:shd w:val="clear" w:color="auto" w:fill="auto"/>
            <w:vAlign w:val="center"/>
          </w:tcPr>
          <w:p w14:paraId="55866733">
            <w:pPr>
              <w:pStyle w:val="34"/>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091" w:type="pct"/>
            <w:shd w:val="clear" w:color="auto" w:fill="auto"/>
            <w:vAlign w:val="center"/>
          </w:tcPr>
          <w:p w14:paraId="203201F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临时排水沟</w:t>
            </w:r>
          </w:p>
        </w:tc>
        <w:tc>
          <w:tcPr>
            <w:tcW w:w="746" w:type="pct"/>
            <w:shd w:val="clear" w:color="auto" w:fill="auto"/>
            <w:vAlign w:val="center"/>
          </w:tcPr>
          <w:p w14:paraId="39816267">
            <w:pPr>
              <w:pStyle w:val="34"/>
              <w:rPr>
                <w:color w:val="000000" w:themeColor="text1"/>
                <w14:textFill>
                  <w14:solidFill>
                    <w14:schemeClr w14:val="tx1"/>
                  </w14:solidFill>
                </w14:textFill>
              </w:rPr>
            </w:pPr>
            <w:r>
              <w:rPr>
                <w:color w:val="000000" w:themeColor="text1"/>
                <w14:textFill>
                  <w14:solidFill>
                    <w14:schemeClr w14:val="tx1"/>
                  </w14:solidFill>
                </w14:textFill>
              </w:rPr>
              <w:t>m</w:t>
            </w:r>
          </w:p>
        </w:tc>
        <w:tc>
          <w:tcPr>
            <w:tcW w:w="875" w:type="pct"/>
            <w:shd w:val="clear" w:color="auto" w:fill="auto"/>
            <w:vAlign w:val="center"/>
          </w:tcPr>
          <w:p w14:paraId="33A8D9D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358</w:t>
            </w:r>
          </w:p>
        </w:tc>
        <w:tc>
          <w:tcPr>
            <w:tcW w:w="854" w:type="pct"/>
            <w:shd w:val="clear" w:color="auto" w:fill="auto"/>
            <w:vAlign w:val="center"/>
          </w:tcPr>
          <w:p w14:paraId="6FB8FCF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主体已实施</w:t>
            </w:r>
          </w:p>
        </w:tc>
      </w:tr>
      <w:tr w14:paraId="6AC09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716" w:type="pct"/>
            <w:vMerge w:val="continue"/>
            <w:shd w:val="clear" w:color="auto" w:fill="auto"/>
            <w:vAlign w:val="center"/>
          </w:tcPr>
          <w:p w14:paraId="11DBC26B">
            <w:pPr>
              <w:pStyle w:val="34"/>
              <w:rPr>
                <w:color w:val="000000" w:themeColor="text1"/>
                <w14:textFill>
                  <w14:solidFill>
                    <w14:schemeClr w14:val="tx1"/>
                  </w14:solidFill>
                </w14:textFill>
              </w:rPr>
            </w:pPr>
          </w:p>
        </w:tc>
        <w:tc>
          <w:tcPr>
            <w:tcW w:w="716" w:type="pct"/>
            <w:vMerge w:val="continue"/>
            <w:shd w:val="clear" w:color="auto" w:fill="auto"/>
            <w:vAlign w:val="center"/>
          </w:tcPr>
          <w:p w14:paraId="36BE44F5">
            <w:pPr>
              <w:pStyle w:val="34"/>
              <w:rPr>
                <w:color w:val="000000" w:themeColor="text1"/>
                <w14:textFill>
                  <w14:solidFill>
                    <w14:schemeClr w14:val="tx1"/>
                  </w14:solidFill>
                </w14:textFill>
              </w:rPr>
            </w:pPr>
          </w:p>
        </w:tc>
        <w:tc>
          <w:tcPr>
            <w:tcW w:w="1091" w:type="pct"/>
            <w:shd w:val="clear" w:color="auto" w:fill="auto"/>
            <w:vAlign w:val="center"/>
          </w:tcPr>
          <w:p w14:paraId="3C684CC9">
            <w:pPr>
              <w:pStyle w:val="34"/>
              <w:rPr>
                <w:color w:val="000000" w:themeColor="text1"/>
                <w14:textFill>
                  <w14:solidFill>
                    <w14:schemeClr w14:val="tx1"/>
                  </w14:solidFill>
                </w14:textFill>
              </w:rPr>
            </w:pPr>
            <w:r>
              <w:rPr>
                <w:color w:val="000000" w:themeColor="text1"/>
                <w14:textFill>
                  <w14:solidFill>
                    <w14:schemeClr w14:val="tx1"/>
                  </w14:solidFill>
                </w14:textFill>
              </w:rPr>
              <w:t>临时沉沙池</w:t>
            </w:r>
          </w:p>
        </w:tc>
        <w:tc>
          <w:tcPr>
            <w:tcW w:w="746" w:type="pct"/>
            <w:shd w:val="clear" w:color="auto" w:fill="auto"/>
            <w:vAlign w:val="center"/>
          </w:tcPr>
          <w:p w14:paraId="08569670">
            <w:pPr>
              <w:pStyle w:val="34"/>
              <w:rPr>
                <w:color w:val="000000" w:themeColor="text1"/>
                <w14:textFill>
                  <w14:solidFill>
                    <w14:schemeClr w14:val="tx1"/>
                  </w14:solidFill>
                </w14:textFill>
              </w:rPr>
            </w:pPr>
            <w:r>
              <w:rPr>
                <w:color w:val="000000" w:themeColor="text1"/>
                <w14:textFill>
                  <w14:solidFill>
                    <w14:schemeClr w14:val="tx1"/>
                  </w14:solidFill>
                </w14:textFill>
              </w:rPr>
              <w:t>个</w:t>
            </w:r>
          </w:p>
        </w:tc>
        <w:tc>
          <w:tcPr>
            <w:tcW w:w="875" w:type="pct"/>
            <w:shd w:val="clear" w:color="auto" w:fill="auto"/>
            <w:vAlign w:val="center"/>
          </w:tcPr>
          <w:p w14:paraId="7CD5EAE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854" w:type="pct"/>
            <w:shd w:val="clear" w:color="auto" w:fill="auto"/>
            <w:vAlign w:val="center"/>
          </w:tcPr>
          <w:p w14:paraId="35A0895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主体已实施</w:t>
            </w:r>
          </w:p>
        </w:tc>
      </w:tr>
      <w:tr w14:paraId="11422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716" w:type="pct"/>
            <w:vMerge w:val="continue"/>
            <w:shd w:val="clear" w:color="auto" w:fill="auto"/>
            <w:vAlign w:val="center"/>
          </w:tcPr>
          <w:p w14:paraId="799FC4CB">
            <w:pPr>
              <w:pStyle w:val="34"/>
              <w:rPr>
                <w:color w:val="000000" w:themeColor="text1"/>
                <w14:textFill>
                  <w14:solidFill>
                    <w14:schemeClr w14:val="tx1"/>
                  </w14:solidFill>
                </w14:textFill>
              </w:rPr>
            </w:pPr>
          </w:p>
        </w:tc>
        <w:tc>
          <w:tcPr>
            <w:tcW w:w="716" w:type="pct"/>
            <w:vMerge w:val="continue"/>
            <w:shd w:val="clear" w:color="auto" w:fill="auto"/>
            <w:vAlign w:val="center"/>
          </w:tcPr>
          <w:p w14:paraId="014DA57F">
            <w:pPr>
              <w:pStyle w:val="34"/>
              <w:rPr>
                <w:color w:val="000000" w:themeColor="text1"/>
                <w14:textFill>
                  <w14:solidFill>
                    <w14:schemeClr w14:val="tx1"/>
                  </w14:solidFill>
                </w14:textFill>
              </w:rPr>
            </w:pPr>
          </w:p>
        </w:tc>
        <w:tc>
          <w:tcPr>
            <w:tcW w:w="1091" w:type="pct"/>
            <w:shd w:val="clear" w:color="auto" w:fill="auto"/>
            <w:vAlign w:val="center"/>
          </w:tcPr>
          <w:p w14:paraId="1AD2B575">
            <w:pPr>
              <w:pStyle w:val="34"/>
              <w:rPr>
                <w:color w:val="000000" w:themeColor="text1"/>
                <w14:textFill>
                  <w14:solidFill>
                    <w14:schemeClr w14:val="tx1"/>
                  </w14:solidFill>
                </w14:textFill>
              </w:rPr>
            </w:pPr>
            <w:r>
              <w:rPr>
                <w:color w:val="000000" w:themeColor="text1"/>
                <w14:textFill>
                  <w14:solidFill>
                    <w14:schemeClr w14:val="tx1"/>
                  </w14:solidFill>
                </w14:textFill>
              </w:rPr>
              <w:t>密目网苫盖</w:t>
            </w:r>
          </w:p>
        </w:tc>
        <w:tc>
          <w:tcPr>
            <w:tcW w:w="746" w:type="pct"/>
            <w:shd w:val="clear" w:color="auto" w:fill="auto"/>
            <w:vAlign w:val="center"/>
          </w:tcPr>
          <w:p w14:paraId="20880573">
            <w:pPr>
              <w:pStyle w:val="34"/>
              <w:rPr>
                <w:color w:val="000000" w:themeColor="text1"/>
                <w14:textFill>
                  <w14:solidFill>
                    <w14:schemeClr w14:val="tx1"/>
                  </w14:solidFill>
                </w14:textFill>
              </w:rPr>
            </w:pP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875" w:type="pct"/>
            <w:shd w:val="clear" w:color="auto" w:fill="auto"/>
            <w:vAlign w:val="center"/>
          </w:tcPr>
          <w:p w14:paraId="1D45D7B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1752</w:t>
            </w:r>
          </w:p>
        </w:tc>
        <w:tc>
          <w:tcPr>
            <w:tcW w:w="854" w:type="pct"/>
            <w:shd w:val="clear" w:color="auto" w:fill="auto"/>
            <w:vAlign w:val="center"/>
          </w:tcPr>
          <w:p w14:paraId="1B7276B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主体已实施</w:t>
            </w:r>
          </w:p>
        </w:tc>
      </w:tr>
    </w:tbl>
    <w:p w14:paraId="3243FC70">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5.4.</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场内道路及硬化工程区</w:t>
      </w:r>
    </w:p>
    <w:p w14:paraId="753828F1">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5.4.</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.1 工程措施</w:t>
      </w:r>
    </w:p>
    <w:p w14:paraId="06879C5A">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1、雨水管网系统（主体未实施）</w:t>
      </w:r>
    </w:p>
    <w:p w14:paraId="1B85EF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项目主体工程设计了雨水管网、</w:t>
      </w:r>
      <w:r>
        <w:rPr>
          <w:color w:val="000000" w:themeColor="text1"/>
          <w14:textFill>
            <w14:solidFill>
              <w14:schemeClr w14:val="tx1"/>
            </w14:solidFill>
          </w14:textFill>
        </w:rPr>
        <w:t>雨水口</w:t>
      </w:r>
      <w:r>
        <w:rPr>
          <w:rFonts w:hint="eastAsia"/>
          <w:color w:val="000000" w:themeColor="text1"/>
          <w14:textFill>
            <w14:solidFill>
              <w14:schemeClr w14:val="tx1"/>
            </w14:solidFill>
          </w14:textFill>
        </w:rPr>
        <w:t>等具有水土保持功能的工程，在道路硬化区、绿化区</w:t>
      </w:r>
      <w:r>
        <w:rPr>
          <w:color w:val="000000" w:themeColor="text1"/>
          <w14:textFill>
            <w14:solidFill>
              <w14:schemeClr w14:val="tx1"/>
            </w14:solidFill>
          </w14:textFill>
        </w:rPr>
        <w:t>等区域设置雨水篦子</w:t>
      </w:r>
      <w:r>
        <w:rPr>
          <w:rFonts w:hint="eastAsia"/>
          <w:color w:val="000000" w:themeColor="text1"/>
          <w14:textFill>
            <w14:solidFill>
              <w14:schemeClr w14:val="tx1"/>
            </w14:solidFill>
          </w14:textFill>
        </w:rPr>
        <w:t>收集场地及屋面雨水，然后通过支管排入场地四周雨水干管；排水干管每隔一段距离设置一个雨水检查井，检查井的间距满足相关排水规范的要求，雨水管布设于道路中心，雨水管网</w:t>
      </w:r>
      <w:r>
        <w:rPr>
          <w:color w:val="000000" w:themeColor="text1"/>
          <w14:textFill>
            <w14:solidFill>
              <w14:schemeClr w14:val="tx1"/>
            </w14:solidFill>
          </w14:textFill>
        </w:rPr>
        <w:t>管径为DN</w:t>
      </w:r>
      <w:r>
        <w:rPr>
          <w:rFonts w:hint="eastAsia"/>
          <w:color w:val="000000" w:themeColor="text1"/>
          <w14:textFill>
            <w14:solidFill>
              <w14:schemeClr w14:val="tx1"/>
            </w14:solidFill>
          </w14:textFill>
        </w:rPr>
        <w:t>150</w:t>
      </w:r>
      <w:r>
        <w:rPr>
          <w:color w:val="000000" w:themeColor="text1"/>
          <w14:textFill>
            <w14:solidFill>
              <w14:schemeClr w14:val="tx1"/>
            </w14:solidFill>
          </w14:textFill>
        </w:rPr>
        <w:t>~ DN</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平均坡度为0.3%—0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6%。</w:t>
      </w:r>
    </w:p>
    <w:p w14:paraId="7C30B51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DN150雨水管长25.04m，DN300雨水管长494.51m，雨水口17个</w:t>
      </w:r>
      <w:r>
        <w:rPr>
          <w:color w:val="000000" w:themeColor="text1"/>
          <w14:textFill>
            <w14:solidFill>
              <w14:schemeClr w14:val="tx1"/>
            </w14:solidFill>
          </w14:textFill>
        </w:rPr>
        <w:t>。</w:t>
      </w:r>
    </w:p>
    <w:p w14:paraId="739F23D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雨水口采用平篦式雨水口，管道管顶埋深小于0.70m者，均需加设直径大于等于400mm的钢套管保护排水管。</w:t>
      </w:r>
    </w:p>
    <w:p w14:paraId="3B2FDBA2">
      <w:pPr>
        <w:widowControl/>
        <w:ind w:firstLine="482"/>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2、雨水蓄水池（主体未实施）</w:t>
      </w:r>
    </w:p>
    <w:p w14:paraId="3609A38E">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室外雨水经雨水口、雨水沟、雨水检查井、雨水管道收集后排入设置于室外的雨水蓄水池，蓄水池内设置一体化雨水处理装置，初步处理后用于室外道路浇洒及绿化灌溉。在场地西侧绿化带下设置雨水蓄水池，蓄水池容量3</w:t>
      </w:r>
      <w:r>
        <w:rPr>
          <w:snapToGrid w:val="0"/>
          <w:color w:val="000000" w:themeColor="text1"/>
          <w14:textFill>
            <w14:solidFill>
              <w14:schemeClr w14:val="tx1"/>
            </w14:solidFill>
          </w14:textFill>
        </w:rPr>
        <w:t>00m</w:t>
      </w:r>
      <w:r>
        <w:rPr>
          <w:snapToGrid w:val="0"/>
          <w:color w:val="000000" w:themeColor="text1"/>
          <w:vertAlign w:val="superscript"/>
          <w14:textFill>
            <w14:solidFill>
              <w14:schemeClr w14:val="tx1"/>
            </w14:solidFill>
          </w14:textFill>
        </w:rPr>
        <w:t>3</w:t>
      </w:r>
      <w:r>
        <w:rPr>
          <w:rFonts w:hint="eastAsia"/>
          <w:snapToGrid w:val="0"/>
          <w:color w:val="000000" w:themeColor="text1"/>
          <w:sz w:val="22"/>
          <w:szCs w:val="22"/>
          <w14:textFill>
            <w14:solidFill>
              <w14:schemeClr w14:val="tx1"/>
            </w14:solidFill>
          </w14:textFill>
        </w:rPr>
        <w:t>，</w:t>
      </w:r>
      <w:r>
        <w:rPr>
          <w:rFonts w:hint="eastAsia"/>
          <w:snapToGrid w:val="0"/>
          <w:color w:val="000000" w:themeColor="text1"/>
          <w14:textFill>
            <w14:solidFill>
              <w14:schemeClr w14:val="tx1"/>
            </w14:solidFill>
          </w14:textFill>
        </w:rPr>
        <w:t>尺寸1</w:t>
      </w:r>
      <w:r>
        <w:rPr>
          <w:snapToGrid w:val="0"/>
          <w:color w:val="000000" w:themeColor="text1"/>
          <w14:textFill>
            <w14:solidFill>
              <w14:schemeClr w14:val="tx1"/>
            </w14:solidFill>
          </w14:textFill>
        </w:rPr>
        <w:t>2m</w:t>
      </w:r>
      <w:r>
        <w:rPr>
          <w:rFonts w:hint="eastAsia"/>
          <w:snapToGrid w:val="0"/>
          <w:color w:val="000000" w:themeColor="text1"/>
          <w14:textFill>
            <w14:solidFill>
              <w14:schemeClr w14:val="tx1"/>
            </w14:solidFill>
          </w14:textFill>
        </w:rPr>
        <w:t>×7</w:t>
      </w:r>
      <w:r>
        <w:rPr>
          <w:snapToGrid w:val="0"/>
          <w:color w:val="000000" w:themeColor="text1"/>
          <w14:textFill>
            <w14:solidFill>
              <w14:schemeClr w14:val="tx1"/>
            </w14:solidFill>
          </w14:textFill>
        </w:rPr>
        <w:t>m</w:t>
      </w:r>
      <w:r>
        <w:rPr>
          <w:rFonts w:hint="eastAsia"/>
          <w:snapToGrid w:val="0"/>
          <w:color w:val="000000" w:themeColor="text1"/>
          <w14:textFill>
            <w14:solidFill>
              <w14:schemeClr w14:val="tx1"/>
            </w14:solidFill>
          </w14:textFill>
        </w:rPr>
        <w:t>×4m，蓄水池采用钢筋混凝土+室外地埋式塑料模块。</w:t>
      </w:r>
    </w:p>
    <w:p w14:paraId="2AD43FED">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5.4.</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.2 临时措施</w:t>
      </w:r>
    </w:p>
    <w:p w14:paraId="2BA52990">
      <w:pPr>
        <w:widowControl/>
        <w:ind w:firstLine="482"/>
        <w:rPr>
          <w:b/>
          <w:bCs/>
          <w:snapToGrid w:val="0"/>
          <w:color w:val="000000" w:themeColor="text1"/>
          <w14:textFill>
            <w14:solidFill>
              <w14:schemeClr w14:val="tx1"/>
            </w14:solidFill>
          </w14:textFill>
        </w:rPr>
      </w:pPr>
      <w:r>
        <w:rPr>
          <w:b/>
          <w:bCs/>
          <w:snapToGrid w:val="0"/>
          <w:color w:val="000000" w:themeColor="text1"/>
          <w14:textFill>
            <w14:solidFill>
              <w14:schemeClr w14:val="tx1"/>
            </w14:solidFill>
          </w14:textFill>
        </w:rPr>
        <w:t>1</w:t>
      </w:r>
      <w:r>
        <w:rPr>
          <w:rFonts w:hint="eastAsia"/>
          <w:b/>
          <w:bCs/>
          <w:snapToGrid w:val="0"/>
          <w:color w:val="000000" w:themeColor="text1"/>
          <w14:textFill>
            <w14:solidFill>
              <w14:schemeClr w14:val="tx1"/>
            </w14:solidFill>
          </w14:textFill>
        </w:rPr>
        <w:t>、洗车设施（主体已实施）</w:t>
      </w:r>
    </w:p>
    <w:p w14:paraId="7A383135">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本项目在北侧地块出入口处共设置洗车设施1套，将进出施工场地汽车轮胎上的泥土洗净，避免对城市道路带来污染，应纳入水土流失防治措施体系。</w:t>
      </w:r>
    </w:p>
    <w:p w14:paraId="58C4AB6C">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车辆清洗池平面长</w:t>
      </w:r>
      <w:r>
        <w:rPr>
          <w:snapToGrid w:val="0"/>
          <w:color w:val="000000" w:themeColor="text1"/>
          <w14:textFill>
            <w14:solidFill>
              <w14:schemeClr w14:val="tx1"/>
            </w14:solidFill>
          </w14:textFill>
        </w:rPr>
        <w:t>1</w:t>
      </w:r>
      <w:r>
        <w:rPr>
          <w:rFonts w:hint="eastAsia"/>
          <w:snapToGrid w:val="0"/>
          <w:color w:val="000000" w:themeColor="text1"/>
          <w14:textFill>
            <w14:solidFill>
              <w14:schemeClr w14:val="tx1"/>
            </w14:solidFill>
          </w14:textFill>
        </w:rPr>
        <w:t>8m，宽</w:t>
      </w:r>
      <w:r>
        <w:rPr>
          <w:snapToGrid w:val="0"/>
          <w:color w:val="000000" w:themeColor="text1"/>
          <w14:textFill>
            <w14:solidFill>
              <w14:schemeClr w14:val="tx1"/>
            </w14:solidFill>
          </w14:textFill>
        </w:rPr>
        <w:t>6</w:t>
      </w:r>
      <w:r>
        <w:rPr>
          <w:rFonts w:hint="eastAsia"/>
          <w:snapToGrid w:val="0"/>
          <w:color w:val="000000" w:themeColor="text1"/>
          <w14:textFill>
            <w14:solidFill>
              <w14:schemeClr w14:val="tx1"/>
            </w14:solidFill>
          </w14:textFill>
        </w:rPr>
        <w:t>m。纵剖面呈梯形结构，下宽4m，上宽</w:t>
      </w:r>
      <w:r>
        <w:rPr>
          <w:snapToGrid w:val="0"/>
          <w:color w:val="000000" w:themeColor="text1"/>
          <w14:textFill>
            <w14:solidFill>
              <w14:schemeClr w14:val="tx1"/>
            </w14:solidFill>
          </w14:textFill>
        </w:rPr>
        <w:t>6</w:t>
      </w:r>
      <w:r>
        <w:rPr>
          <w:rFonts w:hint="eastAsia"/>
          <w:snapToGrid w:val="0"/>
          <w:color w:val="000000" w:themeColor="text1"/>
          <w14:textFill>
            <w14:solidFill>
              <w14:schemeClr w14:val="tx1"/>
            </w14:solidFill>
          </w14:textFill>
        </w:rPr>
        <w:t>m，深0.5m，C20砼浇筑，厚30cm。周围建设临时排水沟及沉沙池，洗车废水通过排水沟汇入沉沙池。</w:t>
      </w:r>
    </w:p>
    <w:p w14:paraId="0BF1411A">
      <w:pPr>
        <w:widowControl/>
        <w:ind w:firstLine="482"/>
        <w:rPr>
          <w:b/>
          <w:bCs/>
          <w:snapToGrid w:val="0"/>
          <w:color w:val="000000" w:themeColor="text1"/>
          <w14:textFill>
            <w14:solidFill>
              <w14:schemeClr w14:val="tx1"/>
            </w14:solidFill>
          </w14:textFill>
        </w:rPr>
      </w:pPr>
      <w:r>
        <w:rPr>
          <w:b/>
          <w:bCs/>
          <w:snapToGrid w:val="0"/>
          <w:color w:val="000000" w:themeColor="text1"/>
          <w14:textFill>
            <w14:solidFill>
              <w14:schemeClr w14:val="tx1"/>
            </w14:solidFill>
          </w14:textFill>
        </w:rPr>
        <w:t>2</w:t>
      </w:r>
      <w:r>
        <w:rPr>
          <w:rFonts w:hint="eastAsia"/>
          <w:b/>
          <w:bCs/>
          <w:snapToGrid w:val="0"/>
          <w:color w:val="000000" w:themeColor="text1"/>
          <w14:textFill>
            <w14:solidFill>
              <w14:schemeClr w14:val="tx1"/>
            </w14:solidFill>
          </w14:textFill>
        </w:rPr>
        <w:t>、密目网苫盖（方案新增）</w:t>
      </w:r>
    </w:p>
    <w:p w14:paraId="415B4761">
      <w:pPr>
        <w:ind w:firstLine="480"/>
        <w:rPr>
          <w:bCs/>
          <w:snapToGrid w:val="0"/>
          <w:color w:val="000000" w:themeColor="text1"/>
          <w:highlight w:val="green"/>
          <w14:textFill>
            <w14:solidFill>
              <w14:schemeClr w14:val="tx1"/>
            </w14:solidFill>
          </w14:textFill>
        </w:rPr>
      </w:pPr>
      <w:r>
        <w:rPr>
          <w:rFonts w:hint="eastAsia"/>
          <w:color w:val="000000" w:themeColor="text1"/>
          <w14:textFill>
            <w14:solidFill>
              <w14:schemeClr w14:val="tx1"/>
            </w14:solidFill>
          </w14:textFill>
        </w:rPr>
        <w:t>场内道路、停车场裸露土地采用密目网苫盖，合计密目网苫盖面积868m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65CE3245">
      <w:pPr>
        <w:pStyle w:val="33"/>
        <w:ind w:firstLine="1054" w:firstLineChars="500"/>
        <w:rPr>
          <w:color w:val="000000" w:themeColor="text1"/>
          <w14:textFill>
            <w14:solidFill>
              <w14:schemeClr w14:val="tx1"/>
            </w14:solidFill>
          </w14:textFill>
        </w:rPr>
      </w:pPr>
      <w:bookmarkStart w:id="109" w:name="_Hlk145085715"/>
      <w:r>
        <w:rPr>
          <w:rFonts w:hint="eastAsia"/>
          <w:color w:val="000000" w:themeColor="text1"/>
          <w14:textFill>
            <w14:solidFill>
              <w14:schemeClr w14:val="tx1"/>
            </w14:solidFill>
          </w14:textFill>
        </w:rPr>
        <w:t>表5.4-</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 xml:space="preserve">              场内</w:t>
      </w:r>
      <w:r>
        <w:rPr>
          <w:color w:val="000000" w:themeColor="text1"/>
          <w14:textFill>
            <w14:solidFill>
              <w14:schemeClr w14:val="tx1"/>
            </w14:solidFill>
          </w14:textFill>
        </w:rPr>
        <w:t>道路及硬化工程区</w:t>
      </w:r>
      <w:r>
        <w:rPr>
          <w:rFonts w:hint="eastAsia"/>
          <w:color w:val="000000" w:themeColor="text1"/>
          <w14:textFill>
            <w14:solidFill>
              <w14:schemeClr w14:val="tx1"/>
            </w14:solidFill>
          </w14:textFill>
        </w:rPr>
        <w:t>水土保持措施工程量统计表</w:t>
      </w:r>
    </w:p>
    <w:tbl>
      <w:tblPr>
        <w:tblStyle w:val="26"/>
        <w:tblW w:w="5129"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980"/>
        <w:gridCol w:w="992"/>
        <w:gridCol w:w="1632"/>
        <w:gridCol w:w="1863"/>
        <w:gridCol w:w="992"/>
        <w:gridCol w:w="999"/>
        <w:gridCol w:w="1284"/>
      </w:tblGrid>
      <w:tr w14:paraId="6F53D0D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561" w:type="pct"/>
            <w:vMerge w:val="restart"/>
            <w:shd w:val="clear" w:color="auto" w:fill="auto"/>
            <w:vAlign w:val="center"/>
          </w:tcPr>
          <w:p w14:paraId="326B7FB2">
            <w:pPr>
              <w:pStyle w:val="34"/>
              <w:rPr>
                <w:color w:val="000000" w:themeColor="text1"/>
                <w14:textFill>
                  <w14:solidFill>
                    <w14:schemeClr w14:val="tx1"/>
                  </w14:solidFill>
                </w14:textFill>
              </w:rPr>
            </w:pPr>
            <w:r>
              <w:rPr>
                <w:color w:val="000000" w:themeColor="text1"/>
                <w14:textFill>
                  <w14:solidFill>
                    <w14:schemeClr w14:val="tx1"/>
                  </w14:solidFill>
                </w14:textFill>
              </w:rPr>
              <w:t>防治分区</w:t>
            </w:r>
          </w:p>
        </w:tc>
        <w:tc>
          <w:tcPr>
            <w:tcW w:w="567" w:type="pct"/>
            <w:vMerge w:val="restart"/>
            <w:shd w:val="clear" w:color="auto" w:fill="auto"/>
            <w:vAlign w:val="center"/>
          </w:tcPr>
          <w:p w14:paraId="610EA874">
            <w:pPr>
              <w:pStyle w:val="34"/>
              <w:rPr>
                <w:color w:val="000000" w:themeColor="text1"/>
                <w14:textFill>
                  <w14:solidFill>
                    <w14:schemeClr w14:val="tx1"/>
                  </w14:solidFill>
                </w14:textFill>
              </w:rPr>
            </w:pPr>
            <w:r>
              <w:rPr>
                <w:color w:val="000000" w:themeColor="text1"/>
                <w14:textFill>
                  <w14:solidFill>
                    <w14:schemeClr w14:val="tx1"/>
                  </w14:solidFill>
                </w14:textFill>
              </w:rPr>
              <w:t>措施类型</w:t>
            </w:r>
          </w:p>
        </w:tc>
        <w:tc>
          <w:tcPr>
            <w:tcW w:w="933" w:type="pct"/>
            <w:vMerge w:val="restart"/>
            <w:shd w:val="clear" w:color="auto" w:fill="auto"/>
            <w:vAlign w:val="center"/>
          </w:tcPr>
          <w:p w14:paraId="0A614D59">
            <w:pPr>
              <w:pStyle w:val="34"/>
              <w:rPr>
                <w:color w:val="000000" w:themeColor="text1"/>
                <w14:textFill>
                  <w14:solidFill>
                    <w14:schemeClr w14:val="tx1"/>
                  </w14:solidFill>
                </w14:textFill>
              </w:rPr>
            </w:pPr>
            <w:r>
              <w:rPr>
                <w:color w:val="000000" w:themeColor="text1"/>
                <w14:textFill>
                  <w14:solidFill>
                    <w14:schemeClr w14:val="tx1"/>
                  </w14:solidFill>
                </w14:textFill>
              </w:rPr>
              <w:t>措施名称</w:t>
            </w:r>
          </w:p>
        </w:tc>
        <w:tc>
          <w:tcPr>
            <w:tcW w:w="2203" w:type="pct"/>
            <w:gridSpan w:val="3"/>
            <w:shd w:val="clear" w:color="auto" w:fill="auto"/>
            <w:vAlign w:val="center"/>
          </w:tcPr>
          <w:p w14:paraId="51E115B0">
            <w:pPr>
              <w:pStyle w:val="34"/>
              <w:rPr>
                <w:color w:val="000000" w:themeColor="text1"/>
                <w14:textFill>
                  <w14:solidFill>
                    <w14:schemeClr w14:val="tx1"/>
                  </w14:solidFill>
                </w14:textFill>
              </w:rPr>
            </w:pPr>
            <w:r>
              <w:rPr>
                <w:color w:val="000000" w:themeColor="text1"/>
                <w14:textFill>
                  <w14:solidFill>
                    <w14:schemeClr w14:val="tx1"/>
                  </w14:solidFill>
                </w14:textFill>
              </w:rPr>
              <w:t>措施规模</w:t>
            </w:r>
          </w:p>
        </w:tc>
        <w:tc>
          <w:tcPr>
            <w:tcW w:w="734" w:type="pct"/>
            <w:vMerge w:val="restart"/>
            <w:shd w:val="clear" w:color="auto" w:fill="auto"/>
            <w:vAlign w:val="center"/>
          </w:tcPr>
          <w:p w14:paraId="4309F048">
            <w:pPr>
              <w:pStyle w:val="34"/>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0A71CF3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561" w:type="pct"/>
            <w:vMerge w:val="continue"/>
            <w:shd w:val="clear" w:color="auto" w:fill="auto"/>
            <w:vAlign w:val="center"/>
          </w:tcPr>
          <w:p w14:paraId="7D7FF4BD">
            <w:pPr>
              <w:pStyle w:val="34"/>
              <w:rPr>
                <w:color w:val="000000" w:themeColor="text1"/>
                <w14:textFill>
                  <w14:solidFill>
                    <w14:schemeClr w14:val="tx1"/>
                  </w14:solidFill>
                </w14:textFill>
              </w:rPr>
            </w:pPr>
          </w:p>
        </w:tc>
        <w:tc>
          <w:tcPr>
            <w:tcW w:w="567" w:type="pct"/>
            <w:vMerge w:val="continue"/>
            <w:shd w:val="clear" w:color="auto" w:fill="auto"/>
            <w:vAlign w:val="center"/>
          </w:tcPr>
          <w:p w14:paraId="30DCE3AF">
            <w:pPr>
              <w:pStyle w:val="34"/>
              <w:rPr>
                <w:color w:val="000000" w:themeColor="text1"/>
                <w14:textFill>
                  <w14:solidFill>
                    <w14:schemeClr w14:val="tx1"/>
                  </w14:solidFill>
                </w14:textFill>
              </w:rPr>
            </w:pPr>
          </w:p>
        </w:tc>
        <w:tc>
          <w:tcPr>
            <w:tcW w:w="933" w:type="pct"/>
            <w:vMerge w:val="continue"/>
            <w:shd w:val="clear" w:color="auto" w:fill="auto"/>
            <w:vAlign w:val="center"/>
          </w:tcPr>
          <w:p w14:paraId="25176F24">
            <w:pPr>
              <w:pStyle w:val="34"/>
              <w:rPr>
                <w:color w:val="000000" w:themeColor="text1"/>
                <w14:textFill>
                  <w14:solidFill>
                    <w14:schemeClr w14:val="tx1"/>
                  </w14:solidFill>
                </w14:textFill>
              </w:rPr>
            </w:pPr>
          </w:p>
        </w:tc>
        <w:tc>
          <w:tcPr>
            <w:tcW w:w="1065" w:type="pct"/>
            <w:shd w:val="clear" w:color="auto" w:fill="auto"/>
            <w:vAlign w:val="center"/>
          </w:tcPr>
          <w:p w14:paraId="0F0F8542">
            <w:pPr>
              <w:pStyle w:val="34"/>
              <w:rPr>
                <w:color w:val="000000" w:themeColor="text1"/>
                <w14:textFill>
                  <w14:solidFill>
                    <w14:schemeClr w14:val="tx1"/>
                  </w14:solidFill>
                </w14:textFill>
              </w:rPr>
            </w:pPr>
            <w:r>
              <w:rPr>
                <w:color w:val="000000" w:themeColor="text1"/>
                <w14:textFill>
                  <w14:solidFill>
                    <w14:schemeClr w14:val="tx1"/>
                  </w14:solidFill>
                </w14:textFill>
              </w:rPr>
              <w:t>措施内容</w:t>
            </w:r>
          </w:p>
        </w:tc>
        <w:tc>
          <w:tcPr>
            <w:tcW w:w="567" w:type="pct"/>
            <w:shd w:val="clear" w:color="auto" w:fill="auto"/>
            <w:vAlign w:val="center"/>
          </w:tcPr>
          <w:p w14:paraId="6177EBE6">
            <w:pPr>
              <w:pStyle w:val="34"/>
              <w:rPr>
                <w:color w:val="000000" w:themeColor="text1"/>
                <w14:textFill>
                  <w14:solidFill>
                    <w14:schemeClr w14:val="tx1"/>
                  </w14:solidFill>
                </w14:textFill>
              </w:rPr>
            </w:pPr>
            <w:r>
              <w:rPr>
                <w:color w:val="000000" w:themeColor="text1"/>
                <w14:textFill>
                  <w14:solidFill>
                    <w14:schemeClr w14:val="tx1"/>
                  </w14:solidFill>
                </w14:textFill>
              </w:rPr>
              <w:t>单位</w:t>
            </w:r>
          </w:p>
        </w:tc>
        <w:tc>
          <w:tcPr>
            <w:tcW w:w="570" w:type="pct"/>
            <w:shd w:val="clear" w:color="auto" w:fill="auto"/>
            <w:vAlign w:val="center"/>
          </w:tcPr>
          <w:p w14:paraId="50A1B5DD">
            <w:pPr>
              <w:pStyle w:val="34"/>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734" w:type="pct"/>
            <w:vMerge w:val="continue"/>
            <w:shd w:val="clear" w:color="auto" w:fill="auto"/>
            <w:vAlign w:val="center"/>
          </w:tcPr>
          <w:p w14:paraId="66CABAEC">
            <w:pPr>
              <w:pStyle w:val="34"/>
              <w:rPr>
                <w:color w:val="000000" w:themeColor="text1"/>
                <w14:textFill>
                  <w14:solidFill>
                    <w14:schemeClr w14:val="tx1"/>
                  </w14:solidFill>
                </w14:textFill>
              </w:rPr>
            </w:pPr>
          </w:p>
        </w:tc>
      </w:tr>
      <w:tr w14:paraId="66B2712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08" w:hRule="atLeast"/>
          <w:jc w:val="center"/>
        </w:trPr>
        <w:tc>
          <w:tcPr>
            <w:tcW w:w="561" w:type="pct"/>
            <w:vMerge w:val="restart"/>
            <w:shd w:val="clear" w:color="auto" w:fill="auto"/>
            <w:vAlign w:val="center"/>
          </w:tcPr>
          <w:p w14:paraId="37CE031A">
            <w:pPr>
              <w:pStyle w:val="34"/>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场内道路及硬化工程区</w:t>
            </w:r>
          </w:p>
        </w:tc>
        <w:tc>
          <w:tcPr>
            <w:tcW w:w="567" w:type="pct"/>
            <w:vMerge w:val="restart"/>
            <w:shd w:val="clear" w:color="auto" w:fill="auto"/>
            <w:vAlign w:val="center"/>
          </w:tcPr>
          <w:p w14:paraId="30052E79">
            <w:pPr>
              <w:pStyle w:val="34"/>
              <w:rPr>
                <w:color w:val="000000" w:themeColor="text1"/>
                <w14:textFill>
                  <w14:solidFill>
                    <w14:schemeClr w14:val="tx1"/>
                  </w14:solidFill>
                </w14:textFill>
              </w:rPr>
            </w:pPr>
            <w:r>
              <w:rPr>
                <w:color w:val="000000" w:themeColor="text1"/>
                <w14:textFill>
                  <w14:solidFill>
                    <w14:schemeClr w14:val="tx1"/>
                  </w14:solidFill>
                </w14:textFill>
              </w:rPr>
              <w:t>工程措施</w:t>
            </w:r>
          </w:p>
        </w:tc>
        <w:tc>
          <w:tcPr>
            <w:tcW w:w="1998" w:type="pct"/>
            <w:gridSpan w:val="2"/>
            <w:shd w:val="clear" w:color="auto" w:fill="auto"/>
            <w:vAlign w:val="center"/>
          </w:tcPr>
          <w:p w14:paraId="2279D61A">
            <w:pPr>
              <w:pStyle w:val="34"/>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表土剥离</w:t>
            </w:r>
          </w:p>
        </w:tc>
        <w:tc>
          <w:tcPr>
            <w:tcW w:w="567" w:type="pct"/>
            <w:shd w:val="clear" w:color="auto" w:fill="auto"/>
            <w:noWrap/>
            <w:vAlign w:val="center"/>
          </w:tcPr>
          <w:p w14:paraId="3A4321AB">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p>
        </w:tc>
        <w:tc>
          <w:tcPr>
            <w:tcW w:w="570" w:type="pct"/>
            <w:noWrap/>
            <w:vAlign w:val="center"/>
          </w:tcPr>
          <w:p w14:paraId="2D206D0C">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0.05</w:t>
            </w:r>
          </w:p>
        </w:tc>
        <w:tc>
          <w:tcPr>
            <w:tcW w:w="734" w:type="pct"/>
            <w:shd w:val="clear" w:color="auto" w:fill="auto"/>
            <w:vAlign w:val="center"/>
          </w:tcPr>
          <w:p w14:paraId="5C1DAD5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主体已实施</w:t>
            </w:r>
          </w:p>
        </w:tc>
      </w:tr>
      <w:tr w14:paraId="0C99851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08" w:hRule="atLeast"/>
          <w:jc w:val="center"/>
        </w:trPr>
        <w:tc>
          <w:tcPr>
            <w:tcW w:w="561" w:type="pct"/>
            <w:vMerge w:val="continue"/>
            <w:shd w:val="clear" w:color="auto" w:fill="auto"/>
            <w:vAlign w:val="center"/>
          </w:tcPr>
          <w:p w14:paraId="4B267460">
            <w:pPr>
              <w:pStyle w:val="34"/>
              <w:jc w:val="both"/>
              <w:rPr>
                <w:color w:val="000000" w:themeColor="text1"/>
                <w14:textFill>
                  <w14:solidFill>
                    <w14:schemeClr w14:val="tx1"/>
                  </w14:solidFill>
                </w14:textFill>
              </w:rPr>
            </w:pPr>
          </w:p>
        </w:tc>
        <w:tc>
          <w:tcPr>
            <w:tcW w:w="567" w:type="pct"/>
            <w:vMerge w:val="continue"/>
            <w:shd w:val="clear" w:color="auto" w:fill="auto"/>
            <w:vAlign w:val="center"/>
          </w:tcPr>
          <w:p w14:paraId="1D4B5E18">
            <w:pPr>
              <w:pStyle w:val="34"/>
              <w:rPr>
                <w:color w:val="000000" w:themeColor="text1"/>
                <w14:textFill>
                  <w14:solidFill>
                    <w14:schemeClr w14:val="tx1"/>
                  </w14:solidFill>
                </w14:textFill>
              </w:rPr>
            </w:pPr>
          </w:p>
        </w:tc>
        <w:tc>
          <w:tcPr>
            <w:tcW w:w="933" w:type="pct"/>
            <w:vMerge w:val="restart"/>
            <w:shd w:val="clear" w:color="auto" w:fill="auto"/>
            <w:vAlign w:val="center"/>
          </w:tcPr>
          <w:p w14:paraId="6F6582AD">
            <w:pPr>
              <w:pStyle w:val="34"/>
              <w:rPr>
                <w:color w:val="000000" w:themeColor="text1"/>
                <w14:textFill>
                  <w14:solidFill>
                    <w14:schemeClr w14:val="tx1"/>
                  </w14:solidFill>
                </w14:textFill>
              </w:rPr>
            </w:pPr>
            <w:r>
              <w:rPr>
                <w:color w:val="000000" w:themeColor="text1"/>
                <w14:textFill>
                  <w14:solidFill>
                    <w14:schemeClr w14:val="tx1"/>
                  </w14:solidFill>
                </w14:textFill>
              </w:rPr>
              <w:t>雨水管</w:t>
            </w:r>
          </w:p>
        </w:tc>
        <w:tc>
          <w:tcPr>
            <w:tcW w:w="1065" w:type="pct"/>
            <w:shd w:val="clear" w:color="auto" w:fill="auto"/>
            <w:noWrap/>
            <w:vAlign w:val="center"/>
          </w:tcPr>
          <w:p w14:paraId="24531D63">
            <w:pPr>
              <w:pStyle w:val="34"/>
              <w:rPr>
                <w:color w:val="000000" w:themeColor="text1"/>
                <w14:textFill>
                  <w14:solidFill>
                    <w14:schemeClr w14:val="tx1"/>
                  </w14:solidFill>
                </w14:textFill>
              </w:rPr>
            </w:pPr>
            <w:r>
              <w:rPr>
                <w:color w:val="000000" w:themeColor="text1"/>
                <w14:textFill>
                  <w14:solidFill>
                    <w14:schemeClr w14:val="tx1"/>
                  </w14:solidFill>
                </w14:textFill>
              </w:rPr>
              <w:t>DN</w:t>
            </w:r>
            <w:r>
              <w:rPr>
                <w:rFonts w:hint="eastAsia"/>
                <w:color w:val="000000" w:themeColor="text1"/>
                <w14:textFill>
                  <w14:solidFill>
                    <w14:schemeClr w14:val="tx1"/>
                  </w14:solidFill>
                </w14:textFill>
              </w:rPr>
              <w:t>150</w:t>
            </w:r>
            <w:r>
              <w:rPr>
                <w:color w:val="000000" w:themeColor="text1"/>
                <w14:textFill>
                  <w14:solidFill>
                    <w14:schemeClr w14:val="tx1"/>
                  </w14:solidFill>
                </w14:textFill>
              </w:rPr>
              <w:t>雨水管</w:t>
            </w:r>
          </w:p>
        </w:tc>
        <w:tc>
          <w:tcPr>
            <w:tcW w:w="567" w:type="pct"/>
            <w:shd w:val="clear" w:color="auto" w:fill="auto"/>
            <w:noWrap/>
            <w:vAlign w:val="center"/>
          </w:tcPr>
          <w:p w14:paraId="239B203B">
            <w:pPr>
              <w:pStyle w:val="34"/>
              <w:rPr>
                <w:color w:val="000000" w:themeColor="text1"/>
                <w14:textFill>
                  <w14:solidFill>
                    <w14:schemeClr w14:val="tx1"/>
                  </w14:solidFill>
                </w14:textFill>
              </w:rPr>
            </w:pPr>
            <w:r>
              <w:rPr>
                <w:color w:val="000000" w:themeColor="text1"/>
                <w14:textFill>
                  <w14:solidFill>
                    <w14:schemeClr w14:val="tx1"/>
                  </w14:solidFill>
                </w14:textFill>
              </w:rPr>
              <w:t>m</w:t>
            </w:r>
          </w:p>
        </w:tc>
        <w:tc>
          <w:tcPr>
            <w:tcW w:w="570" w:type="pct"/>
            <w:noWrap/>
            <w:vAlign w:val="center"/>
          </w:tcPr>
          <w:p w14:paraId="113032E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25.04</w:t>
            </w:r>
          </w:p>
        </w:tc>
        <w:tc>
          <w:tcPr>
            <w:tcW w:w="734" w:type="pct"/>
            <w:vMerge w:val="restart"/>
            <w:shd w:val="clear" w:color="auto" w:fill="auto"/>
            <w:vAlign w:val="center"/>
          </w:tcPr>
          <w:p w14:paraId="011E907C">
            <w:pPr>
              <w:pStyle w:val="34"/>
              <w:rPr>
                <w:color w:val="000000" w:themeColor="text1"/>
                <w14:textFill>
                  <w14:solidFill>
                    <w14:schemeClr w14:val="tx1"/>
                  </w14:solidFill>
                </w14:textFill>
              </w:rPr>
            </w:pPr>
            <w:r>
              <w:rPr>
                <w:color w:val="000000" w:themeColor="text1"/>
                <w14:textFill>
                  <w14:solidFill>
                    <w14:schemeClr w14:val="tx1"/>
                  </w14:solidFill>
                </w14:textFill>
              </w:rPr>
              <w:t>主体</w:t>
            </w:r>
            <w:r>
              <w:rPr>
                <w:rFonts w:hint="eastAsia"/>
                <w:color w:val="000000" w:themeColor="text1"/>
                <w14:textFill>
                  <w14:solidFill>
                    <w14:schemeClr w14:val="tx1"/>
                  </w14:solidFill>
                </w14:textFill>
              </w:rPr>
              <w:t>未实施</w:t>
            </w:r>
          </w:p>
        </w:tc>
      </w:tr>
      <w:tr w14:paraId="05B3739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08" w:hRule="atLeast"/>
          <w:jc w:val="center"/>
        </w:trPr>
        <w:tc>
          <w:tcPr>
            <w:tcW w:w="561" w:type="pct"/>
            <w:vMerge w:val="continue"/>
            <w:shd w:val="clear" w:color="auto" w:fill="auto"/>
            <w:vAlign w:val="center"/>
          </w:tcPr>
          <w:p w14:paraId="78949FD8">
            <w:pPr>
              <w:pStyle w:val="34"/>
              <w:rPr>
                <w:color w:val="000000" w:themeColor="text1"/>
                <w14:textFill>
                  <w14:solidFill>
                    <w14:schemeClr w14:val="tx1"/>
                  </w14:solidFill>
                </w14:textFill>
              </w:rPr>
            </w:pPr>
          </w:p>
        </w:tc>
        <w:tc>
          <w:tcPr>
            <w:tcW w:w="567" w:type="pct"/>
            <w:vMerge w:val="continue"/>
            <w:shd w:val="clear" w:color="auto" w:fill="auto"/>
            <w:vAlign w:val="center"/>
          </w:tcPr>
          <w:p w14:paraId="78C525E7">
            <w:pPr>
              <w:pStyle w:val="34"/>
              <w:rPr>
                <w:color w:val="000000" w:themeColor="text1"/>
                <w14:textFill>
                  <w14:solidFill>
                    <w14:schemeClr w14:val="tx1"/>
                  </w14:solidFill>
                </w14:textFill>
              </w:rPr>
            </w:pPr>
          </w:p>
        </w:tc>
        <w:tc>
          <w:tcPr>
            <w:tcW w:w="933" w:type="pct"/>
            <w:vMerge w:val="continue"/>
            <w:shd w:val="clear" w:color="auto" w:fill="auto"/>
            <w:vAlign w:val="center"/>
          </w:tcPr>
          <w:p w14:paraId="3E4BFDE3">
            <w:pPr>
              <w:pStyle w:val="34"/>
              <w:rPr>
                <w:color w:val="000000" w:themeColor="text1"/>
                <w14:textFill>
                  <w14:solidFill>
                    <w14:schemeClr w14:val="tx1"/>
                  </w14:solidFill>
                </w14:textFill>
              </w:rPr>
            </w:pPr>
          </w:p>
        </w:tc>
        <w:tc>
          <w:tcPr>
            <w:tcW w:w="1065" w:type="pct"/>
            <w:shd w:val="clear" w:color="auto" w:fill="auto"/>
            <w:noWrap/>
            <w:vAlign w:val="center"/>
          </w:tcPr>
          <w:p w14:paraId="0457C7C2">
            <w:pPr>
              <w:pStyle w:val="34"/>
              <w:rPr>
                <w:color w:val="000000" w:themeColor="text1"/>
                <w14:textFill>
                  <w14:solidFill>
                    <w14:schemeClr w14:val="tx1"/>
                  </w14:solidFill>
                </w14:textFill>
              </w:rPr>
            </w:pPr>
            <w:r>
              <w:rPr>
                <w:color w:val="000000" w:themeColor="text1"/>
                <w14:textFill>
                  <w14:solidFill>
                    <w14:schemeClr w14:val="tx1"/>
                  </w14:solidFill>
                </w14:textFill>
              </w:rPr>
              <w:t>DN</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00雨水管</w:t>
            </w:r>
          </w:p>
        </w:tc>
        <w:tc>
          <w:tcPr>
            <w:tcW w:w="567" w:type="pct"/>
            <w:shd w:val="clear" w:color="auto" w:fill="auto"/>
            <w:noWrap/>
          </w:tcPr>
          <w:p w14:paraId="36970C3C">
            <w:pPr>
              <w:pStyle w:val="34"/>
              <w:rPr>
                <w:color w:val="000000" w:themeColor="text1"/>
                <w14:textFill>
                  <w14:solidFill>
                    <w14:schemeClr w14:val="tx1"/>
                  </w14:solidFill>
                </w14:textFill>
              </w:rPr>
            </w:pPr>
            <w:r>
              <w:rPr>
                <w:color w:val="000000" w:themeColor="text1"/>
                <w14:textFill>
                  <w14:solidFill>
                    <w14:schemeClr w14:val="tx1"/>
                  </w14:solidFill>
                </w14:textFill>
              </w:rPr>
              <w:t>m</w:t>
            </w:r>
          </w:p>
        </w:tc>
        <w:tc>
          <w:tcPr>
            <w:tcW w:w="570" w:type="pct"/>
            <w:noWrap/>
            <w:vAlign w:val="center"/>
          </w:tcPr>
          <w:p w14:paraId="5BBD1A7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494.51</w:t>
            </w:r>
          </w:p>
        </w:tc>
        <w:tc>
          <w:tcPr>
            <w:tcW w:w="734" w:type="pct"/>
            <w:vMerge w:val="continue"/>
            <w:shd w:val="clear" w:color="auto" w:fill="auto"/>
            <w:vAlign w:val="center"/>
          </w:tcPr>
          <w:p w14:paraId="00ACF158">
            <w:pPr>
              <w:pStyle w:val="34"/>
              <w:rPr>
                <w:color w:val="000000" w:themeColor="text1"/>
                <w14:textFill>
                  <w14:solidFill>
                    <w14:schemeClr w14:val="tx1"/>
                  </w14:solidFill>
                </w14:textFill>
              </w:rPr>
            </w:pPr>
          </w:p>
        </w:tc>
      </w:tr>
      <w:tr w14:paraId="14C0672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561" w:type="pct"/>
            <w:vMerge w:val="continue"/>
            <w:shd w:val="clear" w:color="auto" w:fill="auto"/>
            <w:vAlign w:val="center"/>
          </w:tcPr>
          <w:p w14:paraId="506651A8">
            <w:pPr>
              <w:pStyle w:val="34"/>
              <w:rPr>
                <w:color w:val="000000" w:themeColor="text1"/>
                <w14:textFill>
                  <w14:solidFill>
                    <w14:schemeClr w14:val="tx1"/>
                  </w14:solidFill>
                </w14:textFill>
              </w:rPr>
            </w:pPr>
          </w:p>
        </w:tc>
        <w:tc>
          <w:tcPr>
            <w:tcW w:w="567" w:type="pct"/>
            <w:vMerge w:val="continue"/>
            <w:shd w:val="clear" w:color="auto" w:fill="auto"/>
            <w:vAlign w:val="center"/>
          </w:tcPr>
          <w:p w14:paraId="00576B4A">
            <w:pPr>
              <w:pStyle w:val="34"/>
              <w:rPr>
                <w:color w:val="000000" w:themeColor="text1"/>
                <w14:textFill>
                  <w14:solidFill>
                    <w14:schemeClr w14:val="tx1"/>
                  </w14:solidFill>
                </w14:textFill>
              </w:rPr>
            </w:pPr>
          </w:p>
        </w:tc>
        <w:tc>
          <w:tcPr>
            <w:tcW w:w="933" w:type="pct"/>
            <w:vMerge w:val="continue"/>
            <w:shd w:val="clear" w:color="auto" w:fill="auto"/>
            <w:vAlign w:val="center"/>
          </w:tcPr>
          <w:p w14:paraId="34BBB486">
            <w:pPr>
              <w:pStyle w:val="34"/>
              <w:rPr>
                <w:color w:val="000000" w:themeColor="text1"/>
                <w14:textFill>
                  <w14:solidFill>
                    <w14:schemeClr w14:val="tx1"/>
                  </w14:solidFill>
                </w14:textFill>
              </w:rPr>
            </w:pPr>
          </w:p>
        </w:tc>
        <w:tc>
          <w:tcPr>
            <w:tcW w:w="1065" w:type="pct"/>
            <w:shd w:val="clear" w:color="auto" w:fill="auto"/>
            <w:vAlign w:val="center"/>
          </w:tcPr>
          <w:p w14:paraId="20094CD4">
            <w:pPr>
              <w:pStyle w:val="34"/>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567" w:type="pct"/>
            <w:shd w:val="clear" w:color="auto" w:fill="auto"/>
            <w:noWrap/>
            <w:vAlign w:val="center"/>
          </w:tcPr>
          <w:p w14:paraId="1FD52235">
            <w:pPr>
              <w:pStyle w:val="34"/>
              <w:rPr>
                <w:color w:val="000000" w:themeColor="text1"/>
                <w14:textFill>
                  <w14:solidFill>
                    <w14:schemeClr w14:val="tx1"/>
                  </w14:solidFill>
                </w14:textFill>
              </w:rPr>
            </w:pPr>
            <w:r>
              <w:rPr>
                <w:color w:val="000000" w:themeColor="text1"/>
                <w14:textFill>
                  <w14:solidFill>
                    <w14:schemeClr w14:val="tx1"/>
                  </w14:solidFill>
                </w14:textFill>
              </w:rPr>
              <w:t>m</w:t>
            </w:r>
          </w:p>
        </w:tc>
        <w:tc>
          <w:tcPr>
            <w:tcW w:w="570" w:type="pct"/>
            <w:shd w:val="clear" w:color="auto" w:fill="auto"/>
            <w:noWrap/>
            <w:vAlign w:val="center"/>
          </w:tcPr>
          <w:p w14:paraId="4E8DFFC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519.55</w:t>
            </w:r>
          </w:p>
        </w:tc>
        <w:tc>
          <w:tcPr>
            <w:tcW w:w="734" w:type="pct"/>
            <w:vMerge w:val="continue"/>
            <w:shd w:val="clear" w:color="auto" w:fill="auto"/>
            <w:vAlign w:val="center"/>
          </w:tcPr>
          <w:p w14:paraId="389A5BCC">
            <w:pPr>
              <w:pStyle w:val="34"/>
              <w:rPr>
                <w:color w:val="000000" w:themeColor="text1"/>
                <w14:textFill>
                  <w14:solidFill>
                    <w14:schemeClr w14:val="tx1"/>
                  </w14:solidFill>
                </w14:textFill>
              </w:rPr>
            </w:pPr>
          </w:p>
        </w:tc>
      </w:tr>
      <w:tr w14:paraId="5E47568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561" w:type="pct"/>
            <w:vMerge w:val="continue"/>
            <w:shd w:val="clear" w:color="auto" w:fill="auto"/>
            <w:vAlign w:val="center"/>
          </w:tcPr>
          <w:p w14:paraId="3442B018">
            <w:pPr>
              <w:pStyle w:val="34"/>
              <w:rPr>
                <w:color w:val="000000" w:themeColor="text1"/>
                <w14:textFill>
                  <w14:solidFill>
                    <w14:schemeClr w14:val="tx1"/>
                  </w14:solidFill>
                </w14:textFill>
              </w:rPr>
            </w:pPr>
          </w:p>
        </w:tc>
        <w:tc>
          <w:tcPr>
            <w:tcW w:w="567" w:type="pct"/>
            <w:vMerge w:val="continue"/>
            <w:shd w:val="clear" w:color="auto" w:fill="auto"/>
            <w:vAlign w:val="center"/>
          </w:tcPr>
          <w:p w14:paraId="7D6A4987">
            <w:pPr>
              <w:pStyle w:val="34"/>
              <w:rPr>
                <w:color w:val="000000" w:themeColor="text1"/>
                <w14:textFill>
                  <w14:solidFill>
                    <w14:schemeClr w14:val="tx1"/>
                  </w14:solidFill>
                </w14:textFill>
              </w:rPr>
            </w:pPr>
          </w:p>
        </w:tc>
        <w:tc>
          <w:tcPr>
            <w:tcW w:w="1998" w:type="pct"/>
            <w:gridSpan w:val="2"/>
            <w:shd w:val="clear" w:color="auto" w:fill="auto"/>
            <w:noWrap/>
            <w:vAlign w:val="center"/>
          </w:tcPr>
          <w:p w14:paraId="7193C4D0">
            <w:pPr>
              <w:pStyle w:val="34"/>
              <w:rPr>
                <w:color w:val="000000" w:themeColor="text1"/>
                <w14:textFill>
                  <w14:solidFill>
                    <w14:schemeClr w14:val="tx1"/>
                  </w14:solidFill>
                </w14:textFill>
              </w:rPr>
            </w:pPr>
            <w:r>
              <w:rPr>
                <w:color w:val="000000" w:themeColor="text1"/>
                <w14:textFill>
                  <w14:solidFill>
                    <w14:schemeClr w14:val="tx1"/>
                  </w14:solidFill>
                </w14:textFill>
              </w:rPr>
              <w:t>雨水口</w:t>
            </w:r>
          </w:p>
        </w:tc>
        <w:tc>
          <w:tcPr>
            <w:tcW w:w="567" w:type="pct"/>
            <w:shd w:val="clear" w:color="auto" w:fill="auto"/>
            <w:noWrap/>
            <w:vAlign w:val="center"/>
          </w:tcPr>
          <w:p w14:paraId="4CF25AAB">
            <w:pPr>
              <w:pStyle w:val="34"/>
              <w:rPr>
                <w:color w:val="000000" w:themeColor="text1"/>
                <w14:textFill>
                  <w14:solidFill>
                    <w14:schemeClr w14:val="tx1"/>
                  </w14:solidFill>
                </w14:textFill>
              </w:rPr>
            </w:pPr>
            <w:r>
              <w:rPr>
                <w:color w:val="000000" w:themeColor="text1"/>
                <w14:textFill>
                  <w14:solidFill>
                    <w14:schemeClr w14:val="tx1"/>
                  </w14:solidFill>
                </w14:textFill>
              </w:rPr>
              <w:t>个</w:t>
            </w:r>
          </w:p>
        </w:tc>
        <w:tc>
          <w:tcPr>
            <w:tcW w:w="570" w:type="pct"/>
            <w:shd w:val="clear" w:color="auto" w:fill="auto"/>
            <w:noWrap/>
            <w:vAlign w:val="center"/>
          </w:tcPr>
          <w:p w14:paraId="088D3CBF">
            <w:pPr>
              <w:pStyle w:val="34"/>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7</w:t>
            </w:r>
          </w:p>
        </w:tc>
        <w:tc>
          <w:tcPr>
            <w:tcW w:w="734" w:type="pct"/>
            <w:vMerge w:val="continue"/>
            <w:shd w:val="clear" w:color="auto" w:fill="auto"/>
            <w:vAlign w:val="center"/>
          </w:tcPr>
          <w:p w14:paraId="2D603112">
            <w:pPr>
              <w:pStyle w:val="34"/>
              <w:rPr>
                <w:color w:val="000000" w:themeColor="text1"/>
                <w14:textFill>
                  <w14:solidFill>
                    <w14:schemeClr w14:val="tx1"/>
                  </w14:solidFill>
                </w14:textFill>
              </w:rPr>
            </w:pPr>
          </w:p>
        </w:tc>
      </w:tr>
      <w:tr w14:paraId="362C9DA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561" w:type="pct"/>
            <w:vMerge w:val="continue"/>
            <w:shd w:val="clear" w:color="auto" w:fill="auto"/>
            <w:vAlign w:val="center"/>
          </w:tcPr>
          <w:p w14:paraId="71CF74D2">
            <w:pPr>
              <w:pStyle w:val="34"/>
              <w:rPr>
                <w:color w:val="000000" w:themeColor="text1"/>
                <w14:textFill>
                  <w14:solidFill>
                    <w14:schemeClr w14:val="tx1"/>
                  </w14:solidFill>
                </w14:textFill>
              </w:rPr>
            </w:pPr>
          </w:p>
        </w:tc>
        <w:tc>
          <w:tcPr>
            <w:tcW w:w="567" w:type="pct"/>
            <w:vMerge w:val="continue"/>
            <w:shd w:val="clear" w:color="auto" w:fill="auto"/>
            <w:vAlign w:val="center"/>
          </w:tcPr>
          <w:p w14:paraId="3EC19F30">
            <w:pPr>
              <w:pStyle w:val="34"/>
              <w:rPr>
                <w:color w:val="000000" w:themeColor="text1"/>
                <w14:textFill>
                  <w14:solidFill>
                    <w14:schemeClr w14:val="tx1"/>
                  </w14:solidFill>
                </w14:textFill>
              </w:rPr>
            </w:pPr>
          </w:p>
        </w:tc>
        <w:tc>
          <w:tcPr>
            <w:tcW w:w="1998" w:type="pct"/>
            <w:gridSpan w:val="2"/>
            <w:shd w:val="clear" w:color="auto" w:fill="auto"/>
            <w:noWrap/>
            <w:vAlign w:val="center"/>
          </w:tcPr>
          <w:p w14:paraId="2504DAD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雨水蓄水池</w:t>
            </w:r>
          </w:p>
        </w:tc>
        <w:tc>
          <w:tcPr>
            <w:tcW w:w="567" w:type="pct"/>
            <w:shd w:val="clear" w:color="auto" w:fill="auto"/>
            <w:noWrap/>
            <w:vAlign w:val="center"/>
          </w:tcPr>
          <w:p w14:paraId="464D35B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个</w:t>
            </w:r>
          </w:p>
        </w:tc>
        <w:tc>
          <w:tcPr>
            <w:tcW w:w="570" w:type="pct"/>
            <w:shd w:val="clear" w:color="auto" w:fill="auto"/>
            <w:noWrap/>
            <w:vAlign w:val="center"/>
          </w:tcPr>
          <w:p w14:paraId="1B136B4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34" w:type="pct"/>
            <w:vMerge w:val="continue"/>
            <w:shd w:val="clear" w:color="auto" w:fill="auto"/>
            <w:vAlign w:val="center"/>
          </w:tcPr>
          <w:p w14:paraId="53065D0D">
            <w:pPr>
              <w:pStyle w:val="34"/>
              <w:rPr>
                <w:color w:val="000000" w:themeColor="text1"/>
                <w14:textFill>
                  <w14:solidFill>
                    <w14:schemeClr w14:val="tx1"/>
                  </w14:solidFill>
                </w14:textFill>
              </w:rPr>
            </w:pPr>
          </w:p>
        </w:tc>
      </w:tr>
      <w:tr w14:paraId="105CD5E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561" w:type="pct"/>
            <w:vMerge w:val="continue"/>
            <w:shd w:val="clear" w:color="auto" w:fill="auto"/>
            <w:vAlign w:val="center"/>
          </w:tcPr>
          <w:p w14:paraId="68A8F904">
            <w:pPr>
              <w:pStyle w:val="34"/>
              <w:rPr>
                <w:color w:val="000000" w:themeColor="text1"/>
                <w14:textFill>
                  <w14:solidFill>
                    <w14:schemeClr w14:val="tx1"/>
                  </w14:solidFill>
                </w14:textFill>
              </w:rPr>
            </w:pPr>
          </w:p>
        </w:tc>
        <w:tc>
          <w:tcPr>
            <w:tcW w:w="567" w:type="pct"/>
            <w:vMerge w:val="restart"/>
            <w:shd w:val="clear" w:color="auto" w:fill="auto"/>
            <w:vAlign w:val="center"/>
          </w:tcPr>
          <w:p w14:paraId="3565F721">
            <w:pPr>
              <w:pStyle w:val="34"/>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998" w:type="pct"/>
            <w:gridSpan w:val="2"/>
            <w:shd w:val="clear" w:color="auto" w:fill="auto"/>
            <w:vAlign w:val="center"/>
          </w:tcPr>
          <w:p w14:paraId="23C67D5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洗车设施</w:t>
            </w:r>
          </w:p>
        </w:tc>
        <w:tc>
          <w:tcPr>
            <w:tcW w:w="567" w:type="pct"/>
            <w:shd w:val="clear" w:color="auto" w:fill="auto"/>
            <w:vAlign w:val="center"/>
          </w:tcPr>
          <w:p w14:paraId="10C2351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套</w:t>
            </w:r>
          </w:p>
        </w:tc>
        <w:tc>
          <w:tcPr>
            <w:tcW w:w="570" w:type="pct"/>
            <w:shd w:val="clear" w:color="auto" w:fill="auto"/>
            <w:vAlign w:val="center"/>
          </w:tcPr>
          <w:p w14:paraId="057C653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34" w:type="pct"/>
            <w:shd w:val="clear" w:color="auto" w:fill="auto"/>
            <w:vAlign w:val="center"/>
          </w:tcPr>
          <w:p w14:paraId="1043B3F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主体已实施</w:t>
            </w:r>
          </w:p>
        </w:tc>
      </w:tr>
      <w:tr w14:paraId="243DB4B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80" w:hRule="atLeast"/>
          <w:jc w:val="center"/>
        </w:trPr>
        <w:tc>
          <w:tcPr>
            <w:tcW w:w="561" w:type="pct"/>
            <w:vMerge w:val="continue"/>
            <w:shd w:val="clear" w:color="auto" w:fill="auto"/>
            <w:vAlign w:val="center"/>
          </w:tcPr>
          <w:p w14:paraId="54874627">
            <w:pPr>
              <w:pStyle w:val="34"/>
              <w:rPr>
                <w:color w:val="000000" w:themeColor="text1"/>
                <w14:textFill>
                  <w14:solidFill>
                    <w14:schemeClr w14:val="tx1"/>
                  </w14:solidFill>
                </w14:textFill>
              </w:rPr>
            </w:pPr>
          </w:p>
        </w:tc>
        <w:tc>
          <w:tcPr>
            <w:tcW w:w="567" w:type="pct"/>
            <w:vMerge w:val="continue"/>
            <w:shd w:val="clear" w:color="auto" w:fill="auto"/>
            <w:vAlign w:val="center"/>
          </w:tcPr>
          <w:p w14:paraId="649B1F55">
            <w:pPr>
              <w:pStyle w:val="34"/>
              <w:rPr>
                <w:color w:val="000000" w:themeColor="text1"/>
                <w14:textFill>
                  <w14:solidFill>
                    <w14:schemeClr w14:val="tx1"/>
                  </w14:solidFill>
                </w14:textFill>
              </w:rPr>
            </w:pPr>
          </w:p>
        </w:tc>
        <w:tc>
          <w:tcPr>
            <w:tcW w:w="1998" w:type="pct"/>
            <w:gridSpan w:val="2"/>
            <w:shd w:val="clear" w:color="auto" w:fill="auto"/>
            <w:vAlign w:val="center"/>
          </w:tcPr>
          <w:p w14:paraId="2E0DDF9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密目网</w:t>
            </w:r>
            <w:r>
              <w:rPr>
                <w:color w:val="000000" w:themeColor="text1"/>
                <w14:textFill>
                  <w14:solidFill>
                    <w14:schemeClr w14:val="tx1"/>
                  </w14:solidFill>
                </w14:textFill>
              </w:rPr>
              <w:t>苫盖</w:t>
            </w:r>
          </w:p>
        </w:tc>
        <w:tc>
          <w:tcPr>
            <w:tcW w:w="567" w:type="pct"/>
            <w:shd w:val="clear" w:color="auto" w:fill="auto"/>
            <w:vAlign w:val="center"/>
          </w:tcPr>
          <w:p w14:paraId="65466F6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570" w:type="pct"/>
            <w:shd w:val="clear" w:color="auto" w:fill="auto"/>
            <w:vAlign w:val="center"/>
          </w:tcPr>
          <w:p w14:paraId="5A2D99D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868</w:t>
            </w:r>
          </w:p>
        </w:tc>
        <w:tc>
          <w:tcPr>
            <w:tcW w:w="734" w:type="pct"/>
            <w:shd w:val="clear" w:color="auto" w:fill="auto"/>
            <w:vAlign w:val="center"/>
          </w:tcPr>
          <w:p w14:paraId="2272AC0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方案新增</w:t>
            </w:r>
          </w:p>
        </w:tc>
      </w:tr>
      <w:bookmarkEnd w:id="109"/>
    </w:tbl>
    <w:p w14:paraId="6E4A070C">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.4.4</w:t>
      </w:r>
      <w:r>
        <w:rPr>
          <w:rFonts w:hint="eastAsia"/>
          <w:color w:val="000000" w:themeColor="text1"/>
          <w14:textFill>
            <w14:solidFill>
              <w14:schemeClr w14:val="tx1"/>
            </w14:solidFill>
          </w14:textFill>
        </w:rPr>
        <w:t>绿化工程区</w:t>
      </w:r>
    </w:p>
    <w:p w14:paraId="28FD5744">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5.4.</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.1 工程措施</w:t>
      </w:r>
    </w:p>
    <w:p w14:paraId="1A098194">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w:t>
      </w:r>
      <w:r>
        <w:rPr>
          <w:rFonts w:hint="eastAsia"/>
          <w:b/>
          <w:bCs/>
          <w:color w:val="000000" w:themeColor="text1"/>
          <w14:textFill>
            <w14:solidFill>
              <w14:schemeClr w14:val="tx1"/>
            </w14:solidFill>
          </w14:textFill>
        </w:rPr>
        <w:t>、土地整治（方案新增）</w:t>
      </w:r>
    </w:p>
    <w:p w14:paraId="79BCD53E">
      <w:pPr>
        <w:ind w:firstLine="480"/>
        <w:rPr>
          <w:bCs/>
          <w:snapToGrid w:val="0"/>
          <w:color w:val="000000" w:themeColor="text1"/>
          <w14:textFill>
            <w14:solidFill>
              <w14:schemeClr w14:val="tx1"/>
            </w14:solidFill>
          </w14:textFill>
        </w:rPr>
      </w:pPr>
      <w:bookmarkStart w:id="110" w:name="_Hlk145859647"/>
      <w:r>
        <w:rPr>
          <w:rFonts w:hint="eastAsia"/>
          <w:bCs/>
          <w:snapToGrid w:val="0"/>
          <w:color w:val="000000" w:themeColor="text1"/>
          <w14:textFill>
            <w14:solidFill>
              <w14:schemeClr w14:val="tx1"/>
            </w14:solidFill>
          </w14:textFill>
        </w:rPr>
        <w:t>土方在回覆过程中其土壤原有结构可能受到一定程度影响而不利于植物措施的实施，且场地在施工过程中的平整、碾压以及地形造景等施工活动也使得其地表不利于植被生长，因此本方案设计在回铺土方后对其采取松土、清除杂物等土地整治措施。</w:t>
      </w:r>
    </w:p>
    <w:bookmarkEnd w:id="110"/>
    <w:p w14:paraId="5C4D9A7E">
      <w:pPr>
        <w:ind w:firstLine="480"/>
        <w:rPr>
          <w:color w:val="000000" w:themeColor="text1"/>
          <w14:textFill>
            <w14:solidFill>
              <w14:schemeClr w14:val="tx1"/>
            </w14:solidFill>
          </w14:textFill>
        </w:rPr>
      </w:pPr>
      <w:r>
        <w:rPr>
          <w:rFonts w:hint="eastAsia"/>
          <w:bCs/>
          <w:snapToGrid w:val="0"/>
          <w:color w:val="000000" w:themeColor="text1"/>
          <w14:textFill>
            <w14:solidFill>
              <w14:schemeClr w14:val="tx1"/>
            </w14:solidFill>
          </w14:textFill>
        </w:rPr>
        <w:t>经统计，绿化工程区整治面积为0.12</w:t>
      </w:r>
      <w:r>
        <w:rPr>
          <w:bCs/>
          <w:snapToGrid w:val="0"/>
          <w:color w:val="000000" w:themeColor="text1"/>
          <w14:textFill>
            <w14:solidFill>
              <w14:schemeClr w14:val="tx1"/>
            </w14:solidFill>
          </w14:textFill>
        </w:rPr>
        <w:t>hm</w:t>
      </w:r>
      <w:r>
        <w:rPr>
          <w:bCs/>
          <w:snapToGrid w:val="0"/>
          <w:color w:val="000000" w:themeColor="text1"/>
          <w:vertAlign w:val="superscript"/>
          <w14:textFill>
            <w14:solidFill>
              <w14:schemeClr w14:val="tx1"/>
            </w14:solidFill>
          </w14:textFill>
        </w:rPr>
        <w:t>2</w:t>
      </w:r>
      <w:r>
        <w:rPr>
          <w:rFonts w:hint="eastAsia"/>
          <w:bCs/>
          <w:snapToGrid w:val="0"/>
          <w:color w:val="000000" w:themeColor="text1"/>
          <w14:textFill>
            <w14:solidFill>
              <w14:schemeClr w14:val="tx1"/>
            </w14:solidFill>
          </w14:textFill>
        </w:rPr>
        <w:t>。</w:t>
      </w:r>
    </w:p>
    <w:p w14:paraId="282CAE10">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5.4.</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.2 植物措施</w:t>
      </w:r>
    </w:p>
    <w:p w14:paraId="551E70EE">
      <w:pPr>
        <w:adjustRightInd/>
        <w:ind w:firstLine="474"/>
        <w:rPr>
          <w:b/>
          <w:bCs/>
          <w:color w:val="000000" w:themeColor="text1"/>
          <w:spacing w:val="-4"/>
          <w:lang w:bidi="zh-CN"/>
          <w14:textFill>
            <w14:solidFill>
              <w14:schemeClr w14:val="tx1"/>
            </w14:solidFill>
          </w14:textFill>
        </w:rPr>
      </w:pPr>
      <w:r>
        <w:rPr>
          <w:rFonts w:hint="eastAsia"/>
          <w:b/>
          <w:bCs/>
          <w:color w:val="000000" w:themeColor="text1"/>
          <w:spacing w:val="-4"/>
          <w:lang w:bidi="zh-CN"/>
          <w14:textFill>
            <w14:solidFill>
              <w14:schemeClr w14:val="tx1"/>
            </w14:solidFill>
          </w14:textFill>
        </w:rPr>
        <w:t>1、乔灌绿化（主体未实施）</w:t>
      </w:r>
    </w:p>
    <w:p w14:paraId="0BDF417E">
      <w:pPr>
        <w:pStyle w:val="66"/>
        <w:ind w:firstLine="480"/>
        <w:rPr>
          <w:color w:val="000000" w:themeColor="text1"/>
          <w14:textFill>
            <w14:solidFill>
              <w14:schemeClr w14:val="tx1"/>
            </w14:solidFill>
          </w14:textFill>
        </w:rPr>
      </w:pPr>
      <w:r>
        <w:rPr>
          <w:color w:val="000000" w:themeColor="text1"/>
          <w14:textFill>
            <w14:solidFill>
              <w14:schemeClr w14:val="tx1"/>
            </w14:solidFill>
          </w14:textFill>
        </w:rPr>
        <w:t>为改善项目建设区环境，建设区绿化面积</w:t>
      </w:r>
      <w:r>
        <w:rPr>
          <w:rFonts w:hint="eastAsia"/>
          <w:bCs/>
          <w:snapToGrid w:val="0"/>
          <w:color w:val="000000" w:themeColor="text1"/>
          <w14:textFill>
            <w14:solidFill>
              <w14:schemeClr w14:val="tx1"/>
            </w14:solidFill>
          </w14:textFill>
        </w:rPr>
        <w:t>0.12</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，该项措施由主体工程负责实施，</w:t>
      </w:r>
      <w:r>
        <w:rPr>
          <w:rFonts w:hint="eastAsia"/>
          <w:color w:val="000000" w:themeColor="text1"/>
          <w14:textFill>
            <w14:solidFill>
              <w14:schemeClr w14:val="tx1"/>
            </w14:solidFill>
          </w14:textFill>
        </w:rPr>
        <w:t>以后期的绿化专项设计为准</w:t>
      </w:r>
      <w:r>
        <w:rPr>
          <w:color w:val="000000" w:themeColor="text1"/>
          <w14:textFill>
            <w14:solidFill>
              <w14:schemeClr w14:val="tx1"/>
            </w14:solidFill>
          </w14:textFill>
        </w:rPr>
        <w:t>。</w:t>
      </w:r>
    </w:p>
    <w:p w14:paraId="0EE028E3">
      <w:pPr>
        <w:adjustRightInd/>
        <w:ind w:firstLine="474"/>
        <w:rPr>
          <w:b/>
          <w:bCs/>
          <w:color w:val="000000" w:themeColor="text1"/>
          <w:spacing w:val="-4"/>
          <w:lang w:bidi="zh-CN"/>
          <w14:textFill>
            <w14:solidFill>
              <w14:schemeClr w14:val="tx1"/>
            </w14:solidFill>
          </w14:textFill>
        </w:rPr>
      </w:pPr>
      <w:r>
        <w:rPr>
          <w:rFonts w:hint="eastAsia"/>
          <w:b/>
          <w:bCs/>
          <w:color w:val="000000" w:themeColor="text1"/>
          <w:spacing w:val="-4"/>
          <w:lang w:bidi="zh-CN"/>
          <w14:textFill>
            <w14:solidFill>
              <w14:schemeClr w14:val="tx1"/>
            </w14:solidFill>
          </w14:textFill>
        </w:rPr>
        <w:t>2、植草沟（主体未实施）</w:t>
      </w:r>
    </w:p>
    <w:p w14:paraId="488D4316">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为避免路面积水，在各栋建筑靠近场内道路边绿化带设置植草沟，有利于雨水的快速下渗和导流，共建设植草沟173.04</w:t>
      </w:r>
      <w:r>
        <w:rPr>
          <w:snapToGrid w:val="0"/>
          <w:color w:val="000000" w:themeColor="text1"/>
          <w14:textFill>
            <w14:solidFill>
              <w14:schemeClr w14:val="tx1"/>
            </w14:solidFill>
          </w14:textFill>
        </w:rPr>
        <w:t>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w:t>
      </w:r>
    </w:p>
    <w:p w14:paraId="6E538CCA">
      <w:pPr>
        <w:adjustRightInd/>
        <w:ind w:firstLine="474"/>
        <w:rPr>
          <w:b/>
          <w:bCs/>
          <w:color w:val="000000" w:themeColor="text1"/>
          <w:spacing w:val="-4"/>
          <w:lang w:bidi="zh-CN"/>
          <w14:textFill>
            <w14:solidFill>
              <w14:schemeClr w14:val="tx1"/>
            </w14:solidFill>
          </w14:textFill>
        </w:rPr>
      </w:pPr>
      <w:r>
        <w:rPr>
          <w:b/>
          <w:bCs/>
          <w:color w:val="000000" w:themeColor="text1"/>
          <w:spacing w:val="-4"/>
          <w:lang w:bidi="zh-CN"/>
          <w14:textFill>
            <w14:solidFill>
              <w14:schemeClr w14:val="tx1"/>
            </w14:solidFill>
          </w14:textFill>
        </w:rPr>
        <w:t>3</w:t>
      </w:r>
      <w:r>
        <w:rPr>
          <w:rFonts w:hint="eastAsia"/>
          <w:b/>
          <w:bCs/>
          <w:color w:val="000000" w:themeColor="text1"/>
          <w:spacing w:val="-4"/>
          <w:lang w:bidi="zh-CN"/>
          <w14:textFill>
            <w14:solidFill>
              <w14:schemeClr w14:val="tx1"/>
            </w14:solidFill>
          </w14:textFill>
        </w:rPr>
        <w:t>、抚育管理（方案新增）</w:t>
      </w:r>
    </w:p>
    <w:p w14:paraId="164D0D82">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植物措施实施后，应定期对植被进行维护，病虫害治疗等，保证植被成活</w:t>
      </w:r>
      <w:r>
        <w:rPr>
          <w:rFonts w:hint="eastAsia"/>
          <w:color w:val="000000" w:themeColor="text1"/>
          <w14:textFill>
            <w14:solidFill>
              <w14:schemeClr w14:val="tx1"/>
            </w14:solidFill>
          </w14:textFill>
        </w:rPr>
        <w:t>，本项目属于</w:t>
      </w:r>
      <w:r>
        <w:rPr>
          <w:color w:val="000000" w:themeColor="text1"/>
          <w14:textFill>
            <w14:solidFill>
              <w14:schemeClr w14:val="tx1"/>
            </w14:solidFill>
          </w14:textFill>
        </w:rPr>
        <w:t>工业项目</w:t>
      </w:r>
      <w:r>
        <w:rPr>
          <w:rFonts w:hint="eastAsia"/>
          <w:color w:val="000000" w:themeColor="text1"/>
          <w14:textFill>
            <w14:solidFill>
              <w14:schemeClr w14:val="tx1"/>
            </w14:solidFill>
          </w14:textFill>
        </w:rPr>
        <w:t>，项目运营后植物抚育管理由建设单位自行负责管理，因此本方案</w:t>
      </w:r>
      <w:r>
        <w:rPr>
          <w:color w:val="000000" w:themeColor="text1"/>
          <w14:textFill>
            <w14:solidFill>
              <w14:schemeClr w14:val="tx1"/>
            </w14:solidFill>
          </w14:textFill>
        </w:rPr>
        <w:t>植物</w:t>
      </w:r>
      <w:r>
        <w:rPr>
          <w:rFonts w:hint="eastAsia"/>
          <w:color w:val="000000" w:themeColor="text1"/>
          <w14:textFill>
            <w14:solidFill>
              <w14:schemeClr w14:val="tx1"/>
            </w14:solidFill>
          </w14:textFill>
        </w:rPr>
        <w:t>抚育</w:t>
      </w:r>
      <w:r>
        <w:rPr>
          <w:color w:val="000000" w:themeColor="text1"/>
          <w14:textFill>
            <w14:solidFill>
              <w14:schemeClr w14:val="tx1"/>
            </w14:solidFill>
          </w14:textFill>
        </w:rPr>
        <w:t>措施</w:t>
      </w:r>
      <w:r>
        <w:rPr>
          <w:rFonts w:hint="eastAsia"/>
          <w:color w:val="000000" w:themeColor="text1"/>
          <w14:textFill>
            <w14:solidFill>
              <w14:schemeClr w14:val="tx1"/>
            </w14:solidFill>
          </w14:textFill>
        </w:rPr>
        <w:t>，按两年计列</w:t>
      </w:r>
      <w:r>
        <w:rPr>
          <w:color w:val="000000" w:themeColor="text1"/>
          <w14:textFill>
            <w14:solidFill>
              <w14:schemeClr w14:val="tx1"/>
            </w14:solidFill>
          </w14:textFill>
        </w:rPr>
        <w:t>。</w:t>
      </w:r>
    </w:p>
    <w:p w14:paraId="250BEBE6">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5.4.</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.3 临时措施</w:t>
      </w:r>
    </w:p>
    <w:p w14:paraId="5565AED2">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1、密目网苫盖（方案新增）</w:t>
      </w:r>
    </w:p>
    <w:p w14:paraId="38F08714">
      <w:pPr>
        <w:widowControl/>
        <w:ind w:firstLine="480"/>
        <w:rPr>
          <w:color w:val="000000" w:themeColor="text1"/>
          <w14:textFill>
            <w14:solidFill>
              <w14:schemeClr w14:val="tx1"/>
            </w14:solidFill>
          </w14:textFill>
        </w:rPr>
      </w:pPr>
      <w:bookmarkStart w:id="111" w:name="_Hlk145859585"/>
      <w:r>
        <w:rPr>
          <w:color w:val="000000" w:themeColor="text1"/>
          <w14:textFill>
            <w14:solidFill>
              <w14:schemeClr w14:val="tx1"/>
            </w14:solidFill>
          </w14:textFill>
        </w:rPr>
        <w:t>本</w:t>
      </w:r>
      <w:r>
        <w:rPr>
          <w:rFonts w:hint="eastAsia"/>
          <w:color w:val="000000" w:themeColor="text1"/>
          <w14:textFill>
            <w14:solidFill>
              <w14:schemeClr w14:val="tx1"/>
            </w14:solidFill>
          </w14:textFill>
        </w:rPr>
        <w:t>项目计划在施工过程中采取密目网</w:t>
      </w:r>
      <w:r>
        <w:rPr>
          <w:color w:val="000000" w:themeColor="text1"/>
          <w14:textFill>
            <w14:solidFill>
              <w14:schemeClr w14:val="tx1"/>
            </w14:solidFill>
          </w14:textFill>
        </w:rPr>
        <w:t>苫盖措施，</w:t>
      </w:r>
      <w:r>
        <w:rPr>
          <w:rFonts w:hint="eastAsia"/>
          <w:color w:val="000000" w:themeColor="text1"/>
          <w14:textFill>
            <w14:solidFill>
              <w14:schemeClr w14:val="tx1"/>
            </w14:solidFill>
          </w14:textFill>
        </w:rPr>
        <w:t>对不能及时绿化的裸露地面采取苫盖</w:t>
      </w:r>
      <w:bookmarkEnd w:id="111"/>
      <w:r>
        <w:rPr>
          <w:rFonts w:hint="eastAsia"/>
          <w:color w:val="000000" w:themeColor="text1"/>
          <w14:textFill>
            <w14:solidFill>
              <w14:schemeClr w14:val="tx1"/>
            </w14:solidFill>
          </w14:textFill>
        </w:rPr>
        <w:t>，经统计共采取密目网苫盖714m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7E7AED78">
      <w:pPr>
        <w:pStyle w:val="33"/>
        <w:ind w:firstLine="211" w:firstLineChars="10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表5.4-</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绿化工程区</w:t>
      </w:r>
      <w:r>
        <w:rPr>
          <w:rFonts w:hint="eastAsia"/>
          <w:color w:val="000000" w:themeColor="text1"/>
          <w14:textFill>
            <w14:solidFill>
              <w14:schemeClr w14:val="tx1"/>
            </w14:solidFill>
          </w14:textFill>
        </w:rPr>
        <w:t>水土保持措施工程量统计表</w:t>
      </w:r>
    </w:p>
    <w:tbl>
      <w:tblPr>
        <w:tblStyle w:val="26"/>
        <w:tblW w:w="461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3"/>
        <w:gridCol w:w="1149"/>
        <w:gridCol w:w="1899"/>
        <w:gridCol w:w="1149"/>
        <w:gridCol w:w="1151"/>
        <w:gridCol w:w="1367"/>
      </w:tblGrid>
      <w:tr w14:paraId="617FB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32" w:type="pct"/>
            <w:vMerge w:val="restart"/>
            <w:shd w:val="clear" w:color="auto" w:fill="auto"/>
            <w:vAlign w:val="center"/>
          </w:tcPr>
          <w:p w14:paraId="4CF50150">
            <w:pPr>
              <w:pStyle w:val="34"/>
              <w:rPr>
                <w:color w:val="000000" w:themeColor="text1"/>
                <w14:textFill>
                  <w14:solidFill>
                    <w14:schemeClr w14:val="tx1"/>
                  </w14:solidFill>
                </w14:textFill>
              </w:rPr>
            </w:pPr>
            <w:r>
              <w:rPr>
                <w:color w:val="000000" w:themeColor="text1"/>
                <w14:textFill>
                  <w14:solidFill>
                    <w14:schemeClr w14:val="tx1"/>
                  </w14:solidFill>
                </w14:textFill>
              </w:rPr>
              <w:t>防治分区</w:t>
            </w:r>
          </w:p>
        </w:tc>
        <w:tc>
          <w:tcPr>
            <w:tcW w:w="730" w:type="pct"/>
            <w:vMerge w:val="restart"/>
            <w:shd w:val="clear" w:color="auto" w:fill="auto"/>
            <w:vAlign w:val="center"/>
          </w:tcPr>
          <w:p w14:paraId="6E40497A">
            <w:pPr>
              <w:pStyle w:val="34"/>
              <w:rPr>
                <w:color w:val="000000" w:themeColor="text1"/>
                <w14:textFill>
                  <w14:solidFill>
                    <w14:schemeClr w14:val="tx1"/>
                  </w14:solidFill>
                </w14:textFill>
              </w:rPr>
            </w:pPr>
            <w:r>
              <w:rPr>
                <w:color w:val="000000" w:themeColor="text1"/>
                <w14:textFill>
                  <w14:solidFill>
                    <w14:schemeClr w14:val="tx1"/>
                  </w14:solidFill>
                </w14:textFill>
              </w:rPr>
              <w:t>措施类型</w:t>
            </w:r>
          </w:p>
        </w:tc>
        <w:tc>
          <w:tcPr>
            <w:tcW w:w="1206" w:type="pct"/>
            <w:vMerge w:val="restart"/>
            <w:shd w:val="clear" w:color="auto" w:fill="auto"/>
            <w:vAlign w:val="center"/>
          </w:tcPr>
          <w:p w14:paraId="334FD158">
            <w:pPr>
              <w:pStyle w:val="34"/>
              <w:rPr>
                <w:color w:val="000000" w:themeColor="text1"/>
                <w14:textFill>
                  <w14:solidFill>
                    <w14:schemeClr w14:val="tx1"/>
                  </w14:solidFill>
                </w14:textFill>
              </w:rPr>
            </w:pPr>
            <w:r>
              <w:rPr>
                <w:color w:val="000000" w:themeColor="text1"/>
                <w14:textFill>
                  <w14:solidFill>
                    <w14:schemeClr w14:val="tx1"/>
                  </w14:solidFill>
                </w14:textFill>
              </w:rPr>
              <w:t>措施名称</w:t>
            </w:r>
          </w:p>
        </w:tc>
        <w:tc>
          <w:tcPr>
            <w:tcW w:w="1461" w:type="pct"/>
            <w:gridSpan w:val="2"/>
            <w:shd w:val="clear" w:color="auto" w:fill="auto"/>
            <w:vAlign w:val="center"/>
          </w:tcPr>
          <w:p w14:paraId="181EF8E9">
            <w:pPr>
              <w:pStyle w:val="34"/>
              <w:rPr>
                <w:color w:val="000000" w:themeColor="text1"/>
                <w14:textFill>
                  <w14:solidFill>
                    <w14:schemeClr w14:val="tx1"/>
                  </w14:solidFill>
                </w14:textFill>
              </w:rPr>
            </w:pPr>
            <w:r>
              <w:rPr>
                <w:color w:val="000000" w:themeColor="text1"/>
                <w14:textFill>
                  <w14:solidFill>
                    <w14:schemeClr w14:val="tx1"/>
                  </w14:solidFill>
                </w14:textFill>
              </w:rPr>
              <w:t>措施规模</w:t>
            </w:r>
          </w:p>
        </w:tc>
        <w:tc>
          <w:tcPr>
            <w:tcW w:w="868" w:type="pct"/>
            <w:vMerge w:val="restart"/>
            <w:shd w:val="clear" w:color="auto" w:fill="auto"/>
            <w:vAlign w:val="center"/>
          </w:tcPr>
          <w:p w14:paraId="773FB13F">
            <w:pPr>
              <w:pStyle w:val="34"/>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0C0BD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32" w:type="pct"/>
            <w:vMerge w:val="continue"/>
            <w:shd w:val="clear" w:color="auto" w:fill="auto"/>
            <w:vAlign w:val="center"/>
          </w:tcPr>
          <w:p w14:paraId="7C8F8B64">
            <w:pPr>
              <w:pStyle w:val="34"/>
              <w:rPr>
                <w:color w:val="000000" w:themeColor="text1"/>
                <w14:textFill>
                  <w14:solidFill>
                    <w14:schemeClr w14:val="tx1"/>
                  </w14:solidFill>
                </w14:textFill>
              </w:rPr>
            </w:pPr>
          </w:p>
        </w:tc>
        <w:tc>
          <w:tcPr>
            <w:tcW w:w="730" w:type="pct"/>
            <w:vMerge w:val="continue"/>
            <w:shd w:val="clear" w:color="auto" w:fill="auto"/>
            <w:vAlign w:val="center"/>
          </w:tcPr>
          <w:p w14:paraId="29E384E6">
            <w:pPr>
              <w:pStyle w:val="34"/>
              <w:rPr>
                <w:color w:val="000000" w:themeColor="text1"/>
                <w14:textFill>
                  <w14:solidFill>
                    <w14:schemeClr w14:val="tx1"/>
                  </w14:solidFill>
                </w14:textFill>
              </w:rPr>
            </w:pPr>
          </w:p>
        </w:tc>
        <w:tc>
          <w:tcPr>
            <w:tcW w:w="1206" w:type="pct"/>
            <w:vMerge w:val="continue"/>
            <w:shd w:val="clear" w:color="auto" w:fill="auto"/>
            <w:vAlign w:val="center"/>
          </w:tcPr>
          <w:p w14:paraId="186E31EA">
            <w:pPr>
              <w:pStyle w:val="34"/>
              <w:rPr>
                <w:color w:val="000000" w:themeColor="text1"/>
                <w14:textFill>
                  <w14:solidFill>
                    <w14:schemeClr w14:val="tx1"/>
                  </w14:solidFill>
                </w14:textFill>
              </w:rPr>
            </w:pPr>
          </w:p>
        </w:tc>
        <w:tc>
          <w:tcPr>
            <w:tcW w:w="730" w:type="pct"/>
            <w:shd w:val="clear" w:color="auto" w:fill="auto"/>
            <w:vAlign w:val="center"/>
          </w:tcPr>
          <w:p w14:paraId="567DA6FD">
            <w:pPr>
              <w:pStyle w:val="34"/>
              <w:rPr>
                <w:color w:val="000000" w:themeColor="text1"/>
                <w14:textFill>
                  <w14:solidFill>
                    <w14:schemeClr w14:val="tx1"/>
                  </w14:solidFill>
                </w14:textFill>
              </w:rPr>
            </w:pPr>
            <w:r>
              <w:rPr>
                <w:color w:val="000000" w:themeColor="text1"/>
                <w14:textFill>
                  <w14:solidFill>
                    <w14:schemeClr w14:val="tx1"/>
                  </w14:solidFill>
                </w14:textFill>
              </w:rPr>
              <w:t>单位</w:t>
            </w:r>
          </w:p>
        </w:tc>
        <w:tc>
          <w:tcPr>
            <w:tcW w:w="730" w:type="pct"/>
            <w:shd w:val="clear" w:color="auto" w:fill="auto"/>
            <w:vAlign w:val="center"/>
          </w:tcPr>
          <w:p w14:paraId="2D7C0E9B">
            <w:pPr>
              <w:pStyle w:val="34"/>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868" w:type="pct"/>
            <w:vMerge w:val="continue"/>
            <w:shd w:val="clear" w:color="auto" w:fill="auto"/>
            <w:vAlign w:val="center"/>
          </w:tcPr>
          <w:p w14:paraId="0B4909DB">
            <w:pPr>
              <w:pStyle w:val="34"/>
              <w:rPr>
                <w:color w:val="000000" w:themeColor="text1"/>
                <w14:textFill>
                  <w14:solidFill>
                    <w14:schemeClr w14:val="tx1"/>
                  </w14:solidFill>
                </w14:textFill>
              </w:rPr>
            </w:pPr>
          </w:p>
        </w:tc>
      </w:tr>
      <w:tr w14:paraId="33209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32" w:type="pct"/>
            <w:vMerge w:val="continue"/>
            <w:shd w:val="clear" w:color="auto" w:fill="auto"/>
            <w:vAlign w:val="center"/>
          </w:tcPr>
          <w:p w14:paraId="3E326BD6">
            <w:pPr>
              <w:pStyle w:val="34"/>
              <w:rPr>
                <w:color w:val="000000" w:themeColor="text1"/>
                <w14:textFill>
                  <w14:solidFill>
                    <w14:schemeClr w14:val="tx1"/>
                  </w14:solidFill>
                </w14:textFill>
              </w:rPr>
            </w:pPr>
          </w:p>
        </w:tc>
        <w:tc>
          <w:tcPr>
            <w:tcW w:w="730" w:type="pct"/>
            <w:vMerge w:val="restart"/>
            <w:shd w:val="clear" w:color="auto" w:fill="auto"/>
            <w:vAlign w:val="center"/>
          </w:tcPr>
          <w:p w14:paraId="288D12D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工程措施</w:t>
            </w:r>
          </w:p>
        </w:tc>
        <w:tc>
          <w:tcPr>
            <w:tcW w:w="1206" w:type="pct"/>
            <w:shd w:val="clear" w:color="auto" w:fill="auto"/>
            <w:vAlign w:val="center"/>
          </w:tcPr>
          <w:p w14:paraId="42D4D3BA">
            <w:pPr>
              <w:pStyle w:val="34"/>
              <w:rPr>
                <w:rFonts w:hint="eastAsia" w:eastAsia="仿宋_GB2312"/>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绿化覆土</w:t>
            </w:r>
          </w:p>
        </w:tc>
        <w:tc>
          <w:tcPr>
            <w:tcW w:w="730" w:type="pct"/>
            <w:shd w:val="clear" w:color="auto" w:fill="auto"/>
            <w:noWrap/>
            <w:vAlign w:val="center"/>
          </w:tcPr>
          <w:p w14:paraId="5D971BD3">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p>
        </w:tc>
        <w:tc>
          <w:tcPr>
            <w:tcW w:w="730" w:type="pct"/>
            <w:shd w:val="clear" w:color="auto" w:fill="auto"/>
            <w:vAlign w:val="center"/>
          </w:tcPr>
          <w:p w14:paraId="0A9991AC">
            <w:pPr>
              <w:pStyle w:val="34"/>
              <w:rPr>
                <w:rFonts w:hint="default" w:eastAsia="仿宋_GB2312"/>
                <w:bCs/>
                <w:snapToGrid w:val="0"/>
                <w:color w:val="000000" w:themeColor="text1"/>
                <w:lang w:val="en-US" w:eastAsia="zh-CN"/>
                <w14:textFill>
                  <w14:solidFill>
                    <w14:schemeClr w14:val="tx1"/>
                  </w14:solidFill>
                </w14:textFill>
              </w:rPr>
            </w:pPr>
            <w:r>
              <w:rPr>
                <w:rFonts w:hint="eastAsia"/>
                <w:bCs/>
                <w:snapToGrid w:val="0"/>
                <w:color w:val="000000" w:themeColor="text1"/>
                <w:lang w:val="en-US" w:eastAsia="zh-CN"/>
                <w14:textFill>
                  <w14:solidFill>
                    <w14:schemeClr w14:val="tx1"/>
                  </w14:solidFill>
                </w14:textFill>
              </w:rPr>
              <w:t>0.10</w:t>
            </w:r>
          </w:p>
        </w:tc>
        <w:tc>
          <w:tcPr>
            <w:tcW w:w="868" w:type="pct"/>
            <w:shd w:val="clear" w:color="auto" w:fill="auto"/>
            <w:vAlign w:val="center"/>
          </w:tcPr>
          <w:p w14:paraId="2C460EDB">
            <w:pPr>
              <w:pStyle w:val="34"/>
              <w:rPr>
                <w:rFonts w:hint="eastAsia"/>
                <w:color w:val="000000" w:themeColor="text1"/>
                <w14:textFill>
                  <w14:solidFill>
                    <w14:schemeClr w14:val="tx1"/>
                  </w14:solidFill>
                </w14:textFill>
              </w:rPr>
            </w:pPr>
            <w:r>
              <w:rPr>
                <w:color w:val="000000" w:themeColor="text1"/>
                <w14:textFill>
                  <w14:solidFill>
                    <w14:schemeClr w14:val="tx1"/>
                  </w14:solidFill>
                </w14:textFill>
              </w:rPr>
              <w:t>主体</w:t>
            </w:r>
            <w:r>
              <w:rPr>
                <w:rFonts w:hint="eastAsia"/>
                <w:color w:val="000000" w:themeColor="text1"/>
                <w14:textFill>
                  <w14:solidFill>
                    <w14:schemeClr w14:val="tx1"/>
                  </w14:solidFill>
                </w14:textFill>
              </w:rPr>
              <w:t>未实施</w:t>
            </w:r>
          </w:p>
        </w:tc>
      </w:tr>
      <w:tr w14:paraId="7F733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32" w:type="pct"/>
            <w:vMerge w:val="continue"/>
            <w:shd w:val="clear" w:color="auto" w:fill="auto"/>
            <w:vAlign w:val="center"/>
          </w:tcPr>
          <w:p w14:paraId="491CF5B5">
            <w:pPr>
              <w:pStyle w:val="34"/>
              <w:rPr>
                <w:color w:val="000000" w:themeColor="text1"/>
                <w14:textFill>
                  <w14:solidFill>
                    <w14:schemeClr w14:val="tx1"/>
                  </w14:solidFill>
                </w14:textFill>
              </w:rPr>
            </w:pPr>
          </w:p>
        </w:tc>
        <w:tc>
          <w:tcPr>
            <w:tcW w:w="730" w:type="pct"/>
            <w:vMerge w:val="continue"/>
            <w:shd w:val="clear" w:color="auto" w:fill="auto"/>
            <w:vAlign w:val="center"/>
          </w:tcPr>
          <w:p w14:paraId="2F5FB6F4">
            <w:pPr>
              <w:pStyle w:val="34"/>
              <w:rPr>
                <w:color w:val="000000" w:themeColor="text1"/>
                <w14:textFill>
                  <w14:solidFill>
                    <w14:schemeClr w14:val="tx1"/>
                  </w14:solidFill>
                </w14:textFill>
              </w:rPr>
            </w:pPr>
          </w:p>
        </w:tc>
        <w:tc>
          <w:tcPr>
            <w:tcW w:w="1206" w:type="pct"/>
            <w:shd w:val="clear" w:color="auto" w:fill="auto"/>
            <w:vAlign w:val="center"/>
          </w:tcPr>
          <w:p w14:paraId="05FA69B0">
            <w:pPr>
              <w:pStyle w:val="34"/>
              <w:rPr>
                <w:color w:val="000000" w:themeColor="text1"/>
                <w14:textFill>
                  <w14:solidFill>
                    <w14:schemeClr w14:val="tx1"/>
                  </w14:solidFill>
                </w14:textFill>
              </w:rPr>
            </w:pPr>
            <w:r>
              <w:rPr>
                <w:color w:val="000000" w:themeColor="text1"/>
                <w14:textFill>
                  <w14:solidFill>
                    <w14:schemeClr w14:val="tx1"/>
                  </w14:solidFill>
                </w14:textFill>
              </w:rPr>
              <w:t>土地整治</w:t>
            </w:r>
          </w:p>
        </w:tc>
        <w:tc>
          <w:tcPr>
            <w:tcW w:w="730" w:type="pct"/>
            <w:shd w:val="clear" w:color="auto" w:fill="auto"/>
            <w:noWrap/>
            <w:vAlign w:val="center"/>
          </w:tcPr>
          <w:p w14:paraId="72B53D81">
            <w:pPr>
              <w:pStyle w:val="34"/>
              <w:rPr>
                <w:color w:val="000000" w:themeColor="text1"/>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730" w:type="pct"/>
            <w:shd w:val="clear" w:color="auto" w:fill="auto"/>
            <w:vAlign w:val="center"/>
          </w:tcPr>
          <w:p w14:paraId="2E058363">
            <w:pPr>
              <w:pStyle w:val="34"/>
              <w:rPr>
                <w:color w:val="000000" w:themeColor="text1"/>
                <w14:textFill>
                  <w14:solidFill>
                    <w14:schemeClr w14:val="tx1"/>
                  </w14:solidFill>
                </w14:textFill>
              </w:rPr>
            </w:pPr>
            <w:r>
              <w:rPr>
                <w:rFonts w:hint="eastAsia"/>
                <w:bCs/>
                <w:snapToGrid w:val="0"/>
                <w:color w:val="000000" w:themeColor="text1"/>
                <w14:textFill>
                  <w14:solidFill>
                    <w14:schemeClr w14:val="tx1"/>
                  </w14:solidFill>
                </w14:textFill>
              </w:rPr>
              <w:t>0.12</w:t>
            </w:r>
          </w:p>
        </w:tc>
        <w:tc>
          <w:tcPr>
            <w:tcW w:w="868" w:type="pct"/>
            <w:shd w:val="clear" w:color="auto" w:fill="auto"/>
            <w:vAlign w:val="center"/>
          </w:tcPr>
          <w:p w14:paraId="248E3AD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方案新增</w:t>
            </w:r>
          </w:p>
        </w:tc>
      </w:tr>
      <w:tr w14:paraId="4F786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32" w:type="pct"/>
            <w:vMerge w:val="continue"/>
            <w:shd w:val="clear" w:color="auto" w:fill="auto"/>
            <w:vAlign w:val="center"/>
          </w:tcPr>
          <w:p w14:paraId="01800C1D">
            <w:pPr>
              <w:pStyle w:val="34"/>
              <w:rPr>
                <w:color w:val="000000" w:themeColor="text1"/>
                <w14:textFill>
                  <w14:solidFill>
                    <w14:schemeClr w14:val="tx1"/>
                  </w14:solidFill>
                </w14:textFill>
              </w:rPr>
            </w:pPr>
          </w:p>
        </w:tc>
        <w:tc>
          <w:tcPr>
            <w:tcW w:w="730" w:type="pct"/>
            <w:vMerge w:val="restart"/>
            <w:shd w:val="clear" w:color="auto" w:fill="auto"/>
            <w:vAlign w:val="center"/>
          </w:tcPr>
          <w:p w14:paraId="285D6D42">
            <w:pPr>
              <w:pStyle w:val="34"/>
              <w:rPr>
                <w:color w:val="000000" w:themeColor="text1"/>
                <w14:textFill>
                  <w14:solidFill>
                    <w14:schemeClr w14:val="tx1"/>
                  </w14:solidFill>
                </w14:textFill>
              </w:rPr>
            </w:pPr>
            <w:r>
              <w:rPr>
                <w:color w:val="000000" w:themeColor="text1"/>
                <w14:textFill>
                  <w14:solidFill>
                    <w14:schemeClr w14:val="tx1"/>
                  </w14:solidFill>
                </w14:textFill>
              </w:rPr>
              <w:t>植物措施</w:t>
            </w:r>
          </w:p>
        </w:tc>
        <w:tc>
          <w:tcPr>
            <w:tcW w:w="1206" w:type="pct"/>
            <w:shd w:val="clear" w:color="auto" w:fill="auto"/>
            <w:noWrap/>
            <w:vAlign w:val="center"/>
          </w:tcPr>
          <w:p w14:paraId="233543B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乔灌</w:t>
            </w:r>
            <w:r>
              <w:rPr>
                <w:color w:val="000000" w:themeColor="text1"/>
                <w14:textFill>
                  <w14:solidFill>
                    <w14:schemeClr w14:val="tx1"/>
                  </w14:solidFill>
                </w14:textFill>
              </w:rPr>
              <w:t>绿化</w:t>
            </w:r>
          </w:p>
        </w:tc>
        <w:tc>
          <w:tcPr>
            <w:tcW w:w="730" w:type="pct"/>
            <w:shd w:val="clear" w:color="auto" w:fill="auto"/>
            <w:noWrap/>
            <w:vAlign w:val="center"/>
          </w:tcPr>
          <w:p w14:paraId="4D736E14">
            <w:pPr>
              <w:pStyle w:val="34"/>
              <w:rPr>
                <w:color w:val="000000" w:themeColor="text1"/>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730" w:type="pct"/>
            <w:shd w:val="clear" w:color="auto" w:fill="auto"/>
            <w:vAlign w:val="center"/>
          </w:tcPr>
          <w:p w14:paraId="6052C600">
            <w:pPr>
              <w:pStyle w:val="34"/>
              <w:rPr>
                <w:color w:val="000000" w:themeColor="text1"/>
                <w14:textFill>
                  <w14:solidFill>
                    <w14:schemeClr w14:val="tx1"/>
                  </w14:solidFill>
                </w14:textFill>
              </w:rPr>
            </w:pPr>
            <w:r>
              <w:rPr>
                <w:rFonts w:hint="eastAsia"/>
                <w:bCs/>
                <w:snapToGrid w:val="0"/>
                <w:color w:val="000000" w:themeColor="text1"/>
                <w14:textFill>
                  <w14:solidFill>
                    <w14:schemeClr w14:val="tx1"/>
                  </w14:solidFill>
                </w14:textFill>
              </w:rPr>
              <w:t>0.12</w:t>
            </w:r>
          </w:p>
        </w:tc>
        <w:tc>
          <w:tcPr>
            <w:tcW w:w="868" w:type="pct"/>
            <w:shd w:val="clear" w:color="auto" w:fill="auto"/>
            <w:vAlign w:val="center"/>
          </w:tcPr>
          <w:p w14:paraId="6282D027">
            <w:pPr>
              <w:pStyle w:val="34"/>
              <w:rPr>
                <w:color w:val="000000" w:themeColor="text1"/>
                <w14:textFill>
                  <w14:solidFill>
                    <w14:schemeClr w14:val="tx1"/>
                  </w14:solidFill>
                </w14:textFill>
              </w:rPr>
            </w:pPr>
            <w:r>
              <w:rPr>
                <w:color w:val="000000" w:themeColor="text1"/>
                <w14:textFill>
                  <w14:solidFill>
                    <w14:schemeClr w14:val="tx1"/>
                  </w14:solidFill>
                </w14:textFill>
              </w:rPr>
              <w:t>主体</w:t>
            </w:r>
            <w:r>
              <w:rPr>
                <w:rFonts w:hint="eastAsia"/>
                <w:color w:val="000000" w:themeColor="text1"/>
                <w14:textFill>
                  <w14:solidFill>
                    <w14:schemeClr w14:val="tx1"/>
                  </w14:solidFill>
                </w14:textFill>
              </w:rPr>
              <w:t>未实施</w:t>
            </w:r>
          </w:p>
        </w:tc>
      </w:tr>
      <w:tr w14:paraId="4DEE7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32" w:type="pct"/>
            <w:vMerge w:val="continue"/>
            <w:shd w:val="clear" w:color="auto" w:fill="auto"/>
            <w:vAlign w:val="center"/>
          </w:tcPr>
          <w:p w14:paraId="58FE198B">
            <w:pPr>
              <w:pStyle w:val="34"/>
              <w:rPr>
                <w:color w:val="000000" w:themeColor="text1"/>
                <w14:textFill>
                  <w14:solidFill>
                    <w14:schemeClr w14:val="tx1"/>
                  </w14:solidFill>
                </w14:textFill>
              </w:rPr>
            </w:pPr>
          </w:p>
        </w:tc>
        <w:tc>
          <w:tcPr>
            <w:tcW w:w="730" w:type="pct"/>
            <w:vMerge w:val="continue"/>
            <w:shd w:val="clear" w:color="auto" w:fill="auto"/>
            <w:vAlign w:val="center"/>
          </w:tcPr>
          <w:p w14:paraId="2726E14F">
            <w:pPr>
              <w:pStyle w:val="34"/>
              <w:rPr>
                <w:color w:val="000000" w:themeColor="text1"/>
                <w14:textFill>
                  <w14:solidFill>
                    <w14:schemeClr w14:val="tx1"/>
                  </w14:solidFill>
                </w14:textFill>
              </w:rPr>
            </w:pPr>
          </w:p>
        </w:tc>
        <w:tc>
          <w:tcPr>
            <w:tcW w:w="1206" w:type="pct"/>
            <w:shd w:val="clear" w:color="auto" w:fill="auto"/>
            <w:noWrap/>
            <w:vAlign w:val="center"/>
          </w:tcPr>
          <w:p w14:paraId="199E583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植草沟</w:t>
            </w:r>
          </w:p>
        </w:tc>
        <w:tc>
          <w:tcPr>
            <w:tcW w:w="730" w:type="pct"/>
            <w:shd w:val="clear" w:color="auto" w:fill="auto"/>
            <w:noWrap/>
            <w:vAlign w:val="center"/>
          </w:tcPr>
          <w:p w14:paraId="6AA9DDA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730" w:type="pct"/>
            <w:shd w:val="clear" w:color="auto" w:fill="auto"/>
            <w:vAlign w:val="center"/>
          </w:tcPr>
          <w:p w14:paraId="11A98D64">
            <w:pPr>
              <w:pStyle w:val="34"/>
              <w:rPr>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173.04</w:t>
            </w:r>
          </w:p>
        </w:tc>
        <w:tc>
          <w:tcPr>
            <w:tcW w:w="868" w:type="pct"/>
            <w:shd w:val="clear" w:color="auto" w:fill="auto"/>
            <w:vAlign w:val="center"/>
          </w:tcPr>
          <w:p w14:paraId="30A1E58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主体未实施</w:t>
            </w:r>
          </w:p>
        </w:tc>
      </w:tr>
      <w:tr w14:paraId="51F27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32" w:type="pct"/>
            <w:vMerge w:val="continue"/>
            <w:shd w:val="clear" w:color="auto" w:fill="auto"/>
            <w:vAlign w:val="center"/>
          </w:tcPr>
          <w:p w14:paraId="516C396D">
            <w:pPr>
              <w:pStyle w:val="34"/>
              <w:rPr>
                <w:color w:val="000000" w:themeColor="text1"/>
                <w14:textFill>
                  <w14:solidFill>
                    <w14:schemeClr w14:val="tx1"/>
                  </w14:solidFill>
                </w14:textFill>
              </w:rPr>
            </w:pPr>
          </w:p>
        </w:tc>
        <w:tc>
          <w:tcPr>
            <w:tcW w:w="730" w:type="pct"/>
            <w:vMerge w:val="continue"/>
            <w:shd w:val="clear" w:color="auto" w:fill="auto"/>
            <w:vAlign w:val="center"/>
          </w:tcPr>
          <w:p w14:paraId="3FE3EEB4">
            <w:pPr>
              <w:pStyle w:val="34"/>
              <w:rPr>
                <w:color w:val="000000" w:themeColor="text1"/>
                <w14:textFill>
                  <w14:solidFill>
                    <w14:schemeClr w14:val="tx1"/>
                  </w14:solidFill>
                </w14:textFill>
              </w:rPr>
            </w:pPr>
          </w:p>
        </w:tc>
        <w:tc>
          <w:tcPr>
            <w:tcW w:w="1206" w:type="pct"/>
            <w:shd w:val="clear" w:color="auto" w:fill="auto"/>
            <w:noWrap/>
            <w:vAlign w:val="center"/>
          </w:tcPr>
          <w:p w14:paraId="26493CA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抚育管理</w:t>
            </w:r>
          </w:p>
        </w:tc>
        <w:tc>
          <w:tcPr>
            <w:tcW w:w="730" w:type="pct"/>
            <w:shd w:val="clear" w:color="auto" w:fill="auto"/>
            <w:noWrap/>
            <w:vAlign w:val="center"/>
          </w:tcPr>
          <w:p w14:paraId="62A843D5">
            <w:pPr>
              <w:pStyle w:val="34"/>
              <w:rPr>
                <w:color w:val="000000" w:themeColor="text1"/>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·a</w:t>
            </w:r>
          </w:p>
        </w:tc>
        <w:tc>
          <w:tcPr>
            <w:tcW w:w="730" w:type="pct"/>
            <w:shd w:val="clear" w:color="auto" w:fill="auto"/>
            <w:vAlign w:val="center"/>
          </w:tcPr>
          <w:p w14:paraId="6C3F1D90">
            <w:pPr>
              <w:pStyle w:val="34"/>
              <w:rPr>
                <w:color w:val="000000" w:themeColor="text1"/>
                <w14:textFill>
                  <w14:solidFill>
                    <w14:schemeClr w14:val="tx1"/>
                  </w14:solidFill>
                </w14:textFill>
              </w:rPr>
            </w:pPr>
            <w:r>
              <w:rPr>
                <w:rFonts w:hint="eastAsia"/>
                <w:bCs/>
                <w:snapToGrid w:val="0"/>
                <w:color w:val="000000" w:themeColor="text1"/>
                <w14:textFill>
                  <w14:solidFill>
                    <w14:schemeClr w14:val="tx1"/>
                  </w14:solidFill>
                </w14:textFill>
              </w:rPr>
              <w:t>0.12</w:t>
            </w:r>
          </w:p>
        </w:tc>
        <w:tc>
          <w:tcPr>
            <w:tcW w:w="868" w:type="pct"/>
            <w:shd w:val="clear" w:color="auto" w:fill="auto"/>
            <w:vAlign w:val="center"/>
          </w:tcPr>
          <w:p w14:paraId="4C5E1FB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方案新增</w:t>
            </w:r>
          </w:p>
        </w:tc>
      </w:tr>
      <w:tr w14:paraId="5F927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32" w:type="pct"/>
            <w:vMerge w:val="continue"/>
            <w:shd w:val="clear" w:color="auto" w:fill="auto"/>
            <w:vAlign w:val="center"/>
          </w:tcPr>
          <w:p w14:paraId="5EFA2C58">
            <w:pPr>
              <w:pStyle w:val="34"/>
              <w:rPr>
                <w:color w:val="000000" w:themeColor="text1"/>
                <w14:textFill>
                  <w14:solidFill>
                    <w14:schemeClr w14:val="tx1"/>
                  </w14:solidFill>
                </w14:textFill>
              </w:rPr>
            </w:pPr>
          </w:p>
        </w:tc>
        <w:tc>
          <w:tcPr>
            <w:tcW w:w="730" w:type="pct"/>
            <w:shd w:val="clear" w:color="auto" w:fill="auto"/>
            <w:vAlign w:val="center"/>
          </w:tcPr>
          <w:p w14:paraId="3E84050F">
            <w:pPr>
              <w:pStyle w:val="34"/>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206" w:type="pct"/>
            <w:shd w:val="clear" w:color="auto" w:fill="auto"/>
            <w:vAlign w:val="center"/>
          </w:tcPr>
          <w:p w14:paraId="69C2E92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密目网</w:t>
            </w:r>
            <w:r>
              <w:rPr>
                <w:color w:val="000000" w:themeColor="text1"/>
                <w14:textFill>
                  <w14:solidFill>
                    <w14:schemeClr w14:val="tx1"/>
                  </w14:solidFill>
                </w14:textFill>
              </w:rPr>
              <w:t>苫盖</w:t>
            </w:r>
          </w:p>
        </w:tc>
        <w:tc>
          <w:tcPr>
            <w:tcW w:w="730" w:type="pct"/>
            <w:shd w:val="clear" w:color="auto" w:fill="auto"/>
            <w:vAlign w:val="center"/>
          </w:tcPr>
          <w:p w14:paraId="7577CC7E">
            <w:pPr>
              <w:pStyle w:val="34"/>
              <w:rPr>
                <w:color w:val="000000" w:themeColor="text1"/>
                <w:highlight w:val="green"/>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730" w:type="pct"/>
            <w:shd w:val="clear" w:color="auto" w:fill="auto"/>
            <w:vAlign w:val="center"/>
          </w:tcPr>
          <w:p w14:paraId="0FECEE9E">
            <w:pPr>
              <w:pStyle w:val="34"/>
              <w:rPr>
                <w:color w:val="000000" w:themeColor="text1"/>
                <w:highlight w:val="green"/>
                <w14:textFill>
                  <w14:solidFill>
                    <w14:schemeClr w14:val="tx1"/>
                  </w14:solidFill>
                </w14:textFill>
              </w:rPr>
            </w:pPr>
            <w:r>
              <w:rPr>
                <w:rFonts w:hint="eastAsia"/>
                <w:color w:val="000000" w:themeColor="text1"/>
                <w14:textFill>
                  <w14:solidFill>
                    <w14:schemeClr w14:val="tx1"/>
                  </w14:solidFill>
                </w14:textFill>
              </w:rPr>
              <w:t>714</w:t>
            </w:r>
          </w:p>
        </w:tc>
        <w:tc>
          <w:tcPr>
            <w:tcW w:w="868" w:type="pct"/>
            <w:shd w:val="clear" w:color="auto" w:fill="auto"/>
            <w:vAlign w:val="center"/>
          </w:tcPr>
          <w:p w14:paraId="0F8AEC2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方案新增</w:t>
            </w:r>
          </w:p>
        </w:tc>
      </w:tr>
    </w:tbl>
    <w:p w14:paraId="11B81BB3">
      <w:pPr>
        <w:pStyle w:val="4"/>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.4.6</w:t>
      </w:r>
      <w:r>
        <w:rPr>
          <w:rFonts w:hint="eastAsia"/>
          <w:color w:val="000000" w:themeColor="text1"/>
          <w:highlight w:val="none"/>
          <w14:textFill>
            <w14:solidFill>
              <w14:schemeClr w14:val="tx1"/>
            </w14:solidFill>
          </w14:textFill>
        </w:rPr>
        <w:t>防治措施工程量汇总</w:t>
      </w:r>
    </w:p>
    <w:p w14:paraId="5F0B678F">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经统计，本方案水土保持措施工程量汇总见表</w:t>
      </w:r>
      <w:r>
        <w:rPr>
          <w:color w:val="000000" w:themeColor="text1"/>
          <w:highlight w:val="none"/>
          <w14:textFill>
            <w14:solidFill>
              <w14:schemeClr w14:val="tx1"/>
            </w14:solidFill>
          </w14:textFill>
        </w:rPr>
        <w:t>5.4</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14</w:t>
      </w:r>
      <w:r>
        <w:rPr>
          <w:rFonts w:hint="eastAsia"/>
          <w:color w:val="000000" w:themeColor="text1"/>
          <w:highlight w:val="none"/>
          <w14:textFill>
            <w14:solidFill>
              <w14:schemeClr w14:val="tx1"/>
            </w14:solidFill>
          </w14:textFill>
        </w:rPr>
        <w:t>。</w:t>
      </w:r>
    </w:p>
    <w:p w14:paraId="5390C85E">
      <w:pPr>
        <w:ind w:firstLine="422"/>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表5</w:t>
      </w:r>
      <w:r>
        <w:rPr>
          <w:b/>
          <w:bCs/>
          <w:color w:val="000000" w:themeColor="text1"/>
          <w:sz w:val="21"/>
          <w:szCs w:val="21"/>
          <w14:textFill>
            <w14:solidFill>
              <w14:schemeClr w14:val="tx1"/>
            </w14:solidFill>
          </w14:textFill>
        </w:rPr>
        <w:t>.4</w:t>
      </w:r>
      <w:r>
        <w:rPr>
          <w:rFonts w:hint="eastAsia"/>
          <w:b/>
          <w:bCs/>
          <w:color w:val="000000" w:themeColor="text1"/>
          <w:sz w:val="21"/>
          <w:szCs w:val="21"/>
          <w14:textFill>
            <w14:solidFill>
              <w14:schemeClr w14:val="tx1"/>
            </w14:solidFill>
          </w14:textFill>
        </w:rPr>
        <w:t>-</w:t>
      </w:r>
      <w:r>
        <w:rPr>
          <w:b/>
          <w:bCs/>
          <w:color w:val="000000" w:themeColor="text1"/>
          <w:sz w:val="21"/>
          <w:szCs w:val="21"/>
          <w14:textFill>
            <w14:solidFill>
              <w14:schemeClr w14:val="tx1"/>
            </w14:solidFill>
          </w14:textFill>
        </w:rPr>
        <w:t xml:space="preserve">14             </w:t>
      </w:r>
      <w:r>
        <w:rPr>
          <w:rFonts w:hint="eastAsia"/>
          <w:b/>
          <w:bCs/>
          <w:color w:val="000000" w:themeColor="text1"/>
          <w:sz w:val="21"/>
          <w:szCs w:val="21"/>
          <w14:textFill>
            <w14:solidFill>
              <w14:schemeClr w14:val="tx1"/>
            </w14:solidFill>
          </w14:textFill>
        </w:rPr>
        <w:t>水土保持措施工程量汇总表</w:t>
      </w:r>
    </w:p>
    <w:tbl>
      <w:tblPr>
        <w:tblStyle w:val="26"/>
        <w:tblW w:w="53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1227"/>
        <w:gridCol w:w="1317"/>
        <w:gridCol w:w="1845"/>
        <w:gridCol w:w="766"/>
        <w:gridCol w:w="1174"/>
        <w:gridCol w:w="1721"/>
      </w:tblGrid>
      <w:tr w14:paraId="62086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tcPr>
          <w:p w14:paraId="74639BCE">
            <w:pPr>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一级防治分区</w:t>
            </w:r>
          </w:p>
        </w:tc>
        <w:tc>
          <w:tcPr>
            <w:tcW w:w="668" w:type="pct"/>
            <w:vAlign w:val="center"/>
          </w:tcPr>
          <w:p w14:paraId="2C5D2FFD">
            <w:pPr>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二级</w:t>
            </w:r>
            <w:r>
              <w:rPr>
                <w:color w:val="000000" w:themeColor="text1"/>
                <w:sz w:val="21"/>
                <w:szCs w:val="21"/>
                <w14:textFill>
                  <w14:solidFill>
                    <w14:schemeClr w14:val="tx1"/>
                  </w14:solidFill>
                </w14:textFill>
              </w:rPr>
              <w:t>防治分区</w:t>
            </w:r>
          </w:p>
        </w:tc>
        <w:tc>
          <w:tcPr>
            <w:tcW w:w="717" w:type="pct"/>
            <w:vAlign w:val="center"/>
          </w:tcPr>
          <w:p w14:paraId="0E06C405">
            <w:pPr>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措施类型</w:t>
            </w:r>
          </w:p>
        </w:tc>
        <w:tc>
          <w:tcPr>
            <w:tcW w:w="1004" w:type="pct"/>
            <w:vAlign w:val="center"/>
          </w:tcPr>
          <w:p w14:paraId="349AB5C1">
            <w:pPr>
              <w:spacing w:line="240" w:lineRule="auto"/>
              <w:ind w:left="208"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防护工程</w:t>
            </w:r>
          </w:p>
        </w:tc>
        <w:tc>
          <w:tcPr>
            <w:tcW w:w="417" w:type="pct"/>
            <w:vAlign w:val="center"/>
          </w:tcPr>
          <w:p w14:paraId="2E3B80F6">
            <w:pPr>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单位</w:t>
            </w:r>
          </w:p>
        </w:tc>
        <w:tc>
          <w:tcPr>
            <w:tcW w:w="639" w:type="pct"/>
            <w:noWrap/>
            <w:vAlign w:val="center"/>
          </w:tcPr>
          <w:p w14:paraId="3BCF1AA9">
            <w:pPr>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工程量</w:t>
            </w:r>
          </w:p>
        </w:tc>
        <w:tc>
          <w:tcPr>
            <w:tcW w:w="937" w:type="pct"/>
            <w:noWrap/>
            <w:vAlign w:val="center"/>
          </w:tcPr>
          <w:p w14:paraId="133E8F34">
            <w:pPr>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备注</w:t>
            </w:r>
          </w:p>
        </w:tc>
      </w:tr>
      <w:tr w14:paraId="00850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vMerge w:val="restart"/>
            <w:vAlign w:val="center"/>
          </w:tcPr>
          <w:p w14:paraId="78765A61">
            <w:pPr>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18"/>
                <w:szCs w:val="21"/>
                <w14:textFill>
                  <w14:solidFill>
                    <w14:schemeClr w14:val="tx1"/>
                  </w14:solidFill>
                </w14:textFill>
              </w:rPr>
              <w:t>地下工程区</w:t>
            </w:r>
          </w:p>
        </w:tc>
        <w:tc>
          <w:tcPr>
            <w:tcW w:w="668" w:type="pct"/>
            <w:vMerge w:val="restart"/>
            <w:vAlign w:val="center"/>
          </w:tcPr>
          <w:p w14:paraId="6F762C61">
            <w:pPr>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18"/>
                <w:szCs w:val="21"/>
                <w14:textFill>
                  <w14:solidFill>
                    <w14:schemeClr w14:val="tx1"/>
                  </w14:solidFill>
                </w14:textFill>
              </w:rPr>
              <w:t>地下建筑工程区</w:t>
            </w:r>
          </w:p>
        </w:tc>
        <w:tc>
          <w:tcPr>
            <w:tcW w:w="717" w:type="pct"/>
            <w:vMerge w:val="restart"/>
            <w:vAlign w:val="center"/>
          </w:tcPr>
          <w:p w14:paraId="239169DE">
            <w:pPr>
              <w:pStyle w:val="34"/>
              <w:rPr>
                <w:color w:val="000000" w:themeColor="text1"/>
                <w:sz w:val="21"/>
                <w14:textFill>
                  <w14:solidFill>
                    <w14:schemeClr w14:val="tx1"/>
                  </w14:solidFill>
                </w14:textFill>
              </w:rPr>
            </w:pPr>
            <w:r>
              <w:rPr>
                <w:rFonts w:hint="eastAsia"/>
                <w:color w:val="000000" w:themeColor="text1"/>
                <w14:textFill>
                  <w14:solidFill>
                    <w14:schemeClr w14:val="tx1"/>
                  </w14:solidFill>
                </w14:textFill>
              </w:rPr>
              <w:t>临时措施</w:t>
            </w:r>
          </w:p>
        </w:tc>
        <w:tc>
          <w:tcPr>
            <w:tcW w:w="1004" w:type="pct"/>
            <w:shd w:val="clear" w:color="auto" w:fill="auto"/>
            <w:vAlign w:val="center"/>
          </w:tcPr>
          <w:p w14:paraId="1C974164">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坑顶截水沟</w:t>
            </w:r>
          </w:p>
        </w:tc>
        <w:tc>
          <w:tcPr>
            <w:tcW w:w="417" w:type="pct"/>
            <w:shd w:val="clear" w:color="auto" w:fill="auto"/>
            <w:vAlign w:val="top"/>
          </w:tcPr>
          <w:p w14:paraId="71B467B3">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m</w:t>
            </w:r>
          </w:p>
        </w:tc>
        <w:tc>
          <w:tcPr>
            <w:tcW w:w="639" w:type="pct"/>
            <w:shd w:val="clear" w:color="auto" w:fill="auto"/>
            <w:noWrap/>
            <w:vAlign w:val="center"/>
          </w:tcPr>
          <w:p w14:paraId="30FB3E15">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bCs/>
                <w:snapToGrid w:val="0"/>
                <w:color w:val="000000" w:themeColor="text1"/>
                <w14:textFill>
                  <w14:solidFill>
                    <w14:schemeClr w14:val="tx1"/>
                  </w14:solidFill>
                </w14:textFill>
              </w:rPr>
              <w:t>276.3</w:t>
            </w:r>
          </w:p>
        </w:tc>
        <w:tc>
          <w:tcPr>
            <w:tcW w:w="937" w:type="pct"/>
            <w:shd w:val="clear" w:color="auto" w:fill="auto"/>
            <w:noWrap/>
            <w:vAlign w:val="top"/>
          </w:tcPr>
          <w:p w14:paraId="31896F71">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主体已实施</w:t>
            </w:r>
          </w:p>
        </w:tc>
      </w:tr>
      <w:tr w14:paraId="10363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vMerge w:val="continue"/>
          </w:tcPr>
          <w:p w14:paraId="0A02543E">
            <w:pPr>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668" w:type="pct"/>
            <w:vMerge w:val="continue"/>
            <w:vAlign w:val="center"/>
          </w:tcPr>
          <w:p w14:paraId="16667B56">
            <w:pPr>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717" w:type="pct"/>
            <w:vMerge w:val="continue"/>
            <w:vAlign w:val="center"/>
          </w:tcPr>
          <w:p w14:paraId="749642AE">
            <w:pPr>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004" w:type="pct"/>
            <w:shd w:val="clear" w:color="auto" w:fill="auto"/>
            <w:vAlign w:val="center"/>
          </w:tcPr>
          <w:p w14:paraId="43890AC1">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沉沙池</w:t>
            </w:r>
          </w:p>
        </w:tc>
        <w:tc>
          <w:tcPr>
            <w:tcW w:w="417" w:type="pct"/>
            <w:shd w:val="clear" w:color="auto" w:fill="auto"/>
            <w:vAlign w:val="top"/>
          </w:tcPr>
          <w:p w14:paraId="7B6E61CE">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个</w:t>
            </w:r>
          </w:p>
        </w:tc>
        <w:tc>
          <w:tcPr>
            <w:tcW w:w="639" w:type="pct"/>
            <w:shd w:val="clear" w:color="auto" w:fill="auto"/>
            <w:noWrap/>
            <w:vAlign w:val="center"/>
          </w:tcPr>
          <w:p w14:paraId="54AB17E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2</w:t>
            </w:r>
          </w:p>
        </w:tc>
        <w:tc>
          <w:tcPr>
            <w:tcW w:w="937" w:type="pct"/>
            <w:shd w:val="clear" w:color="auto" w:fill="auto"/>
            <w:noWrap/>
            <w:vAlign w:val="top"/>
          </w:tcPr>
          <w:p w14:paraId="42C1646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主体已实施</w:t>
            </w:r>
          </w:p>
        </w:tc>
      </w:tr>
      <w:tr w14:paraId="68EFC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vMerge w:val="restart"/>
            <w:vAlign w:val="center"/>
          </w:tcPr>
          <w:p w14:paraId="0A455CA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地上工程区</w:t>
            </w:r>
          </w:p>
        </w:tc>
        <w:tc>
          <w:tcPr>
            <w:tcW w:w="668" w:type="pct"/>
            <w:vMerge w:val="restart"/>
            <w:vAlign w:val="center"/>
          </w:tcPr>
          <w:p w14:paraId="21FFF39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建构筑物工程区</w:t>
            </w:r>
          </w:p>
        </w:tc>
        <w:tc>
          <w:tcPr>
            <w:tcW w:w="717" w:type="pct"/>
            <w:vMerge w:val="restart"/>
            <w:noWrap/>
            <w:vAlign w:val="center"/>
          </w:tcPr>
          <w:p w14:paraId="732FE268">
            <w:pPr>
              <w:pStyle w:val="34"/>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004" w:type="pct"/>
            <w:noWrap/>
            <w:vAlign w:val="center"/>
          </w:tcPr>
          <w:p w14:paraId="0F0D9CBB">
            <w:pPr>
              <w:pStyle w:val="34"/>
              <w:rPr>
                <w:rFonts w:hint="eastAsia"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表土剥离</w:t>
            </w:r>
          </w:p>
        </w:tc>
        <w:tc>
          <w:tcPr>
            <w:tcW w:w="417" w:type="pct"/>
            <w:noWrap/>
            <w:vAlign w:val="center"/>
          </w:tcPr>
          <w:p w14:paraId="1842699C">
            <w:pPr>
              <w:pStyle w:val="34"/>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p>
        </w:tc>
        <w:tc>
          <w:tcPr>
            <w:tcW w:w="639" w:type="pct"/>
            <w:shd w:val="clear" w:color="auto" w:fill="auto"/>
            <w:noWrap/>
            <w:vAlign w:val="center"/>
          </w:tcPr>
          <w:p w14:paraId="46DA3793">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0.05</w:t>
            </w:r>
          </w:p>
        </w:tc>
        <w:tc>
          <w:tcPr>
            <w:tcW w:w="937" w:type="pct"/>
            <w:noWrap/>
          </w:tcPr>
          <w:p w14:paraId="3C92DB3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主体已实施</w:t>
            </w:r>
          </w:p>
        </w:tc>
      </w:tr>
      <w:tr w14:paraId="6641C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vMerge w:val="continue"/>
          </w:tcPr>
          <w:p w14:paraId="52257515">
            <w:pPr>
              <w:pStyle w:val="34"/>
              <w:rPr>
                <w:color w:val="000000" w:themeColor="text1"/>
                <w14:textFill>
                  <w14:solidFill>
                    <w14:schemeClr w14:val="tx1"/>
                  </w14:solidFill>
                </w14:textFill>
              </w:rPr>
            </w:pPr>
          </w:p>
        </w:tc>
        <w:tc>
          <w:tcPr>
            <w:tcW w:w="668" w:type="pct"/>
            <w:vMerge w:val="continue"/>
            <w:vAlign w:val="center"/>
          </w:tcPr>
          <w:p w14:paraId="020995FA">
            <w:pPr>
              <w:pStyle w:val="34"/>
              <w:rPr>
                <w:color w:val="000000" w:themeColor="text1"/>
                <w14:textFill>
                  <w14:solidFill>
                    <w14:schemeClr w14:val="tx1"/>
                  </w14:solidFill>
                </w14:textFill>
              </w:rPr>
            </w:pPr>
          </w:p>
        </w:tc>
        <w:tc>
          <w:tcPr>
            <w:tcW w:w="717" w:type="pct"/>
            <w:vMerge w:val="continue"/>
            <w:noWrap/>
            <w:vAlign w:val="center"/>
          </w:tcPr>
          <w:p w14:paraId="44CB4826">
            <w:pPr>
              <w:pStyle w:val="34"/>
              <w:rPr>
                <w:color w:val="000000" w:themeColor="text1"/>
                <w14:textFill>
                  <w14:solidFill>
                    <w14:schemeClr w14:val="tx1"/>
                  </w14:solidFill>
                </w14:textFill>
              </w:rPr>
            </w:pPr>
          </w:p>
        </w:tc>
        <w:tc>
          <w:tcPr>
            <w:tcW w:w="1004" w:type="pct"/>
            <w:shd w:val="clear" w:color="auto" w:fill="auto"/>
            <w:noWrap/>
            <w:vAlign w:val="center"/>
          </w:tcPr>
          <w:p w14:paraId="459BB9B7">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临时排水沟</w:t>
            </w:r>
          </w:p>
        </w:tc>
        <w:tc>
          <w:tcPr>
            <w:tcW w:w="417" w:type="pct"/>
            <w:shd w:val="clear" w:color="auto" w:fill="auto"/>
            <w:noWrap/>
            <w:vAlign w:val="center"/>
          </w:tcPr>
          <w:p w14:paraId="02307F25">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m</w:t>
            </w:r>
          </w:p>
        </w:tc>
        <w:tc>
          <w:tcPr>
            <w:tcW w:w="639" w:type="pct"/>
            <w:shd w:val="clear" w:color="auto" w:fill="auto"/>
            <w:noWrap/>
            <w:vAlign w:val="center"/>
          </w:tcPr>
          <w:p w14:paraId="198A63DE">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snapToGrid w:val="0"/>
                <w:color w:val="000000" w:themeColor="text1"/>
                <w14:textFill>
                  <w14:solidFill>
                    <w14:schemeClr w14:val="tx1"/>
                  </w14:solidFill>
                </w14:textFill>
              </w:rPr>
              <w:t>358</w:t>
            </w:r>
          </w:p>
        </w:tc>
        <w:tc>
          <w:tcPr>
            <w:tcW w:w="937" w:type="pct"/>
            <w:shd w:val="clear" w:color="auto" w:fill="auto"/>
            <w:noWrap/>
            <w:vAlign w:val="top"/>
          </w:tcPr>
          <w:p w14:paraId="6D2602AE">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主体已实施</w:t>
            </w:r>
          </w:p>
        </w:tc>
      </w:tr>
      <w:tr w14:paraId="283F2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16" w:type="pct"/>
            <w:vMerge w:val="continue"/>
          </w:tcPr>
          <w:p w14:paraId="04445AEA">
            <w:pPr>
              <w:pStyle w:val="34"/>
              <w:rPr>
                <w:color w:val="000000" w:themeColor="text1"/>
                <w14:textFill>
                  <w14:solidFill>
                    <w14:schemeClr w14:val="tx1"/>
                  </w14:solidFill>
                </w14:textFill>
              </w:rPr>
            </w:pPr>
          </w:p>
        </w:tc>
        <w:tc>
          <w:tcPr>
            <w:tcW w:w="668" w:type="pct"/>
            <w:vMerge w:val="continue"/>
            <w:vAlign w:val="center"/>
          </w:tcPr>
          <w:p w14:paraId="68642B38">
            <w:pPr>
              <w:pStyle w:val="34"/>
              <w:rPr>
                <w:color w:val="000000" w:themeColor="text1"/>
                <w14:textFill>
                  <w14:solidFill>
                    <w14:schemeClr w14:val="tx1"/>
                  </w14:solidFill>
                </w14:textFill>
              </w:rPr>
            </w:pPr>
          </w:p>
        </w:tc>
        <w:tc>
          <w:tcPr>
            <w:tcW w:w="717" w:type="pct"/>
            <w:vMerge w:val="continue"/>
            <w:noWrap/>
            <w:vAlign w:val="center"/>
          </w:tcPr>
          <w:p w14:paraId="2C06AC1E">
            <w:pPr>
              <w:pStyle w:val="34"/>
              <w:rPr>
                <w:color w:val="000000" w:themeColor="text1"/>
                <w14:textFill>
                  <w14:solidFill>
                    <w14:schemeClr w14:val="tx1"/>
                  </w14:solidFill>
                </w14:textFill>
              </w:rPr>
            </w:pPr>
          </w:p>
        </w:tc>
        <w:tc>
          <w:tcPr>
            <w:tcW w:w="1004" w:type="pct"/>
            <w:shd w:val="clear" w:color="auto" w:fill="auto"/>
            <w:noWrap/>
            <w:vAlign w:val="center"/>
          </w:tcPr>
          <w:p w14:paraId="4D57A6DC">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临时沉沙池</w:t>
            </w:r>
          </w:p>
        </w:tc>
        <w:tc>
          <w:tcPr>
            <w:tcW w:w="417" w:type="pct"/>
            <w:shd w:val="clear" w:color="auto" w:fill="auto"/>
            <w:noWrap/>
            <w:vAlign w:val="center"/>
          </w:tcPr>
          <w:p w14:paraId="0EC5D944">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个</w:t>
            </w:r>
          </w:p>
        </w:tc>
        <w:tc>
          <w:tcPr>
            <w:tcW w:w="639" w:type="pct"/>
            <w:shd w:val="clear" w:color="auto" w:fill="auto"/>
            <w:noWrap/>
            <w:vAlign w:val="center"/>
          </w:tcPr>
          <w:p w14:paraId="6AF6198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4</w:t>
            </w:r>
          </w:p>
        </w:tc>
        <w:tc>
          <w:tcPr>
            <w:tcW w:w="937" w:type="pct"/>
            <w:shd w:val="clear" w:color="auto" w:fill="auto"/>
            <w:noWrap/>
            <w:vAlign w:val="top"/>
          </w:tcPr>
          <w:p w14:paraId="2659603F">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主体已实施</w:t>
            </w:r>
          </w:p>
        </w:tc>
      </w:tr>
      <w:tr w14:paraId="1A9D7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16" w:type="pct"/>
            <w:vMerge w:val="continue"/>
          </w:tcPr>
          <w:p w14:paraId="609AD464">
            <w:pPr>
              <w:pStyle w:val="34"/>
              <w:rPr>
                <w:color w:val="000000" w:themeColor="text1"/>
                <w14:textFill>
                  <w14:solidFill>
                    <w14:schemeClr w14:val="tx1"/>
                  </w14:solidFill>
                </w14:textFill>
              </w:rPr>
            </w:pPr>
          </w:p>
        </w:tc>
        <w:tc>
          <w:tcPr>
            <w:tcW w:w="668" w:type="pct"/>
            <w:vMerge w:val="continue"/>
            <w:vAlign w:val="center"/>
          </w:tcPr>
          <w:p w14:paraId="4D606852">
            <w:pPr>
              <w:pStyle w:val="34"/>
              <w:rPr>
                <w:color w:val="000000" w:themeColor="text1"/>
                <w14:textFill>
                  <w14:solidFill>
                    <w14:schemeClr w14:val="tx1"/>
                  </w14:solidFill>
                </w14:textFill>
              </w:rPr>
            </w:pPr>
          </w:p>
        </w:tc>
        <w:tc>
          <w:tcPr>
            <w:tcW w:w="717" w:type="pct"/>
            <w:vMerge w:val="continue"/>
            <w:noWrap/>
            <w:vAlign w:val="center"/>
          </w:tcPr>
          <w:p w14:paraId="068EFD2A">
            <w:pPr>
              <w:pStyle w:val="34"/>
              <w:rPr>
                <w:color w:val="000000" w:themeColor="text1"/>
                <w14:textFill>
                  <w14:solidFill>
                    <w14:schemeClr w14:val="tx1"/>
                  </w14:solidFill>
                </w14:textFill>
              </w:rPr>
            </w:pPr>
          </w:p>
        </w:tc>
        <w:tc>
          <w:tcPr>
            <w:tcW w:w="1004" w:type="pct"/>
            <w:shd w:val="clear" w:color="auto" w:fill="auto"/>
            <w:noWrap/>
            <w:vAlign w:val="center"/>
          </w:tcPr>
          <w:p w14:paraId="3692F2E6">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密目网苫盖</w:t>
            </w:r>
          </w:p>
        </w:tc>
        <w:tc>
          <w:tcPr>
            <w:tcW w:w="417" w:type="pct"/>
            <w:shd w:val="clear" w:color="auto" w:fill="auto"/>
            <w:noWrap/>
            <w:vAlign w:val="center"/>
          </w:tcPr>
          <w:p w14:paraId="3E7D35B3">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639" w:type="pct"/>
            <w:shd w:val="clear" w:color="auto" w:fill="auto"/>
            <w:noWrap/>
            <w:vAlign w:val="center"/>
          </w:tcPr>
          <w:p w14:paraId="6481ED31">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1752</w:t>
            </w:r>
          </w:p>
        </w:tc>
        <w:tc>
          <w:tcPr>
            <w:tcW w:w="937" w:type="pct"/>
            <w:shd w:val="clear" w:color="auto" w:fill="auto"/>
            <w:noWrap/>
            <w:vAlign w:val="center"/>
          </w:tcPr>
          <w:p w14:paraId="6775507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主体已实施</w:t>
            </w:r>
          </w:p>
        </w:tc>
      </w:tr>
      <w:tr w14:paraId="77B97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16" w:type="pct"/>
            <w:vMerge w:val="continue"/>
          </w:tcPr>
          <w:p w14:paraId="26D77F1D">
            <w:pPr>
              <w:pStyle w:val="34"/>
              <w:rPr>
                <w:color w:val="000000" w:themeColor="text1"/>
                <w14:textFill>
                  <w14:solidFill>
                    <w14:schemeClr w14:val="tx1"/>
                  </w14:solidFill>
                </w14:textFill>
              </w:rPr>
            </w:pPr>
          </w:p>
        </w:tc>
        <w:tc>
          <w:tcPr>
            <w:tcW w:w="668" w:type="pct"/>
            <w:vMerge w:val="restart"/>
            <w:vAlign w:val="center"/>
          </w:tcPr>
          <w:p w14:paraId="3434409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场内道路及硬化工程区</w:t>
            </w:r>
          </w:p>
        </w:tc>
        <w:tc>
          <w:tcPr>
            <w:tcW w:w="717" w:type="pct"/>
            <w:vMerge w:val="restart"/>
            <w:vAlign w:val="center"/>
          </w:tcPr>
          <w:p w14:paraId="539FD95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工程措施</w:t>
            </w:r>
          </w:p>
        </w:tc>
        <w:tc>
          <w:tcPr>
            <w:tcW w:w="1004" w:type="pct"/>
            <w:shd w:val="clear" w:color="auto" w:fill="auto"/>
            <w:noWrap/>
            <w:vAlign w:val="center"/>
          </w:tcPr>
          <w:p w14:paraId="3662E189">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表土剥离</w:t>
            </w:r>
          </w:p>
        </w:tc>
        <w:tc>
          <w:tcPr>
            <w:tcW w:w="417" w:type="pct"/>
            <w:shd w:val="clear" w:color="auto" w:fill="auto"/>
            <w:noWrap/>
            <w:vAlign w:val="center"/>
          </w:tcPr>
          <w:p w14:paraId="0A731E50">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p>
        </w:tc>
        <w:tc>
          <w:tcPr>
            <w:tcW w:w="639" w:type="pct"/>
            <w:shd w:val="clear" w:color="auto" w:fill="auto"/>
            <w:noWrap/>
            <w:vAlign w:val="center"/>
          </w:tcPr>
          <w:p w14:paraId="7D5E98DC">
            <w:pPr>
              <w:pStyle w:val="34"/>
              <w:ind w:firstLine="0" w:firstLineChars="0"/>
              <w:rPr>
                <w:rFonts w:hint="default"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0.05</w:t>
            </w:r>
          </w:p>
        </w:tc>
        <w:tc>
          <w:tcPr>
            <w:tcW w:w="937" w:type="pct"/>
            <w:shd w:val="clear" w:color="auto" w:fill="auto"/>
            <w:noWrap/>
            <w:vAlign w:val="top"/>
          </w:tcPr>
          <w:p w14:paraId="311B19CC">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主体已实施</w:t>
            </w:r>
          </w:p>
        </w:tc>
      </w:tr>
      <w:tr w14:paraId="7B9DF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vMerge w:val="continue"/>
          </w:tcPr>
          <w:p w14:paraId="20A09274">
            <w:pPr>
              <w:pStyle w:val="34"/>
              <w:rPr>
                <w:color w:val="000000" w:themeColor="text1"/>
                <w14:textFill>
                  <w14:solidFill>
                    <w14:schemeClr w14:val="tx1"/>
                  </w14:solidFill>
                </w14:textFill>
              </w:rPr>
            </w:pPr>
          </w:p>
        </w:tc>
        <w:tc>
          <w:tcPr>
            <w:tcW w:w="668" w:type="pct"/>
            <w:vMerge w:val="continue"/>
            <w:vAlign w:val="center"/>
          </w:tcPr>
          <w:p w14:paraId="44313DD2">
            <w:pPr>
              <w:pStyle w:val="34"/>
              <w:rPr>
                <w:color w:val="000000" w:themeColor="text1"/>
                <w14:textFill>
                  <w14:solidFill>
                    <w14:schemeClr w14:val="tx1"/>
                  </w14:solidFill>
                </w14:textFill>
              </w:rPr>
            </w:pPr>
          </w:p>
        </w:tc>
        <w:tc>
          <w:tcPr>
            <w:tcW w:w="717" w:type="pct"/>
            <w:vMerge w:val="continue"/>
            <w:vAlign w:val="center"/>
          </w:tcPr>
          <w:p w14:paraId="647E9665">
            <w:pPr>
              <w:pStyle w:val="34"/>
              <w:rPr>
                <w:color w:val="000000" w:themeColor="text1"/>
                <w14:textFill>
                  <w14:solidFill>
                    <w14:schemeClr w14:val="tx1"/>
                  </w14:solidFill>
                </w14:textFill>
              </w:rPr>
            </w:pPr>
          </w:p>
        </w:tc>
        <w:tc>
          <w:tcPr>
            <w:tcW w:w="1004" w:type="pct"/>
            <w:shd w:val="clear" w:color="auto" w:fill="auto"/>
            <w:noWrap/>
            <w:vAlign w:val="center"/>
          </w:tcPr>
          <w:p w14:paraId="31E73F49">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DN</w:t>
            </w:r>
            <w:r>
              <w:rPr>
                <w:rFonts w:hint="eastAsia"/>
                <w:color w:val="000000" w:themeColor="text1"/>
                <w14:textFill>
                  <w14:solidFill>
                    <w14:schemeClr w14:val="tx1"/>
                  </w14:solidFill>
                </w14:textFill>
              </w:rPr>
              <w:t>15</w:t>
            </w:r>
            <w:r>
              <w:rPr>
                <w:color w:val="000000" w:themeColor="text1"/>
                <w14:textFill>
                  <w14:solidFill>
                    <w14:schemeClr w14:val="tx1"/>
                  </w14:solidFill>
                </w14:textFill>
              </w:rPr>
              <w:t>0雨水管</w:t>
            </w:r>
          </w:p>
        </w:tc>
        <w:tc>
          <w:tcPr>
            <w:tcW w:w="417" w:type="pct"/>
            <w:shd w:val="clear" w:color="auto" w:fill="auto"/>
            <w:noWrap/>
            <w:vAlign w:val="center"/>
          </w:tcPr>
          <w:p w14:paraId="4E4F1833">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m</w:t>
            </w:r>
          </w:p>
        </w:tc>
        <w:tc>
          <w:tcPr>
            <w:tcW w:w="639" w:type="pct"/>
            <w:shd w:val="clear" w:color="auto" w:fill="auto"/>
            <w:noWrap/>
            <w:vAlign w:val="center"/>
          </w:tcPr>
          <w:p w14:paraId="17981DD9">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25.04</w:t>
            </w:r>
          </w:p>
        </w:tc>
        <w:tc>
          <w:tcPr>
            <w:tcW w:w="937" w:type="pct"/>
            <w:shd w:val="clear" w:color="auto" w:fill="auto"/>
            <w:noWrap/>
            <w:vAlign w:val="center"/>
          </w:tcPr>
          <w:p w14:paraId="6DD5602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主体未实施</w:t>
            </w:r>
          </w:p>
        </w:tc>
      </w:tr>
      <w:tr w14:paraId="70D8B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vMerge w:val="continue"/>
          </w:tcPr>
          <w:p w14:paraId="38DB2C2C">
            <w:pPr>
              <w:pStyle w:val="34"/>
              <w:rPr>
                <w:color w:val="000000" w:themeColor="text1"/>
                <w14:textFill>
                  <w14:solidFill>
                    <w14:schemeClr w14:val="tx1"/>
                  </w14:solidFill>
                </w14:textFill>
              </w:rPr>
            </w:pPr>
          </w:p>
        </w:tc>
        <w:tc>
          <w:tcPr>
            <w:tcW w:w="668" w:type="pct"/>
            <w:vMerge w:val="continue"/>
            <w:vAlign w:val="center"/>
          </w:tcPr>
          <w:p w14:paraId="4B1F39B1">
            <w:pPr>
              <w:pStyle w:val="34"/>
              <w:rPr>
                <w:color w:val="000000" w:themeColor="text1"/>
                <w14:textFill>
                  <w14:solidFill>
                    <w14:schemeClr w14:val="tx1"/>
                  </w14:solidFill>
                </w14:textFill>
              </w:rPr>
            </w:pPr>
          </w:p>
        </w:tc>
        <w:tc>
          <w:tcPr>
            <w:tcW w:w="717" w:type="pct"/>
            <w:vMerge w:val="continue"/>
            <w:vAlign w:val="center"/>
          </w:tcPr>
          <w:p w14:paraId="07F51512">
            <w:pPr>
              <w:pStyle w:val="34"/>
              <w:rPr>
                <w:color w:val="000000" w:themeColor="text1"/>
                <w14:textFill>
                  <w14:solidFill>
                    <w14:schemeClr w14:val="tx1"/>
                  </w14:solidFill>
                </w14:textFill>
              </w:rPr>
            </w:pPr>
          </w:p>
        </w:tc>
        <w:tc>
          <w:tcPr>
            <w:tcW w:w="1004" w:type="pct"/>
            <w:shd w:val="clear" w:color="auto" w:fill="auto"/>
            <w:noWrap/>
            <w:vAlign w:val="center"/>
          </w:tcPr>
          <w:p w14:paraId="6035F7E1">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DN</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00雨水管</w:t>
            </w:r>
          </w:p>
        </w:tc>
        <w:tc>
          <w:tcPr>
            <w:tcW w:w="417" w:type="pct"/>
            <w:shd w:val="clear" w:color="auto" w:fill="auto"/>
            <w:noWrap/>
            <w:vAlign w:val="top"/>
          </w:tcPr>
          <w:p w14:paraId="11735041">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m</w:t>
            </w:r>
          </w:p>
        </w:tc>
        <w:tc>
          <w:tcPr>
            <w:tcW w:w="639" w:type="pct"/>
            <w:shd w:val="clear" w:color="auto" w:fill="auto"/>
            <w:noWrap/>
            <w:vAlign w:val="center"/>
          </w:tcPr>
          <w:p w14:paraId="0FDA751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494.51</w:t>
            </w:r>
          </w:p>
        </w:tc>
        <w:tc>
          <w:tcPr>
            <w:tcW w:w="937" w:type="pct"/>
            <w:shd w:val="clear" w:color="auto" w:fill="auto"/>
            <w:noWrap/>
            <w:vAlign w:val="center"/>
          </w:tcPr>
          <w:p w14:paraId="4ACB35B8">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主体未实施</w:t>
            </w:r>
          </w:p>
        </w:tc>
      </w:tr>
      <w:tr w14:paraId="5C5B7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616" w:type="pct"/>
            <w:vMerge w:val="continue"/>
          </w:tcPr>
          <w:p w14:paraId="448E989B">
            <w:pPr>
              <w:pStyle w:val="34"/>
              <w:rPr>
                <w:color w:val="000000" w:themeColor="text1"/>
                <w14:textFill>
                  <w14:solidFill>
                    <w14:schemeClr w14:val="tx1"/>
                  </w14:solidFill>
                </w14:textFill>
              </w:rPr>
            </w:pPr>
          </w:p>
        </w:tc>
        <w:tc>
          <w:tcPr>
            <w:tcW w:w="668" w:type="pct"/>
            <w:vMerge w:val="continue"/>
            <w:vAlign w:val="center"/>
          </w:tcPr>
          <w:p w14:paraId="2D815870">
            <w:pPr>
              <w:pStyle w:val="34"/>
              <w:rPr>
                <w:color w:val="000000" w:themeColor="text1"/>
                <w14:textFill>
                  <w14:solidFill>
                    <w14:schemeClr w14:val="tx1"/>
                  </w14:solidFill>
                </w14:textFill>
              </w:rPr>
            </w:pPr>
          </w:p>
        </w:tc>
        <w:tc>
          <w:tcPr>
            <w:tcW w:w="717" w:type="pct"/>
            <w:vMerge w:val="continue"/>
            <w:noWrap/>
            <w:vAlign w:val="center"/>
          </w:tcPr>
          <w:p w14:paraId="562A8A44">
            <w:pPr>
              <w:pStyle w:val="34"/>
              <w:rPr>
                <w:color w:val="000000" w:themeColor="text1"/>
                <w14:textFill>
                  <w14:solidFill>
                    <w14:schemeClr w14:val="tx1"/>
                  </w14:solidFill>
                </w14:textFill>
              </w:rPr>
            </w:pPr>
          </w:p>
        </w:tc>
        <w:tc>
          <w:tcPr>
            <w:tcW w:w="1004" w:type="pct"/>
            <w:shd w:val="clear" w:color="auto" w:fill="auto"/>
            <w:noWrap/>
            <w:vAlign w:val="center"/>
          </w:tcPr>
          <w:p w14:paraId="39073AC7">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雨水口</w:t>
            </w:r>
          </w:p>
        </w:tc>
        <w:tc>
          <w:tcPr>
            <w:tcW w:w="417" w:type="pct"/>
            <w:shd w:val="clear" w:color="auto" w:fill="auto"/>
            <w:noWrap/>
            <w:vAlign w:val="center"/>
          </w:tcPr>
          <w:p w14:paraId="6566C998">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个</w:t>
            </w:r>
          </w:p>
        </w:tc>
        <w:tc>
          <w:tcPr>
            <w:tcW w:w="639" w:type="pct"/>
            <w:shd w:val="clear" w:color="auto" w:fill="auto"/>
            <w:noWrap/>
            <w:vAlign w:val="center"/>
          </w:tcPr>
          <w:p w14:paraId="3350BC3D">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17</w:t>
            </w:r>
          </w:p>
        </w:tc>
        <w:tc>
          <w:tcPr>
            <w:tcW w:w="937" w:type="pct"/>
            <w:shd w:val="clear" w:color="auto" w:fill="auto"/>
            <w:noWrap/>
            <w:vAlign w:val="center"/>
          </w:tcPr>
          <w:p w14:paraId="3B5238D7">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主体未实施</w:t>
            </w:r>
          </w:p>
        </w:tc>
      </w:tr>
      <w:tr w14:paraId="1EEAD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616" w:type="pct"/>
            <w:vMerge w:val="continue"/>
          </w:tcPr>
          <w:p w14:paraId="3B15EDEA">
            <w:pPr>
              <w:pStyle w:val="34"/>
              <w:rPr>
                <w:color w:val="000000" w:themeColor="text1"/>
                <w14:textFill>
                  <w14:solidFill>
                    <w14:schemeClr w14:val="tx1"/>
                  </w14:solidFill>
                </w14:textFill>
              </w:rPr>
            </w:pPr>
          </w:p>
        </w:tc>
        <w:tc>
          <w:tcPr>
            <w:tcW w:w="668" w:type="pct"/>
            <w:vMerge w:val="continue"/>
            <w:vAlign w:val="center"/>
          </w:tcPr>
          <w:p w14:paraId="5354EF2A">
            <w:pPr>
              <w:pStyle w:val="34"/>
              <w:rPr>
                <w:color w:val="000000" w:themeColor="text1"/>
                <w14:textFill>
                  <w14:solidFill>
                    <w14:schemeClr w14:val="tx1"/>
                  </w14:solidFill>
                </w14:textFill>
              </w:rPr>
            </w:pPr>
          </w:p>
        </w:tc>
        <w:tc>
          <w:tcPr>
            <w:tcW w:w="717" w:type="pct"/>
            <w:vMerge w:val="continue"/>
            <w:noWrap/>
            <w:vAlign w:val="center"/>
          </w:tcPr>
          <w:p w14:paraId="7C681132">
            <w:pPr>
              <w:pStyle w:val="34"/>
              <w:rPr>
                <w:color w:val="000000" w:themeColor="text1"/>
                <w14:textFill>
                  <w14:solidFill>
                    <w14:schemeClr w14:val="tx1"/>
                  </w14:solidFill>
                </w14:textFill>
              </w:rPr>
            </w:pPr>
          </w:p>
        </w:tc>
        <w:tc>
          <w:tcPr>
            <w:tcW w:w="1004" w:type="pct"/>
            <w:shd w:val="clear" w:color="auto" w:fill="auto"/>
            <w:noWrap/>
            <w:vAlign w:val="center"/>
          </w:tcPr>
          <w:p w14:paraId="3F689D6E">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雨水蓄水池</w:t>
            </w:r>
          </w:p>
        </w:tc>
        <w:tc>
          <w:tcPr>
            <w:tcW w:w="417" w:type="pct"/>
            <w:shd w:val="clear" w:color="auto" w:fill="auto"/>
            <w:noWrap/>
            <w:vAlign w:val="center"/>
          </w:tcPr>
          <w:p w14:paraId="2B6C5EF4">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个</w:t>
            </w:r>
          </w:p>
        </w:tc>
        <w:tc>
          <w:tcPr>
            <w:tcW w:w="639" w:type="pct"/>
            <w:shd w:val="clear" w:color="auto" w:fill="auto"/>
            <w:noWrap/>
            <w:vAlign w:val="center"/>
          </w:tcPr>
          <w:p w14:paraId="77836FE2">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1</w:t>
            </w:r>
          </w:p>
        </w:tc>
        <w:tc>
          <w:tcPr>
            <w:tcW w:w="937" w:type="pct"/>
            <w:shd w:val="clear" w:color="auto" w:fill="auto"/>
            <w:noWrap/>
            <w:vAlign w:val="center"/>
          </w:tcPr>
          <w:p w14:paraId="0868289E">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主体未实施</w:t>
            </w:r>
          </w:p>
        </w:tc>
      </w:tr>
      <w:tr w14:paraId="0D5A6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16" w:type="pct"/>
            <w:vMerge w:val="continue"/>
          </w:tcPr>
          <w:p w14:paraId="3356BDAC">
            <w:pPr>
              <w:pStyle w:val="34"/>
              <w:rPr>
                <w:color w:val="000000" w:themeColor="text1"/>
                <w14:textFill>
                  <w14:solidFill>
                    <w14:schemeClr w14:val="tx1"/>
                  </w14:solidFill>
                </w14:textFill>
              </w:rPr>
            </w:pPr>
          </w:p>
        </w:tc>
        <w:tc>
          <w:tcPr>
            <w:tcW w:w="668" w:type="pct"/>
            <w:vMerge w:val="continue"/>
            <w:vAlign w:val="center"/>
          </w:tcPr>
          <w:p w14:paraId="21B7347F">
            <w:pPr>
              <w:pStyle w:val="34"/>
              <w:rPr>
                <w:color w:val="000000" w:themeColor="text1"/>
                <w14:textFill>
                  <w14:solidFill>
                    <w14:schemeClr w14:val="tx1"/>
                  </w14:solidFill>
                </w14:textFill>
              </w:rPr>
            </w:pPr>
          </w:p>
        </w:tc>
        <w:tc>
          <w:tcPr>
            <w:tcW w:w="717" w:type="pct"/>
            <w:vMerge w:val="restart"/>
            <w:vAlign w:val="center"/>
          </w:tcPr>
          <w:p w14:paraId="0C65AAC8">
            <w:pPr>
              <w:pStyle w:val="34"/>
              <w:rPr>
                <w:color w:val="000000" w:themeColor="text1"/>
                <w14:textFill>
                  <w14:solidFill>
                    <w14:schemeClr w14:val="tx1"/>
                  </w14:solidFill>
                </w14:textFill>
              </w:rPr>
            </w:pPr>
          </w:p>
          <w:p w14:paraId="33556870">
            <w:pPr>
              <w:pStyle w:val="34"/>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004" w:type="pct"/>
            <w:shd w:val="clear" w:color="auto" w:fill="auto"/>
            <w:noWrap/>
            <w:vAlign w:val="center"/>
          </w:tcPr>
          <w:p w14:paraId="6E9469DA">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洗车设施</w:t>
            </w:r>
          </w:p>
        </w:tc>
        <w:tc>
          <w:tcPr>
            <w:tcW w:w="417" w:type="pct"/>
            <w:shd w:val="clear" w:color="auto" w:fill="auto"/>
            <w:noWrap/>
            <w:vAlign w:val="center"/>
          </w:tcPr>
          <w:p w14:paraId="4EADAFE1">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套</w:t>
            </w:r>
          </w:p>
        </w:tc>
        <w:tc>
          <w:tcPr>
            <w:tcW w:w="639" w:type="pct"/>
            <w:shd w:val="clear" w:color="auto" w:fill="auto"/>
            <w:noWrap/>
            <w:vAlign w:val="center"/>
          </w:tcPr>
          <w:p w14:paraId="784122ED">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1</w:t>
            </w:r>
          </w:p>
        </w:tc>
        <w:tc>
          <w:tcPr>
            <w:tcW w:w="937" w:type="pct"/>
            <w:shd w:val="clear" w:color="auto" w:fill="auto"/>
            <w:noWrap/>
            <w:vAlign w:val="center"/>
          </w:tcPr>
          <w:p w14:paraId="75E5D648">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主体已实施</w:t>
            </w:r>
          </w:p>
        </w:tc>
      </w:tr>
      <w:tr w14:paraId="7599C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16" w:type="pct"/>
            <w:vMerge w:val="continue"/>
          </w:tcPr>
          <w:p w14:paraId="6173AE1A">
            <w:pPr>
              <w:pStyle w:val="34"/>
              <w:rPr>
                <w:color w:val="000000" w:themeColor="text1"/>
                <w14:textFill>
                  <w14:solidFill>
                    <w14:schemeClr w14:val="tx1"/>
                  </w14:solidFill>
                </w14:textFill>
              </w:rPr>
            </w:pPr>
          </w:p>
        </w:tc>
        <w:tc>
          <w:tcPr>
            <w:tcW w:w="668" w:type="pct"/>
            <w:vMerge w:val="continue"/>
            <w:vAlign w:val="center"/>
          </w:tcPr>
          <w:p w14:paraId="2DEB1548">
            <w:pPr>
              <w:pStyle w:val="34"/>
              <w:rPr>
                <w:color w:val="000000" w:themeColor="text1"/>
                <w14:textFill>
                  <w14:solidFill>
                    <w14:schemeClr w14:val="tx1"/>
                  </w14:solidFill>
                </w14:textFill>
              </w:rPr>
            </w:pPr>
          </w:p>
        </w:tc>
        <w:tc>
          <w:tcPr>
            <w:tcW w:w="717" w:type="pct"/>
            <w:vMerge w:val="continue"/>
            <w:vAlign w:val="center"/>
          </w:tcPr>
          <w:p w14:paraId="2E9C2BF8">
            <w:pPr>
              <w:pStyle w:val="34"/>
              <w:rPr>
                <w:color w:val="000000" w:themeColor="text1"/>
                <w14:textFill>
                  <w14:solidFill>
                    <w14:schemeClr w14:val="tx1"/>
                  </w14:solidFill>
                </w14:textFill>
              </w:rPr>
            </w:pPr>
          </w:p>
        </w:tc>
        <w:tc>
          <w:tcPr>
            <w:tcW w:w="1004" w:type="pct"/>
            <w:shd w:val="clear" w:color="auto" w:fill="auto"/>
            <w:noWrap/>
            <w:vAlign w:val="center"/>
          </w:tcPr>
          <w:p w14:paraId="384FA781">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密目网苫盖</w:t>
            </w:r>
          </w:p>
        </w:tc>
        <w:tc>
          <w:tcPr>
            <w:tcW w:w="417" w:type="pct"/>
            <w:shd w:val="clear" w:color="auto" w:fill="auto"/>
            <w:noWrap/>
            <w:vAlign w:val="center"/>
          </w:tcPr>
          <w:p w14:paraId="62D9D49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639" w:type="pct"/>
            <w:shd w:val="clear" w:color="auto" w:fill="auto"/>
            <w:noWrap/>
            <w:vAlign w:val="center"/>
          </w:tcPr>
          <w:p w14:paraId="59BE28DB">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868</w:t>
            </w:r>
          </w:p>
        </w:tc>
        <w:tc>
          <w:tcPr>
            <w:tcW w:w="937" w:type="pct"/>
            <w:shd w:val="clear" w:color="auto" w:fill="auto"/>
            <w:noWrap/>
            <w:vAlign w:val="center"/>
          </w:tcPr>
          <w:p w14:paraId="6F323EA2">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方案新增</w:t>
            </w:r>
          </w:p>
        </w:tc>
      </w:tr>
      <w:tr w14:paraId="3DE96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16" w:type="pct"/>
            <w:vMerge w:val="continue"/>
          </w:tcPr>
          <w:p w14:paraId="288D4190">
            <w:pPr>
              <w:pStyle w:val="34"/>
              <w:rPr>
                <w:color w:val="000000" w:themeColor="text1"/>
                <w14:textFill>
                  <w14:solidFill>
                    <w14:schemeClr w14:val="tx1"/>
                  </w14:solidFill>
                </w14:textFill>
              </w:rPr>
            </w:pPr>
          </w:p>
        </w:tc>
        <w:tc>
          <w:tcPr>
            <w:tcW w:w="668" w:type="pct"/>
            <w:vMerge w:val="restart"/>
            <w:vAlign w:val="center"/>
          </w:tcPr>
          <w:p w14:paraId="4E18EB1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绿化工程区</w:t>
            </w:r>
          </w:p>
        </w:tc>
        <w:tc>
          <w:tcPr>
            <w:tcW w:w="717" w:type="pct"/>
            <w:vMerge w:val="restart"/>
            <w:noWrap/>
            <w:vAlign w:val="center"/>
          </w:tcPr>
          <w:p w14:paraId="2CFF6031">
            <w:pPr>
              <w:pStyle w:val="34"/>
              <w:rPr>
                <w:color w:val="000000" w:themeColor="text1"/>
                <w14:textFill>
                  <w14:solidFill>
                    <w14:schemeClr w14:val="tx1"/>
                  </w14:solidFill>
                </w14:textFill>
              </w:rPr>
            </w:pPr>
            <w:r>
              <w:rPr>
                <w:color w:val="000000" w:themeColor="text1"/>
                <w14:textFill>
                  <w14:solidFill>
                    <w14:schemeClr w14:val="tx1"/>
                  </w14:solidFill>
                </w14:textFill>
              </w:rPr>
              <w:t>工程措施</w:t>
            </w:r>
          </w:p>
        </w:tc>
        <w:tc>
          <w:tcPr>
            <w:tcW w:w="1004" w:type="pct"/>
            <w:shd w:val="clear" w:color="auto" w:fill="auto"/>
            <w:noWrap/>
            <w:vAlign w:val="center"/>
          </w:tcPr>
          <w:p w14:paraId="5C1A104A">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stheme="minorBidi"/>
                <w:color w:val="000000" w:themeColor="text1"/>
                <w:kern w:val="2"/>
                <w:sz w:val="18"/>
                <w:szCs w:val="21"/>
                <w:lang w:val="en-US" w:eastAsia="zh-CN" w:bidi="ar-SA"/>
                <w14:textFill>
                  <w14:solidFill>
                    <w14:schemeClr w14:val="tx1"/>
                  </w14:solidFill>
                </w14:textFill>
              </w:rPr>
              <w:t>绿化覆土</w:t>
            </w:r>
          </w:p>
        </w:tc>
        <w:tc>
          <w:tcPr>
            <w:tcW w:w="417" w:type="pct"/>
            <w:shd w:val="clear" w:color="auto" w:fill="auto"/>
            <w:noWrap/>
            <w:vAlign w:val="center"/>
          </w:tcPr>
          <w:p w14:paraId="6EEFD493">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万</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3</w:t>
            </w:r>
          </w:p>
        </w:tc>
        <w:tc>
          <w:tcPr>
            <w:tcW w:w="639" w:type="pct"/>
            <w:shd w:val="clear" w:color="auto" w:fill="auto"/>
            <w:noWrap/>
            <w:vAlign w:val="center"/>
          </w:tcPr>
          <w:p w14:paraId="01BB089D">
            <w:pPr>
              <w:pStyle w:val="34"/>
              <w:ind w:firstLine="0" w:firstLineChars="0"/>
              <w:rPr>
                <w:rFonts w:hint="default"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0.10</w:t>
            </w:r>
          </w:p>
        </w:tc>
        <w:tc>
          <w:tcPr>
            <w:tcW w:w="937" w:type="pct"/>
            <w:shd w:val="clear" w:color="auto" w:fill="auto"/>
            <w:noWrap/>
            <w:vAlign w:val="top"/>
          </w:tcPr>
          <w:p w14:paraId="7F46103A">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w:t>
            </w:r>
            <w:r>
              <w:rPr>
                <w:rFonts w:hint="eastAsia"/>
                <w:color w:val="000000" w:themeColor="text1"/>
                <w:lang w:eastAsia="zh-CN"/>
                <w14:textFill>
                  <w14:solidFill>
                    <w14:schemeClr w14:val="tx1"/>
                  </w14:solidFill>
                </w14:textFill>
              </w:rPr>
              <w:t>未</w:t>
            </w:r>
            <w:r>
              <w:rPr>
                <w:rFonts w:hint="eastAsia"/>
                <w:color w:val="000000" w:themeColor="text1"/>
                <w14:textFill>
                  <w14:solidFill>
                    <w14:schemeClr w14:val="tx1"/>
                  </w14:solidFill>
                </w14:textFill>
              </w:rPr>
              <w:t>实施</w:t>
            </w:r>
          </w:p>
        </w:tc>
      </w:tr>
      <w:tr w14:paraId="2DCB2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16" w:type="pct"/>
            <w:vMerge w:val="continue"/>
          </w:tcPr>
          <w:p w14:paraId="19DEF1D8">
            <w:pPr>
              <w:pStyle w:val="34"/>
              <w:rPr>
                <w:color w:val="000000" w:themeColor="text1"/>
                <w14:textFill>
                  <w14:solidFill>
                    <w14:schemeClr w14:val="tx1"/>
                  </w14:solidFill>
                </w14:textFill>
              </w:rPr>
            </w:pPr>
          </w:p>
        </w:tc>
        <w:tc>
          <w:tcPr>
            <w:tcW w:w="668" w:type="pct"/>
            <w:vMerge w:val="continue"/>
            <w:vAlign w:val="center"/>
          </w:tcPr>
          <w:p w14:paraId="0C6DA3EB">
            <w:pPr>
              <w:pStyle w:val="34"/>
              <w:rPr>
                <w:rFonts w:hint="eastAsia"/>
                <w:color w:val="000000" w:themeColor="text1"/>
                <w14:textFill>
                  <w14:solidFill>
                    <w14:schemeClr w14:val="tx1"/>
                  </w14:solidFill>
                </w14:textFill>
              </w:rPr>
            </w:pPr>
          </w:p>
        </w:tc>
        <w:tc>
          <w:tcPr>
            <w:tcW w:w="717" w:type="pct"/>
            <w:vMerge w:val="continue"/>
            <w:noWrap/>
            <w:vAlign w:val="center"/>
          </w:tcPr>
          <w:p w14:paraId="001098A9">
            <w:pPr>
              <w:pStyle w:val="34"/>
              <w:rPr>
                <w:color w:val="000000" w:themeColor="text1"/>
                <w14:textFill>
                  <w14:solidFill>
                    <w14:schemeClr w14:val="tx1"/>
                  </w14:solidFill>
                </w14:textFill>
              </w:rPr>
            </w:pPr>
          </w:p>
        </w:tc>
        <w:tc>
          <w:tcPr>
            <w:tcW w:w="1004" w:type="pct"/>
            <w:shd w:val="clear" w:color="auto" w:fill="auto"/>
            <w:noWrap/>
            <w:vAlign w:val="center"/>
          </w:tcPr>
          <w:p w14:paraId="5BF6ACE5">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土地整治</w:t>
            </w:r>
          </w:p>
        </w:tc>
        <w:tc>
          <w:tcPr>
            <w:tcW w:w="417" w:type="pct"/>
            <w:shd w:val="clear" w:color="auto" w:fill="auto"/>
            <w:noWrap/>
            <w:vAlign w:val="center"/>
          </w:tcPr>
          <w:p w14:paraId="3BE335BF">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639" w:type="pct"/>
            <w:shd w:val="clear" w:color="auto" w:fill="auto"/>
            <w:noWrap/>
            <w:vAlign w:val="center"/>
          </w:tcPr>
          <w:p w14:paraId="0FC98F6D">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0.12</w:t>
            </w:r>
          </w:p>
        </w:tc>
        <w:tc>
          <w:tcPr>
            <w:tcW w:w="937" w:type="pct"/>
            <w:shd w:val="clear" w:color="auto" w:fill="auto"/>
            <w:noWrap/>
            <w:vAlign w:val="center"/>
          </w:tcPr>
          <w:p w14:paraId="20B0AC5A">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方案新增</w:t>
            </w:r>
          </w:p>
        </w:tc>
      </w:tr>
      <w:tr w14:paraId="28B1B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vMerge w:val="continue"/>
          </w:tcPr>
          <w:p w14:paraId="09E4016C">
            <w:pPr>
              <w:pStyle w:val="34"/>
              <w:rPr>
                <w:color w:val="000000" w:themeColor="text1"/>
                <w14:textFill>
                  <w14:solidFill>
                    <w14:schemeClr w14:val="tx1"/>
                  </w14:solidFill>
                </w14:textFill>
              </w:rPr>
            </w:pPr>
          </w:p>
        </w:tc>
        <w:tc>
          <w:tcPr>
            <w:tcW w:w="668" w:type="pct"/>
            <w:vMerge w:val="continue"/>
            <w:vAlign w:val="center"/>
          </w:tcPr>
          <w:p w14:paraId="123426DB">
            <w:pPr>
              <w:pStyle w:val="34"/>
              <w:rPr>
                <w:color w:val="000000" w:themeColor="text1"/>
                <w14:textFill>
                  <w14:solidFill>
                    <w14:schemeClr w14:val="tx1"/>
                  </w14:solidFill>
                </w14:textFill>
              </w:rPr>
            </w:pPr>
          </w:p>
        </w:tc>
        <w:tc>
          <w:tcPr>
            <w:tcW w:w="717" w:type="pct"/>
            <w:vMerge w:val="restart"/>
            <w:vAlign w:val="center"/>
          </w:tcPr>
          <w:p w14:paraId="75C350EF">
            <w:pPr>
              <w:pStyle w:val="34"/>
              <w:rPr>
                <w:color w:val="000000" w:themeColor="text1"/>
                <w14:textFill>
                  <w14:solidFill>
                    <w14:schemeClr w14:val="tx1"/>
                  </w14:solidFill>
                </w14:textFill>
              </w:rPr>
            </w:pPr>
            <w:r>
              <w:rPr>
                <w:color w:val="000000" w:themeColor="text1"/>
                <w14:textFill>
                  <w14:solidFill>
                    <w14:schemeClr w14:val="tx1"/>
                  </w14:solidFill>
                </w14:textFill>
              </w:rPr>
              <w:t>植物措施</w:t>
            </w:r>
          </w:p>
        </w:tc>
        <w:tc>
          <w:tcPr>
            <w:tcW w:w="1004" w:type="pct"/>
            <w:shd w:val="clear" w:color="auto" w:fill="auto"/>
            <w:noWrap/>
            <w:vAlign w:val="center"/>
          </w:tcPr>
          <w:p w14:paraId="6104D590">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乔灌</w:t>
            </w:r>
            <w:r>
              <w:rPr>
                <w:color w:val="000000" w:themeColor="text1"/>
                <w14:textFill>
                  <w14:solidFill>
                    <w14:schemeClr w14:val="tx1"/>
                  </w14:solidFill>
                </w14:textFill>
              </w:rPr>
              <w:t>绿化</w:t>
            </w:r>
          </w:p>
        </w:tc>
        <w:tc>
          <w:tcPr>
            <w:tcW w:w="417" w:type="pct"/>
            <w:shd w:val="clear" w:color="auto" w:fill="auto"/>
            <w:noWrap/>
            <w:vAlign w:val="center"/>
          </w:tcPr>
          <w:p w14:paraId="1181CF28">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639" w:type="pct"/>
            <w:shd w:val="clear" w:color="auto" w:fill="auto"/>
            <w:noWrap/>
            <w:vAlign w:val="center"/>
          </w:tcPr>
          <w:p w14:paraId="3BF4DCD7">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0.12</w:t>
            </w:r>
          </w:p>
        </w:tc>
        <w:tc>
          <w:tcPr>
            <w:tcW w:w="937" w:type="pct"/>
            <w:shd w:val="clear" w:color="auto" w:fill="auto"/>
            <w:noWrap/>
            <w:vAlign w:val="center"/>
          </w:tcPr>
          <w:p w14:paraId="3BC8FD7F">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主体未实施</w:t>
            </w:r>
          </w:p>
        </w:tc>
      </w:tr>
      <w:tr w14:paraId="1FC93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vMerge w:val="continue"/>
          </w:tcPr>
          <w:p w14:paraId="46071E8A">
            <w:pPr>
              <w:pStyle w:val="34"/>
              <w:rPr>
                <w:color w:val="000000" w:themeColor="text1"/>
                <w14:textFill>
                  <w14:solidFill>
                    <w14:schemeClr w14:val="tx1"/>
                  </w14:solidFill>
                </w14:textFill>
              </w:rPr>
            </w:pPr>
          </w:p>
        </w:tc>
        <w:tc>
          <w:tcPr>
            <w:tcW w:w="668" w:type="pct"/>
            <w:vMerge w:val="continue"/>
            <w:vAlign w:val="center"/>
          </w:tcPr>
          <w:p w14:paraId="1A2B601D">
            <w:pPr>
              <w:pStyle w:val="34"/>
              <w:rPr>
                <w:color w:val="000000" w:themeColor="text1"/>
                <w14:textFill>
                  <w14:solidFill>
                    <w14:schemeClr w14:val="tx1"/>
                  </w14:solidFill>
                </w14:textFill>
              </w:rPr>
            </w:pPr>
          </w:p>
        </w:tc>
        <w:tc>
          <w:tcPr>
            <w:tcW w:w="717" w:type="pct"/>
            <w:vMerge w:val="continue"/>
            <w:vAlign w:val="center"/>
          </w:tcPr>
          <w:p w14:paraId="0D12F30F">
            <w:pPr>
              <w:pStyle w:val="34"/>
              <w:rPr>
                <w:color w:val="000000" w:themeColor="text1"/>
                <w14:textFill>
                  <w14:solidFill>
                    <w14:schemeClr w14:val="tx1"/>
                  </w14:solidFill>
                </w14:textFill>
              </w:rPr>
            </w:pPr>
          </w:p>
        </w:tc>
        <w:tc>
          <w:tcPr>
            <w:tcW w:w="1004" w:type="pct"/>
            <w:shd w:val="clear" w:color="auto" w:fill="auto"/>
            <w:noWrap/>
            <w:vAlign w:val="center"/>
          </w:tcPr>
          <w:p w14:paraId="2B03349B">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植草沟</w:t>
            </w:r>
          </w:p>
        </w:tc>
        <w:tc>
          <w:tcPr>
            <w:tcW w:w="417" w:type="pct"/>
            <w:shd w:val="clear" w:color="auto" w:fill="auto"/>
            <w:noWrap/>
            <w:vAlign w:val="center"/>
          </w:tcPr>
          <w:p w14:paraId="3505F3F4">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639" w:type="pct"/>
            <w:shd w:val="clear" w:color="auto" w:fill="auto"/>
            <w:noWrap/>
            <w:vAlign w:val="center"/>
          </w:tcPr>
          <w:p w14:paraId="406CA2B8">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snapToGrid w:val="0"/>
                <w:color w:val="000000" w:themeColor="text1"/>
                <w14:textFill>
                  <w14:solidFill>
                    <w14:schemeClr w14:val="tx1"/>
                  </w14:solidFill>
                </w14:textFill>
              </w:rPr>
              <w:t>173.04</w:t>
            </w:r>
          </w:p>
        </w:tc>
        <w:tc>
          <w:tcPr>
            <w:tcW w:w="937" w:type="pct"/>
            <w:shd w:val="clear" w:color="auto" w:fill="auto"/>
            <w:noWrap/>
            <w:vAlign w:val="center"/>
          </w:tcPr>
          <w:p w14:paraId="22AB46D6">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主体未实施</w:t>
            </w:r>
          </w:p>
        </w:tc>
      </w:tr>
      <w:tr w14:paraId="19345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616" w:type="pct"/>
            <w:vMerge w:val="continue"/>
          </w:tcPr>
          <w:p w14:paraId="059C1310">
            <w:pPr>
              <w:pStyle w:val="34"/>
              <w:rPr>
                <w:color w:val="000000" w:themeColor="text1"/>
                <w14:textFill>
                  <w14:solidFill>
                    <w14:schemeClr w14:val="tx1"/>
                  </w14:solidFill>
                </w14:textFill>
              </w:rPr>
            </w:pPr>
          </w:p>
        </w:tc>
        <w:tc>
          <w:tcPr>
            <w:tcW w:w="668" w:type="pct"/>
            <w:vMerge w:val="continue"/>
            <w:vAlign w:val="center"/>
          </w:tcPr>
          <w:p w14:paraId="4F93F56C">
            <w:pPr>
              <w:pStyle w:val="34"/>
              <w:rPr>
                <w:color w:val="000000" w:themeColor="text1"/>
                <w14:textFill>
                  <w14:solidFill>
                    <w14:schemeClr w14:val="tx1"/>
                  </w14:solidFill>
                </w14:textFill>
              </w:rPr>
            </w:pPr>
          </w:p>
        </w:tc>
        <w:tc>
          <w:tcPr>
            <w:tcW w:w="717" w:type="pct"/>
            <w:vMerge w:val="continue"/>
            <w:vAlign w:val="center"/>
          </w:tcPr>
          <w:p w14:paraId="7A3B1B4E">
            <w:pPr>
              <w:pStyle w:val="34"/>
              <w:rPr>
                <w:color w:val="000000" w:themeColor="text1"/>
                <w14:textFill>
                  <w14:solidFill>
                    <w14:schemeClr w14:val="tx1"/>
                  </w14:solidFill>
                </w14:textFill>
              </w:rPr>
            </w:pPr>
          </w:p>
        </w:tc>
        <w:tc>
          <w:tcPr>
            <w:tcW w:w="1004" w:type="pct"/>
            <w:shd w:val="clear" w:color="auto" w:fill="auto"/>
            <w:noWrap/>
            <w:vAlign w:val="center"/>
          </w:tcPr>
          <w:p w14:paraId="48936ED4">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抚育管理</w:t>
            </w:r>
          </w:p>
        </w:tc>
        <w:tc>
          <w:tcPr>
            <w:tcW w:w="417" w:type="pct"/>
            <w:shd w:val="clear" w:color="auto" w:fill="auto"/>
            <w:noWrap/>
            <w:vAlign w:val="center"/>
          </w:tcPr>
          <w:p w14:paraId="5B0F9FA5">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·a</w:t>
            </w:r>
          </w:p>
        </w:tc>
        <w:tc>
          <w:tcPr>
            <w:tcW w:w="639" w:type="pct"/>
            <w:shd w:val="clear" w:color="auto" w:fill="auto"/>
            <w:noWrap/>
            <w:vAlign w:val="center"/>
          </w:tcPr>
          <w:p w14:paraId="016C549D">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0.12</w:t>
            </w:r>
          </w:p>
        </w:tc>
        <w:tc>
          <w:tcPr>
            <w:tcW w:w="937" w:type="pct"/>
            <w:shd w:val="clear" w:color="auto" w:fill="auto"/>
            <w:noWrap/>
            <w:vAlign w:val="center"/>
          </w:tcPr>
          <w:p w14:paraId="33F6AC14">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方案新增</w:t>
            </w:r>
          </w:p>
        </w:tc>
      </w:tr>
      <w:tr w14:paraId="59EDF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616" w:type="pct"/>
            <w:vMerge w:val="continue"/>
          </w:tcPr>
          <w:p w14:paraId="084A2322">
            <w:pPr>
              <w:pStyle w:val="34"/>
              <w:rPr>
                <w:color w:val="000000" w:themeColor="text1"/>
                <w14:textFill>
                  <w14:solidFill>
                    <w14:schemeClr w14:val="tx1"/>
                  </w14:solidFill>
                </w14:textFill>
              </w:rPr>
            </w:pPr>
          </w:p>
        </w:tc>
        <w:tc>
          <w:tcPr>
            <w:tcW w:w="668" w:type="pct"/>
            <w:vMerge w:val="continue"/>
            <w:vAlign w:val="center"/>
          </w:tcPr>
          <w:p w14:paraId="1F32766E">
            <w:pPr>
              <w:pStyle w:val="34"/>
              <w:rPr>
                <w:color w:val="000000" w:themeColor="text1"/>
                <w14:textFill>
                  <w14:solidFill>
                    <w14:schemeClr w14:val="tx1"/>
                  </w14:solidFill>
                </w14:textFill>
              </w:rPr>
            </w:pPr>
          </w:p>
        </w:tc>
        <w:tc>
          <w:tcPr>
            <w:tcW w:w="717" w:type="pct"/>
            <w:vAlign w:val="center"/>
          </w:tcPr>
          <w:p w14:paraId="6DF6161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临时措施</w:t>
            </w:r>
          </w:p>
        </w:tc>
        <w:tc>
          <w:tcPr>
            <w:tcW w:w="1004" w:type="pct"/>
            <w:shd w:val="clear" w:color="auto" w:fill="auto"/>
            <w:noWrap/>
            <w:vAlign w:val="center"/>
          </w:tcPr>
          <w:p w14:paraId="14BA546D">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密目网苫盖</w:t>
            </w:r>
          </w:p>
        </w:tc>
        <w:tc>
          <w:tcPr>
            <w:tcW w:w="417" w:type="pct"/>
            <w:shd w:val="clear" w:color="auto" w:fill="auto"/>
            <w:noWrap/>
            <w:vAlign w:val="center"/>
          </w:tcPr>
          <w:p w14:paraId="4B459038">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639" w:type="pct"/>
            <w:shd w:val="clear" w:color="auto" w:fill="auto"/>
            <w:noWrap/>
            <w:vAlign w:val="center"/>
          </w:tcPr>
          <w:p w14:paraId="46BA9E24">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714</w:t>
            </w:r>
          </w:p>
        </w:tc>
        <w:tc>
          <w:tcPr>
            <w:tcW w:w="937" w:type="pct"/>
            <w:shd w:val="clear" w:color="auto" w:fill="auto"/>
            <w:noWrap/>
            <w:vAlign w:val="center"/>
          </w:tcPr>
          <w:p w14:paraId="0051B734">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14:textFill>
                  <w14:solidFill>
                    <w14:schemeClr w14:val="tx1"/>
                  </w14:solidFill>
                </w14:textFill>
              </w:rPr>
              <w:t>方案新增</w:t>
            </w:r>
          </w:p>
        </w:tc>
      </w:tr>
    </w:tbl>
    <w:p w14:paraId="1A2275B6">
      <w:pPr>
        <w:pStyle w:val="3"/>
        <w:rPr>
          <w:color w:val="000000" w:themeColor="text1"/>
          <w14:textFill>
            <w14:solidFill>
              <w14:schemeClr w14:val="tx1"/>
            </w14:solidFill>
          </w14:textFill>
        </w:rPr>
      </w:pPr>
      <w:bookmarkStart w:id="112" w:name="_Toc22192"/>
      <w:r>
        <w:rPr>
          <w:rFonts w:hint="eastAsia"/>
          <w:color w:val="000000" w:themeColor="text1"/>
          <w14:textFill>
            <w14:solidFill>
              <w14:schemeClr w14:val="tx1"/>
            </w14:solidFill>
          </w14:textFill>
        </w:rPr>
        <w:t>5.5施工要求</w:t>
      </w:r>
      <w:bookmarkEnd w:id="112"/>
    </w:p>
    <w:p w14:paraId="370A8C0D">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5.5.1施工方法</w:t>
      </w:r>
    </w:p>
    <w:p w14:paraId="2AABACC2">
      <w:pPr>
        <w:autoSpaceDE w:val="0"/>
        <w:autoSpaceDN w:val="0"/>
        <w:ind w:right="84" w:firstLine="482"/>
        <w:jc w:val="left"/>
        <w:rPr>
          <w:rFonts w:cs="Times New Roman"/>
          <w:b/>
          <w:bCs/>
          <w:color w:val="000000" w:themeColor="text1"/>
          <w:szCs w:val="21"/>
          <w14:textFill>
            <w14:solidFill>
              <w14:schemeClr w14:val="tx1"/>
            </w14:solidFill>
          </w14:textFill>
        </w:rPr>
      </w:pPr>
      <w:r>
        <w:rPr>
          <w:rFonts w:hint="eastAsia" w:cs="Times New Roman"/>
          <w:b/>
          <w:bCs/>
          <w:color w:val="000000" w:themeColor="text1"/>
          <w:szCs w:val="21"/>
          <w14:textFill>
            <w14:solidFill>
              <w14:schemeClr w14:val="tx1"/>
            </w14:solidFill>
          </w14:textFill>
        </w:rPr>
        <w:t>1、工程措施</w:t>
      </w:r>
    </w:p>
    <w:p w14:paraId="170F66B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（1）土地整治</w:t>
      </w:r>
    </w:p>
    <w:p w14:paraId="44E55FD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土地整治时考虑平整区域内的土方平衡，在推土机推土前，对开挖区域内的树桩、树根、杂草、垃圾、废渣等杂物利用机械结合人工彻底清除，然后再进行细平工作，局部高差较大处，由铲运机铲运土方回填，尽量做到挖填同时进行，平整后高程符合设计要求。平整时应采取就近原则，挖取高于设计标高的土方回填至附近低于设计标高地块，开挖及回填时应保证土方回填前地块有足够的保水层。防止土方层底部为漏水层，在施工时应注意地面高程的控制。并按照设计要求用铲运机运土，推土机配合平整进行耕作层回覆，土方翻松则用推土机的松土器或利用人工进行耙松处理。</w:t>
      </w:r>
    </w:p>
    <w:p w14:paraId="2E9991C5">
      <w:pPr>
        <w:autoSpaceDE w:val="0"/>
        <w:autoSpaceDN w:val="0"/>
        <w:ind w:right="84" w:firstLine="480"/>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2</w:t>
      </w:r>
      <w:r>
        <w:rPr>
          <w:rFonts w:hint="eastAsia"/>
          <w:snapToGrid w:val="0"/>
          <w:color w:val="000000" w:themeColor="text1"/>
          <w14:textFill>
            <w14:solidFill>
              <w14:schemeClr w14:val="tx1"/>
            </w14:solidFill>
          </w14:textFill>
        </w:rPr>
        <w:t>）截排水工程及砌石工程施工</w:t>
      </w:r>
    </w:p>
    <w:p w14:paraId="5479F8EC">
      <w:pPr>
        <w:autoSpaceDE w:val="0"/>
        <w:autoSpaceDN w:val="0"/>
        <w:ind w:right="84" w:firstLine="480"/>
        <w:jc w:val="left"/>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水土保持工程所需的截排水工程规模较小，以标准断面为主，采用人工砌筑。首先进行挂线，保证开挖的沟槽顺直，使用镐、锹等工具进行土方开挖，采用常规砌砖施工方法，采用“三一”砌砖法，一块砖、一铲灰、一揉压并随手将挤出的砂浆刮去，然后用水泥砂浆抹面。</w:t>
      </w:r>
    </w:p>
    <w:p w14:paraId="664F6513">
      <w:pPr>
        <w:autoSpaceDE w:val="0"/>
        <w:autoSpaceDN w:val="0"/>
        <w:ind w:right="84" w:firstLine="482"/>
        <w:jc w:val="left"/>
        <w:rPr>
          <w:rFonts w:cs="Times New Roman"/>
          <w:b/>
          <w:bCs/>
          <w:color w:val="000000" w:themeColor="text1"/>
          <w:szCs w:val="21"/>
          <w14:textFill>
            <w14:solidFill>
              <w14:schemeClr w14:val="tx1"/>
            </w14:solidFill>
          </w14:textFill>
        </w:rPr>
      </w:pPr>
      <w:r>
        <w:rPr>
          <w:rFonts w:hint="eastAsia" w:cs="Times New Roman"/>
          <w:b/>
          <w:bCs/>
          <w:color w:val="000000" w:themeColor="text1"/>
          <w:szCs w:val="21"/>
          <w14:textFill>
            <w14:solidFill>
              <w14:schemeClr w14:val="tx1"/>
            </w14:solidFill>
          </w14:textFill>
        </w:rPr>
        <w:t>2、植物措施</w:t>
      </w:r>
    </w:p>
    <w:p w14:paraId="0EE586F6">
      <w:pPr>
        <w:autoSpaceDE w:val="0"/>
        <w:autoSpaceDN w:val="0"/>
        <w:ind w:right="84" w:firstLine="480"/>
        <w:jc w:val="left"/>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（1）景观绿化</w:t>
      </w:r>
    </w:p>
    <w:p w14:paraId="167744EA">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幼林抚育管理包括除草、松土、施肥、修枝、整形和灌水等。对于自然灾害和人为损坏应采取一定的补植措施，补植采用同一树种大苗或同龄苗，确保植苗当年成活率在</w:t>
      </w:r>
      <w:r>
        <w:rPr>
          <w:snapToGrid w:val="0"/>
          <w:color w:val="000000" w:themeColor="text1"/>
          <w14:textFill>
            <w14:solidFill>
              <w14:schemeClr w14:val="tx1"/>
            </w14:solidFill>
          </w14:textFill>
        </w:rPr>
        <w:t>95</w:t>
      </w:r>
      <w:r>
        <w:rPr>
          <w:rFonts w:hint="eastAsia"/>
          <w:snapToGrid w:val="0"/>
          <w:color w:val="000000" w:themeColor="text1"/>
          <w14:textFill>
            <w14:solidFill>
              <w14:schemeClr w14:val="tx1"/>
            </w14:solidFill>
          </w14:textFill>
        </w:rPr>
        <w:t>％以上，三年后保持在</w:t>
      </w:r>
      <w:r>
        <w:rPr>
          <w:snapToGrid w:val="0"/>
          <w:color w:val="000000" w:themeColor="text1"/>
          <w14:textFill>
            <w14:solidFill>
              <w14:schemeClr w14:val="tx1"/>
            </w14:solidFill>
          </w14:textFill>
        </w:rPr>
        <w:t>90</w:t>
      </w:r>
      <w:r>
        <w:rPr>
          <w:rFonts w:hint="eastAsia"/>
          <w:snapToGrid w:val="0"/>
          <w:color w:val="000000" w:themeColor="text1"/>
          <w14:textFill>
            <w14:solidFill>
              <w14:schemeClr w14:val="tx1"/>
            </w14:solidFill>
          </w14:textFill>
        </w:rPr>
        <w:t>％以上</w:t>
      </w:r>
      <w:r>
        <w:rPr>
          <w:snapToGrid w:val="0"/>
          <w:color w:val="000000" w:themeColor="text1"/>
          <w14:textFill>
            <w14:solidFill>
              <w14:schemeClr w14:val="tx1"/>
            </w14:solidFill>
          </w14:textFill>
        </w:rPr>
        <w:t>。</w:t>
      </w:r>
    </w:p>
    <w:p w14:paraId="789B8BA9">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植物措施实施主要涉及选苗、苗木运输、苗木假植、苗木栽植和抚育管理等几个施工环节。</w:t>
      </w:r>
    </w:p>
    <w:p w14:paraId="0249DD9E">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①选苗</w:t>
      </w:r>
    </w:p>
    <w:p w14:paraId="66C79664">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景观绿化中栽植行道树采用大苗，其苗木选择必须是来自本地区的苗木，以确保在本地区有良好的生长适应性。常绿乔木：植株必须根系发达，生长茁壮，无病虫害；棵形丰满，主要枝条完整，植株表皮无人为损伤的疤痕，土球规格必须符合规范要求，不能出现散坨现象。</w:t>
      </w:r>
    </w:p>
    <w:p w14:paraId="11E169AD">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落叶乔木：植株应根系完整，须根发达，反季节施工必须带坨，树形完整，无病虫害，对有明显主干的乔木，应保持其原有树形的前提下，适当疏枝，对用做行道树的品种应做到树干通直、分枝点一致。</w:t>
      </w:r>
    </w:p>
    <w:p w14:paraId="0F9FD92F">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②苗木运输</w:t>
      </w:r>
    </w:p>
    <w:p w14:paraId="025B908F">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按现场的进度确定每天种植数量提前对苗圃内树木进行确认。起树应该在上午进行，提前计划当天种植数量，起苗后对树木的土球及时进行打包、保温处理，然后进行吊运，装车后对苗木进行苫盖避免风哨，及时安排运至现场。冬季下午4点气温回落前完成当天所起苗木的种植，做好支撑、防寒、保温处理。</w:t>
      </w:r>
    </w:p>
    <w:p w14:paraId="0DC55F12">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③苗木栽植和灌草绿化</w:t>
      </w:r>
    </w:p>
    <w:p w14:paraId="67DCF3F4">
      <w:pPr>
        <w:widowControl/>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树木栽植前，应先检查种植穴大小及深度，不符合根系要求的，应修整种植穴；种植裸根树木时，应将种植穴填土呈半圆土锥，填土至三分之一时应提树干使根系舒展，并充分接触土壤，随填土分层踏实；带土球苗木必须踏实穴底土层面后置入种植穴，填土踏实。</w:t>
      </w:r>
    </w:p>
    <w:p w14:paraId="2287D440">
      <w:pPr>
        <w:autoSpaceDE w:val="0"/>
        <w:autoSpaceDN w:val="0"/>
        <w:ind w:right="84" w:firstLine="482"/>
        <w:jc w:val="left"/>
        <w:rPr>
          <w:rFonts w:cs="Times New Roman"/>
          <w:b/>
          <w:bCs/>
          <w:color w:val="000000" w:themeColor="text1"/>
          <w:szCs w:val="21"/>
          <w14:textFill>
            <w14:solidFill>
              <w14:schemeClr w14:val="tx1"/>
            </w14:solidFill>
          </w14:textFill>
        </w:rPr>
      </w:pPr>
      <w:r>
        <w:rPr>
          <w:rFonts w:hint="eastAsia" w:cs="Times New Roman"/>
          <w:b/>
          <w:bCs/>
          <w:color w:val="000000" w:themeColor="text1"/>
          <w:szCs w:val="21"/>
          <w14:textFill>
            <w14:solidFill>
              <w14:schemeClr w14:val="tx1"/>
            </w14:solidFill>
          </w14:textFill>
        </w:rPr>
        <w:t>3、临时措施</w:t>
      </w:r>
    </w:p>
    <w:p w14:paraId="4FE65159">
      <w:pPr>
        <w:autoSpaceDE w:val="0"/>
        <w:autoSpaceDN w:val="0"/>
        <w:ind w:right="84" w:firstLine="480"/>
        <w:jc w:val="left"/>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（1）临时排水沟、临时沉沙池：采用机械开挖，开挖完成后采用人工夯实，开挖的土石方就近堆放平整，施工结束后回填平整。</w:t>
      </w:r>
    </w:p>
    <w:p w14:paraId="51CBA2B7">
      <w:pPr>
        <w:autoSpaceDE w:val="0"/>
        <w:autoSpaceDN w:val="0"/>
        <w:ind w:right="84" w:firstLine="480"/>
        <w:jc w:val="left"/>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（2）密目网苫盖：人工铺设密目网，边角采用大块石压盖。</w:t>
      </w:r>
    </w:p>
    <w:p w14:paraId="0C2E2917">
      <w:pPr>
        <w:autoSpaceDE w:val="0"/>
        <w:autoSpaceDN w:val="0"/>
        <w:ind w:right="84" w:firstLine="480"/>
        <w:jc w:val="left"/>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施工单位在施工过程中，要做好临时排水、临时拦挡和临时覆盖等措施，施工结束后及时实施场地清理和绿化措施。采用密目网苫盖时，要防止被大风刮起，临时排水沟开挖后要夯实筑成沟帮，防止径流对排水沟的冲刷，沉沙池要定期清淤。</w:t>
      </w:r>
    </w:p>
    <w:p w14:paraId="61EB0C54">
      <w:pPr>
        <w:autoSpaceDE w:val="0"/>
        <w:autoSpaceDN w:val="0"/>
        <w:ind w:right="84" w:firstLine="480"/>
        <w:jc w:val="left"/>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加强施工组织管理与临时防护措施，严格控制施工用地，严禁随意扩大占压、扰动面积和损坏地貌、植被，开挖土石必须及时利用，禁止随意堆放，临时堆放须采取防护措施，严格控制施工过程中可能造成的水土流失。</w:t>
      </w:r>
    </w:p>
    <w:p w14:paraId="1144DC78">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5.5.2施工安全及管理要求</w:t>
      </w:r>
    </w:p>
    <w:p w14:paraId="19CA94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坚持质量第一、安全第一的方针，把施工安全工作摆在重要位置，行之有效的贯彻到各个环节中去。</w:t>
      </w:r>
    </w:p>
    <w:p w14:paraId="0BC01DD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成立有安全管理小组，并设有专职安全员，小组主要职责是责任进行对工人的安全技术交底，贯彻上级精神，在施工过程中每天检查工程施工安全工作，每周召开工程安全会议一次。制定具体的安全规程和违章处理措施，并向公司安全领导小组汇报一次。各作业班组设立兼职安全员，主要是带领各班组认真操作，对每个工人耐心指导，发现问题及时处理并及时向工地安全管理小组汇报工作。</w:t>
      </w:r>
    </w:p>
    <w:p w14:paraId="6444ACF8">
      <w:pPr>
        <w:pStyle w:val="4"/>
        <w:rPr>
          <w:color w:val="000000" w:themeColor="text1"/>
          <w14:textFill>
            <w14:solidFill>
              <w14:schemeClr w14:val="tx1"/>
            </w14:solidFill>
          </w14:textFill>
        </w:rPr>
      </w:pPr>
      <w:r>
        <w:rPr>
          <w:color w:val="000000" w:themeColor="text1"/>
          <w14:textFill>
            <w14:solidFill>
              <w14:schemeClr w14:val="tx1"/>
            </w14:solidFill>
          </w14:textFill>
        </w:rPr>
        <w:t>5.5.3</w:t>
      </w:r>
      <w:r>
        <w:rPr>
          <w:rFonts w:hint="eastAsia"/>
          <w:color w:val="000000" w:themeColor="text1"/>
          <w14:textFill>
            <w14:solidFill>
              <w14:schemeClr w14:val="tx1"/>
            </w14:solidFill>
          </w14:textFill>
        </w:rPr>
        <w:t>水土保持措施进度安排</w:t>
      </w:r>
    </w:p>
    <w:p w14:paraId="39ACA253">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根据主体工程的施工安排，同时结合水土保持实际情况，以工程措施为先，植物措施随后，各项水土保持措施的实施进度与主体工程相互衔接，互相协调，有序进行。</w:t>
      </w:r>
    </w:p>
    <w:p w14:paraId="2EDC2A23">
      <w:pPr>
        <w:ind w:firstLine="480"/>
        <w:rPr>
          <w:bCs/>
          <w:color w:val="000000" w:themeColor="text1"/>
          <w14:textFill>
            <w14:solidFill>
              <w14:schemeClr w14:val="tx1"/>
            </w14:solidFill>
          </w14:textFill>
        </w:rPr>
      </w:pPr>
      <w:r>
        <w:rPr>
          <w:rFonts w:hint="eastAsia"/>
          <w:color w:val="000000" w:themeColor="text1"/>
          <w14:textFill>
            <w14:solidFill>
              <w14:schemeClr w14:val="tx1"/>
            </w14:solidFill>
          </w14:textFill>
        </w:rPr>
        <w:t>项目已于2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3年6月22日开工，截止2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4年5月，项目已完成</w:t>
      </w:r>
      <w:r>
        <w:rPr>
          <w:rFonts w:hint="eastAsia"/>
          <w:bCs/>
          <w:color w:val="000000" w:themeColor="text1"/>
          <w14:textFill>
            <w14:solidFill>
              <w14:schemeClr w14:val="tx1"/>
            </w14:solidFill>
          </w14:textFill>
        </w:rPr>
        <w:t>7号生产车间的主体结构工程。</w:t>
      </w:r>
    </w:p>
    <w:p w14:paraId="4F494E57">
      <w:pPr>
        <w:ind w:firstLine="480"/>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项目计划竣工日期为2024年</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月31日，总工期1</w:t>
      </w: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个月</w:t>
      </w:r>
      <w:r>
        <w:rPr>
          <w:rFonts w:hint="eastAsia" w:cs="Times New Roman"/>
          <w:color w:val="000000" w:themeColor="text1"/>
          <w14:textFill>
            <w14:solidFill>
              <w14:schemeClr w14:val="tx1"/>
            </w14:solidFill>
          </w14:textFill>
        </w:rPr>
        <w:t>。</w:t>
      </w:r>
    </w:p>
    <w:p w14:paraId="4A4F4056">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水土保持措施进度表详见表</w:t>
      </w:r>
      <w:r>
        <w:rPr>
          <w:rFonts w:hint="eastAsia" w:cs="Times New Roman"/>
          <w:color w:val="000000" w:themeColor="text1"/>
          <w14:textFill>
            <w14:solidFill>
              <w14:schemeClr w14:val="tx1"/>
            </w14:solidFill>
          </w14:textFill>
        </w:rPr>
        <w:t>5.5-1。</w:t>
      </w:r>
    </w:p>
    <w:p w14:paraId="5D641030">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5.5</w:t>
      </w:r>
      <w:r>
        <w:rPr>
          <w:rFonts w:hint="eastAsia"/>
          <w:color w:val="000000" w:themeColor="text1"/>
          <w14:textFill>
            <w14:solidFill>
              <w14:schemeClr w14:val="tx1"/>
            </w14:solidFill>
          </w14:textFill>
        </w:rPr>
        <w:t xml:space="preserve">-1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项目实施进度一览表</w:t>
      </w:r>
    </w:p>
    <w:tbl>
      <w:tblPr>
        <w:tblStyle w:val="26"/>
        <w:tblW w:w="53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625"/>
        <w:gridCol w:w="750"/>
        <w:gridCol w:w="829"/>
        <w:gridCol w:w="977"/>
        <w:gridCol w:w="843"/>
        <w:gridCol w:w="915"/>
        <w:gridCol w:w="915"/>
        <w:gridCol w:w="983"/>
      </w:tblGrid>
      <w:tr w14:paraId="7315F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346" w:type="dxa"/>
            <w:vMerge w:val="restart"/>
            <w:vAlign w:val="center"/>
          </w:tcPr>
          <w:p w14:paraId="62CDDF5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防治分区</w:t>
            </w:r>
          </w:p>
        </w:tc>
        <w:tc>
          <w:tcPr>
            <w:tcW w:w="1625" w:type="dxa"/>
            <w:vMerge w:val="restart"/>
            <w:vAlign w:val="center"/>
          </w:tcPr>
          <w:p w14:paraId="0EFD3D7C">
            <w:pPr>
              <w:pStyle w:val="34"/>
              <w:rPr>
                <w:color w:val="000000" w:themeColor="text1"/>
                <w14:textFill>
                  <w14:solidFill>
                    <w14:schemeClr w14:val="tx1"/>
                  </w14:solidFill>
                </w14:textFill>
              </w:rPr>
            </w:pPr>
            <w:r>
              <w:rPr>
                <w:color w:val="000000" w:themeColor="text1"/>
                <w14:textFill>
                  <w14:solidFill>
                    <w14:schemeClr w14:val="tx1"/>
                  </w14:solidFill>
                </w14:textFill>
              </w:rPr>
              <w:t>项目名称</w:t>
            </w:r>
          </w:p>
        </w:tc>
        <w:tc>
          <w:tcPr>
            <w:tcW w:w="2556" w:type="dxa"/>
            <w:gridSpan w:val="3"/>
            <w:vAlign w:val="center"/>
          </w:tcPr>
          <w:p w14:paraId="242C78B8">
            <w:pPr>
              <w:pStyle w:val="34"/>
              <w:rPr>
                <w:color w:val="000000" w:themeColor="text1"/>
                <w14:textFill>
                  <w14:solidFill>
                    <w14:schemeClr w14:val="tx1"/>
                  </w14:solidFill>
                </w14:textFill>
              </w:rPr>
            </w:pPr>
            <w:r>
              <w:rPr>
                <w:color w:val="000000" w:themeColor="text1"/>
                <w14:textFill>
                  <w14:solidFill>
                    <w14:schemeClr w14:val="tx1"/>
                  </w14:solidFill>
                </w14:textFill>
              </w:rPr>
              <w:t>202</w:t>
            </w:r>
            <w:r>
              <w:rPr>
                <w:rFonts w:hint="eastAsia"/>
                <w:color w:val="000000" w:themeColor="text1"/>
                <w14:textFill>
                  <w14:solidFill>
                    <w14:schemeClr w14:val="tx1"/>
                  </w14:solidFill>
                </w14:textFill>
              </w:rPr>
              <w:t>3年(月</w:t>
            </w:r>
            <w:r>
              <w:rPr>
                <w:color w:val="000000" w:themeColor="text1"/>
                <w14:textFill>
                  <w14:solidFill>
                    <w14:schemeClr w14:val="tx1"/>
                  </w14:solidFill>
                </w14:textFill>
              </w:rPr>
              <w:t>)</w:t>
            </w:r>
          </w:p>
        </w:tc>
        <w:tc>
          <w:tcPr>
            <w:tcW w:w="3656" w:type="dxa"/>
            <w:gridSpan w:val="4"/>
            <w:vAlign w:val="center"/>
          </w:tcPr>
          <w:p w14:paraId="4289068B">
            <w:pPr>
              <w:pStyle w:val="34"/>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4年(月</w:t>
            </w:r>
            <w:r>
              <w:rPr>
                <w:color w:val="000000" w:themeColor="text1"/>
                <w14:textFill>
                  <w14:solidFill>
                    <w14:schemeClr w14:val="tx1"/>
                  </w14:solidFill>
                </w14:textFill>
              </w:rPr>
              <w:t>)</w:t>
            </w:r>
          </w:p>
        </w:tc>
      </w:tr>
      <w:tr w14:paraId="5F02C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346" w:type="dxa"/>
            <w:vMerge w:val="continue"/>
          </w:tcPr>
          <w:p w14:paraId="59CC36AF">
            <w:pPr>
              <w:pStyle w:val="34"/>
              <w:rPr>
                <w:color w:val="000000" w:themeColor="text1"/>
                <w14:textFill>
                  <w14:solidFill>
                    <w14:schemeClr w14:val="tx1"/>
                  </w14:solidFill>
                </w14:textFill>
              </w:rPr>
            </w:pPr>
          </w:p>
        </w:tc>
        <w:tc>
          <w:tcPr>
            <w:tcW w:w="1625" w:type="dxa"/>
            <w:vMerge w:val="continue"/>
            <w:vAlign w:val="center"/>
          </w:tcPr>
          <w:p w14:paraId="0A5AAA86">
            <w:pPr>
              <w:pStyle w:val="34"/>
              <w:rPr>
                <w:color w:val="000000" w:themeColor="text1"/>
                <w14:textFill>
                  <w14:solidFill>
                    <w14:schemeClr w14:val="tx1"/>
                  </w14:solidFill>
                </w14:textFill>
              </w:rPr>
            </w:pPr>
          </w:p>
        </w:tc>
        <w:tc>
          <w:tcPr>
            <w:tcW w:w="750" w:type="dxa"/>
            <w:vAlign w:val="center"/>
          </w:tcPr>
          <w:p w14:paraId="534C8D1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829" w:type="dxa"/>
            <w:vAlign w:val="center"/>
          </w:tcPr>
          <w:p w14:paraId="3ACD0D2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9</w:t>
            </w:r>
          </w:p>
        </w:tc>
        <w:tc>
          <w:tcPr>
            <w:tcW w:w="977" w:type="dxa"/>
            <w:vAlign w:val="center"/>
          </w:tcPr>
          <w:p w14:paraId="677EB00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12</w:t>
            </w:r>
          </w:p>
        </w:tc>
        <w:tc>
          <w:tcPr>
            <w:tcW w:w="843" w:type="dxa"/>
            <w:vAlign w:val="center"/>
          </w:tcPr>
          <w:p w14:paraId="0233664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p>
        </w:tc>
        <w:tc>
          <w:tcPr>
            <w:tcW w:w="915" w:type="dxa"/>
            <w:vAlign w:val="center"/>
          </w:tcPr>
          <w:p w14:paraId="08E800C0">
            <w:pPr>
              <w:pStyle w:val="34"/>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p>
        </w:tc>
        <w:tc>
          <w:tcPr>
            <w:tcW w:w="915" w:type="dxa"/>
            <w:vAlign w:val="center"/>
          </w:tcPr>
          <w:p w14:paraId="47716D64">
            <w:pPr>
              <w:pStyle w:val="34"/>
              <w:rPr>
                <w:rFonts w:hint="eastAsia" w:eastAsia="仿宋_GB2312"/>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7-</w:t>
            </w:r>
            <w:r>
              <w:rPr>
                <w:rFonts w:hint="eastAsia"/>
                <w:color w:val="000000" w:themeColor="text1"/>
                <w:lang w:val="en-US" w:eastAsia="zh-CN"/>
                <w14:textFill>
                  <w14:solidFill>
                    <w14:schemeClr w14:val="tx1"/>
                  </w14:solidFill>
                </w14:textFill>
              </w:rPr>
              <w:t>9</w:t>
            </w:r>
          </w:p>
        </w:tc>
        <w:tc>
          <w:tcPr>
            <w:tcW w:w="983" w:type="dxa"/>
            <w:vAlign w:val="center"/>
          </w:tcPr>
          <w:p w14:paraId="41898547">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10-12</w:t>
            </w:r>
          </w:p>
        </w:tc>
      </w:tr>
      <w:tr w14:paraId="0B906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tcPr>
          <w:p w14:paraId="3CAF4EF9">
            <w:pPr>
              <w:pStyle w:val="34"/>
              <w:rPr>
                <w:color w:val="000000" w:themeColor="text1"/>
                <w14:textFill>
                  <w14:solidFill>
                    <w14:schemeClr w14:val="tx1"/>
                  </w14:solidFill>
                </w14:textFill>
              </w:rPr>
            </w:pPr>
          </w:p>
        </w:tc>
        <w:tc>
          <w:tcPr>
            <w:tcW w:w="1625" w:type="dxa"/>
            <w:vAlign w:val="center"/>
          </w:tcPr>
          <w:p w14:paraId="2C7584F1">
            <w:pPr>
              <w:pStyle w:val="34"/>
              <w:rPr>
                <w:color w:val="000000" w:themeColor="text1"/>
                <w14:textFill>
                  <w14:solidFill>
                    <w14:schemeClr w14:val="tx1"/>
                  </w14:solidFill>
                </w14:textFill>
              </w:rPr>
            </w:pPr>
            <w:r>
              <w:rPr>
                <w:color w:val="000000" w:themeColor="text1"/>
                <w14:textFill>
                  <w14:solidFill>
                    <w14:schemeClr w14:val="tx1"/>
                  </w14:solidFill>
                </w14:textFill>
              </w:rPr>
              <w:t>施工准备期</w:t>
            </w:r>
          </w:p>
        </w:tc>
        <w:tc>
          <w:tcPr>
            <w:tcW w:w="750" w:type="dxa"/>
            <w:vAlign w:val="center"/>
          </w:tcPr>
          <w:p w14:paraId="3379ED44">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247650</wp:posOffset>
                      </wp:positionH>
                      <wp:positionV relativeFrom="paragraph">
                        <wp:posOffset>85725</wp:posOffset>
                      </wp:positionV>
                      <wp:extent cx="227965" cy="0"/>
                      <wp:effectExtent l="0" t="0" r="0" b="0"/>
                      <wp:wrapNone/>
                      <wp:docPr id="1998117249" name="直接连接符 34"/>
                      <wp:cNvGraphicFramePr/>
                      <a:graphic xmlns:a="http://schemas.openxmlformats.org/drawingml/2006/main">
                        <a:graphicData uri="http://schemas.microsoft.com/office/word/2010/wordprocessingShape">
                          <wps:wsp>
                            <wps:cNvCnPr/>
                            <wps:spPr>
                              <a:xfrm>
                                <a:off x="0" y="0"/>
                                <a:ext cx="227965"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4" o:spid="_x0000_s1026" o:spt="20" style="position:absolute;left:0pt;margin-left:19.5pt;margin-top:6.75pt;height:0pt;width:17.95pt;z-index:251664384;mso-width-relative:page;mso-height-relative:page;" filled="f" stroked="t" coordsize="21600,21600" o:gfxdata="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h&#10;cTc+1gAAAAcBAAAPAAAAAAAAAAEAIAAAACIAAABkcnMvZG93bnJldi54bWxQSwECFAAUAAAACACH&#10;TuJARpGLw+0BAAC7AwAADgAAAAAAAAABACAAAAAlAQAAZHJzL2Uyb0RvYy54bWxQSwUGAAAAAAYA&#10;BgBZAQAAhAUAAAAA&#10;">
                      <v:fill on="f" focussize="0,0"/>
                      <v:stroke weight="2pt" color="#000000 [3213]" miterlimit="8" joinstyle="miter"/>
                      <v:imagedata o:title=""/>
                      <o:lock v:ext="edit" aspectratio="f"/>
                    </v:line>
                  </w:pict>
                </mc:Fallback>
              </mc:AlternateContent>
            </w:r>
          </w:p>
        </w:tc>
        <w:tc>
          <w:tcPr>
            <w:tcW w:w="829" w:type="dxa"/>
          </w:tcPr>
          <w:p w14:paraId="679009C4">
            <w:pPr>
              <w:pStyle w:val="34"/>
              <w:rPr>
                <w:color w:val="000000" w:themeColor="text1"/>
                <w14:textFill>
                  <w14:solidFill>
                    <w14:schemeClr w14:val="tx1"/>
                  </w14:solidFill>
                </w14:textFill>
              </w:rPr>
            </w:pPr>
          </w:p>
        </w:tc>
        <w:tc>
          <w:tcPr>
            <w:tcW w:w="977" w:type="dxa"/>
          </w:tcPr>
          <w:p w14:paraId="1BD389A9">
            <w:pPr>
              <w:pStyle w:val="34"/>
              <w:rPr>
                <w:color w:val="000000" w:themeColor="text1"/>
                <w14:textFill>
                  <w14:solidFill>
                    <w14:schemeClr w14:val="tx1"/>
                  </w14:solidFill>
                </w14:textFill>
              </w:rPr>
            </w:pPr>
          </w:p>
        </w:tc>
        <w:tc>
          <w:tcPr>
            <w:tcW w:w="843" w:type="dxa"/>
          </w:tcPr>
          <w:p w14:paraId="1D54C9A0">
            <w:pPr>
              <w:pStyle w:val="34"/>
              <w:rPr>
                <w:color w:val="000000" w:themeColor="text1"/>
                <w14:textFill>
                  <w14:solidFill>
                    <w14:schemeClr w14:val="tx1"/>
                  </w14:solidFill>
                </w14:textFill>
              </w:rPr>
            </w:pPr>
          </w:p>
        </w:tc>
        <w:tc>
          <w:tcPr>
            <w:tcW w:w="915" w:type="dxa"/>
            <w:vAlign w:val="center"/>
          </w:tcPr>
          <w:p w14:paraId="58C7BF90">
            <w:pPr>
              <w:pStyle w:val="34"/>
              <w:rPr>
                <w:color w:val="000000" w:themeColor="text1"/>
                <w14:textFill>
                  <w14:solidFill>
                    <w14:schemeClr w14:val="tx1"/>
                  </w14:solidFill>
                </w14:textFill>
              </w:rPr>
            </w:pPr>
          </w:p>
        </w:tc>
        <w:tc>
          <w:tcPr>
            <w:tcW w:w="915" w:type="dxa"/>
          </w:tcPr>
          <w:p w14:paraId="020CD93F">
            <w:pPr>
              <w:pStyle w:val="34"/>
              <w:rPr>
                <w:color w:val="000000" w:themeColor="text1"/>
                <w14:textFill>
                  <w14:solidFill>
                    <w14:schemeClr w14:val="tx1"/>
                  </w14:solidFill>
                </w14:textFill>
              </w:rPr>
            </w:pPr>
          </w:p>
        </w:tc>
        <w:tc>
          <w:tcPr>
            <w:tcW w:w="983" w:type="dxa"/>
          </w:tcPr>
          <w:p w14:paraId="0243654D">
            <w:pPr>
              <w:pStyle w:val="34"/>
              <w:rPr>
                <w:color w:val="000000" w:themeColor="text1"/>
                <w14:textFill>
                  <w14:solidFill>
                    <w14:schemeClr w14:val="tx1"/>
                  </w14:solidFill>
                </w14:textFill>
              </w:rPr>
            </w:pPr>
          </w:p>
        </w:tc>
      </w:tr>
      <w:tr w14:paraId="138EA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tcPr>
          <w:p w14:paraId="3D1C3BB0">
            <w:pPr>
              <w:pStyle w:val="34"/>
              <w:rPr>
                <w:color w:val="000000" w:themeColor="text1"/>
                <w14:textFill>
                  <w14:solidFill>
                    <w14:schemeClr w14:val="tx1"/>
                  </w14:solidFill>
                </w14:textFill>
              </w:rPr>
            </w:pPr>
          </w:p>
        </w:tc>
        <w:tc>
          <w:tcPr>
            <w:tcW w:w="1625" w:type="dxa"/>
            <w:vAlign w:val="center"/>
          </w:tcPr>
          <w:p w14:paraId="7F2AB64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场地</w:t>
            </w:r>
            <w:r>
              <w:rPr>
                <w:color w:val="000000" w:themeColor="text1"/>
                <w14:textFill>
                  <w14:solidFill>
                    <w14:schemeClr w14:val="tx1"/>
                  </w14:solidFill>
                </w14:textFill>
              </w:rPr>
              <w:t>平整</w:t>
            </w:r>
          </w:p>
        </w:tc>
        <w:tc>
          <w:tcPr>
            <w:tcW w:w="750" w:type="dxa"/>
            <w:vAlign w:val="center"/>
          </w:tcPr>
          <w:p w14:paraId="249F14B0">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470535</wp:posOffset>
                      </wp:positionH>
                      <wp:positionV relativeFrom="paragraph">
                        <wp:posOffset>81280</wp:posOffset>
                      </wp:positionV>
                      <wp:extent cx="287020" cy="3810"/>
                      <wp:effectExtent l="0" t="12700" r="17780" b="21590"/>
                      <wp:wrapNone/>
                      <wp:docPr id="1752219077" name="直接连接符 33"/>
                      <wp:cNvGraphicFramePr/>
                      <a:graphic xmlns:a="http://schemas.openxmlformats.org/drawingml/2006/main">
                        <a:graphicData uri="http://schemas.microsoft.com/office/word/2010/wordprocessingShape">
                          <wps:wsp>
                            <wps:cNvCnPr/>
                            <wps:spPr>
                              <a:xfrm flipV="1">
                                <a:off x="0" y="0"/>
                                <a:ext cx="287020" cy="3810"/>
                              </a:xfrm>
                              <a:prstGeom prst="line">
                                <a:avLst/>
                              </a:prstGeom>
                              <a:ln w="25400">
                                <a:solidFill>
                                  <a:schemeClr val="tx1">
                                    <a:alpha val="92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3" o:spid="_x0000_s1026" o:spt="20" style="position:absolute;left:0pt;flip:y;margin-left:37.05pt;margin-top:6.4pt;height:0.3pt;width:22.6pt;z-index:251665408;mso-width-relative:page;mso-height-relative:page;" filled="f" stroked="t" coordsize="21600,21600" o:gfxdata="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&#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73K9BdkAAAAIAQAADwAAAAAAAAABACAAAAAiAAAAZHJz&#10;L2Rvd25yZXYueG1sUEsBAhQAFAAAAAgAh07iQJ5yVSwDAgAA6QMAAA4AAAAAAAAAAQAgAAAAKAEA&#10;AGRycy9lMm9Eb2MueG1sUEsFBgAAAAAGAAYAWQEAAJ0FAAAAAA==&#10;">
                      <v:fill on="f" focussize="0,0"/>
                      <v:stroke weight="2pt" color="#000000 [3213]" opacity="60293f" miterlimit="8" joinstyle="miter"/>
                      <v:imagedata o:title=""/>
                      <o:lock v:ext="edit" aspectratio="f"/>
                    </v:line>
                  </w:pict>
                </mc:Fallback>
              </mc:AlternateContent>
            </w:r>
          </w:p>
        </w:tc>
        <w:tc>
          <w:tcPr>
            <w:tcW w:w="829" w:type="dxa"/>
          </w:tcPr>
          <w:p w14:paraId="05E97098">
            <w:pPr>
              <w:pStyle w:val="34"/>
              <w:rPr>
                <w:color w:val="000000" w:themeColor="text1"/>
                <w14:textFill>
                  <w14:solidFill>
                    <w14:schemeClr w14:val="tx1"/>
                  </w14:solidFill>
                </w14:textFill>
              </w:rPr>
            </w:pPr>
          </w:p>
        </w:tc>
        <w:tc>
          <w:tcPr>
            <w:tcW w:w="977" w:type="dxa"/>
          </w:tcPr>
          <w:p w14:paraId="679123B9">
            <w:pPr>
              <w:pStyle w:val="34"/>
              <w:rPr>
                <w:color w:val="000000" w:themeColor="text1"/>
                <w14:textFill>
                  <w14:solidFill>
                    <w14:schemeClr w14:val="tx1"/>
                  </w14:solidFill>
                </w14:textFill>
              </w:rPr>
            </w:pPr>
          </w:p>
        </w:tc>
        <w:tc>
          <w:tcPr>
            <w:tcW w:w="843" w:type="dxa"/>
          </w:tcPr>
          <w:p w14:paraId="46146C5D">
            <w:pPr>
              <w:pStyle w:val="34"/>
              <w:rPr>
                <w:color w:val="000000" w:themeColor="text1"/>
                <w14:textFill>
                  <w14:solidFill>
                    <w14:schemeClr w14:val="tx1"/>
                  </w14:solidFill>
                </w14:textFill>
              </w:rPr>
            </w:pPr>
          </w:p>
        </w:tc>
        <w:tc>
          <w:tcPr>
            <w:tcW w:w="915" w:type="dxa"/>
            <w:vAlign w:val="center"/>
          </w:tcPr>
          <w:p w14:paraId="188E04CD">
            <w:pPr>
              <w:pStyle w:val="34"/>
              <w:rPr>
                <w:color w:val="000000" w:themeColor="text1"/>
                <w14:textFill>
                  <w14:solidFill>
                    <w14:schemeClr w14:val="tx1"/>
                  </w14:solidFill>
                </w14:textFill>
              </w:rPr>
            </w:pPr>
          </w:p>
        </w:tc>
        <w:tc>
          <w:tcPr>
            <w:tcW w:w="915" w:type="dxa"/>
          </w:tcPr>
          <w:p w14:paraId="1B5AFE39">
            <w:pPr>
              <w:pStyle w:val="34"/>
              <w:rPr>
                <w:color w:val="000000" w:themeColor="text1"/>
                <w14:textFill>
                  <w14:solidFill>
                    <w14:schemeClr w14:val="tx1"/>
                  </w14:solidFill>
                </w14:textFill>
              </w:rPr>
            </w:pPr>
          </w:p>
        </w:tc>
        <w:tc>
          <w:tcPr>
            <w:tcW w:w="983" w:type="dxa"/>
          </w:tcPr>
          <w:p w14:paraId="49EA9797">
            <w:pPr>
              <w:pStyle w:val="34"/>
              <w:rPr>
                <w:color w:val="000000" w:themeColor="text1"/>
                <w14:textFill>
                  <w14:solidFill>
                    <w14:schemeClr w14:val="tx1"/>
                  </w14:solidFill>
                </w14:textFill>
              </w:rPr>
            </w:pPr>
          </w:p>
        </w:tc>
      </w:tr>
      <w:tr w14:paraId="417EF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46" w:type="dxa"/>
            <w:vMerge w:val="restart"/>
            <w:vAlign w:val="center"/>
          </w:tcPr>
          <w:p w14:paraId="43F0E57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地下工程区</w:t>
            </w:r>
          </w:p>
        </w:tc>
        <w:tc>
          <w:tcPr>
            <w:tcW w:w="1625" w:type="dxa"/>
            <w:vAlign w:val="center"/>
          </w:tcPr>
          <w:p w14:paraId="0BA1054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地下室及建筑物基础施工</w:t>
            </w:r>
          </w:p>
        </w:tc>
        <w:tc>
          <w:tcPr>
            <w:tcW w:w="750" w:type="dxa"/>
            <w:vAlign w:val="center"/>
          </w:tcPr>
          <w:p w14:paraId="3B53CA29">
            <w:pPr>
              <w:pStyle w:val="34"/>
              <w:rPr>
                <w:color w:val="000000" w:themeColor="text1"/>
                <w14:textFill>
                  <w14:solidFill>
                    <w14:schemeClr w14:val="tx1"/>
                  </w14:solidFill>
                </w14:textFill>
              </w:rPr>
            </w:pPr>
          </w:p>
        </w:tc>
        <w:tc>
          <w:tcPr>
            <w:tcW w:w="829" w:type="dxa"/>
          </w:tcPr>
          <w:p w14:paraId="187F532D">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240665</wp:posOffset>
                      </wp:positionH>
                      <wp:positionV relativeFrom="paragraph">
                        <wp:posOffset>130810</wp:posOffset>
                      </wp:positionV>
                      <wp:extent cx="465455" cy="0"/>
                      <wp:effectExtent l="0" t="12700" r="10795" b="15875"/>
                      <wp:wrapNone/>
                      <wp:docPr id="929151725" name="直接连接符 32"/>
                      <wp:cNvGraphicFramePr/>
                      <a:graphic xmlns:a="http://schemas.openxmlformats.org/drawingml/2006/main">
                        <a:graphicData uri="http://schemas.microsoft.com/office/word/2010/wordprocessingShape">
                          <wps:wsp>
                            <wps:cNvCnPr/>
                            <wps:spPr>
                              <a:xfrm>
                                <a:off x="0" y="0"/>
                                <a:ext cx="465455"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2" o:spid="_x0000_s1026" o:spt="20" style="position:absolute;left:0pt;margin-left:18.95pt;margin-top:10.3pt;height:0pt;width:36.65pt;z-index:251666432;mso-width-relative:page;mso-height-relative:page;" filled="f" stroked="t" coordsize="21600,21600" o:gfxdata="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10;Kk/b1wAAAAgBAAAPAAAAAAAAAAEAIAAAACIAAABkcnMvZG93bnJldi54bWxQSwECFAAUAAAACACH&#10;TuJA9f6rZewBAAC6AwAADgAAAAAAAAABACAAAAAmAQAAZHJzL2Uyb0RvYy54bWxQSwUGAAAAAAYA&#10;BgBZAQAAhAUAAAAA&#10;">
                      <v:fill on="f" focussize="0,0"/>
                      <v:stroke weight="2pt" color="#000000 [3213]" miterlimit="8" joinstyle="miter"/>
                      <v:imagedata o:title=""/>
                      <o:lock v:ext="edit" aspectratio="f"/>
                    </v:line>
                  </w:pict>
                </mc:Fallback>
              </mc:AlternateContent>
            </w:r>
          </w:p>
        </w:tc>
        <w:tc>
          <w:tcPr>
            <w:tcW w:w="977" w:type="dxa"/>
          </w:tcPr>
          <w:p w14:paraId="67A69560">
            <w:pPr>
              <w:pStyle w:val="34"/>
              <w:rPr>
                <w:color w:val="000000" w:themeColor="text1"/>
                <w14:textFill>
                  <w14:solidFill>
                    <w14:schemeClr w14:val="tx1"/>
                  </w14:solidFill>
                </w14:textFill>
              </w:rPr>
            </w:pPr>
          </w:p>
        </w:tc>
        <w:tc>
          <w:tcPr>
            <w:tcW w:w="843" w:type="dxa"/>
          </w:tcPr>
          <w:p w14:paraId="7CBD6E45">
            <w:pPr>
              <w:pStyle w:val="34"/>
              <w:rPr>
                <w:color w:val="000000" w:themeColor="text1"/>
                <w14:textFill>
                  <w14:solidFill>
                    <w14:schemeClr w14:val="tx1"/>
                  </w14:solidFill>
                </w14:textFill>
              </w:rPr>
            </w:pPr>
          </w:p>
        </w:tc>
        <w:tc>
          <w:tcPr>
            <w:tcW w:w="915" w:type="dxa"/>
            <w:vAlign w:val="center"/>
          </w:tcPr>
          <w:p w14:paraId="0A3C4A93">
            <w:pPr>
              <w:pStyle w:val="34"/>
              <w:rPr>
                <w:color w:val="000000" w:themeColor="text1"/>
                <w14:textFill>
                  <w14:solidFill>
                    <w14:schemeClr w14:val="tx1"/>
                  </w14:solidFill>
                </w14:textFill>
              </w:rPr>
            </w:pPr>
          </w:p>
        </w:tc>
        <w:tc>
          <w:tcPr>
            <w:tcW w:w="915" w:type="dxa"/>
          </w:tcPr>
          <w:p w14:paraId="4605A678">
            <w:pPr>
              <w:pStyle w:val="34"/>
              <w:rPr>
                <w:color w:val="000000" w:themeColor="text1"/>
                <w14:textFill>
                  <w14:solidFill>
                    <w14:schemeClr w14:val="tx1"/>
                  </w14:solidFill>
                </w14:textFill>
              </w:rPr>
            </w:pPr>
          </w:p>
        </w:tc>
        <w:tc>
          <w:tcPr>
            <w:tcW w:w="983" w:type="dxa"/>
          </w:tcPr>
          <w:p w14:paraId="54E2337A">
            <w:pPr>
              <w:pStyle w:val="34"/>
              <w:rPr>
                <w:color w:val="000000" w:themeColor="text1"/>
                <w14:textFill>
                  <w14:solidFill>
                    <w14:schemeClr w14:val="tx1"/>
                  </w14:solidFill>
                </w14:textFill>
              </w:rPr>
            </w:pPr>
          </w:p>
        </w:tc>
      </w:tr>
      <w:tr w14:paraId="1A9B7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exact"/>
          <w:jc w:val="center"/>
        </w:trPr>
        <w:tc>
          <w:tcPr>
            <w:tcW w:w="1346" w:type="dxa"/>
            <w:vMerge w:val="continue"/>
          </w:tcPr>
          <w:p w14:paraId="0922C88B">
            <w:pPr>
              <w:pStyle w:val="34"/>
              <w:rPr>
                <w:color w:val="000000" w:themeColor="text1"/>
                <w14:textFill>
                  <w14:solidFill>
                    <w14:schemeClr w14:val="tx1"/>
                  </w14:solidFill>
                </w14:textFill>
              </w:rPr>
            </w:pPr>
          </w:p>
        </w:tc>
        <w:tc>
          <w:tcPr>
            <w:tcW w:w="1625" w:type="dxa"/>
            <w:vAlign w:val="center"/>
          </w:tcPr>
          <w:p w14:paraId="16742DF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坑顶截水、沉沙池</w:t>
            </w:r>
          </w:p>
        </w:tc>
        <w:tc>
          <w:tcPr>
            <w:tcW w:w="750" w:type="dxa"/>
            <w:vAlign w:val="center"/>
          </w:tcPr>
          <w:p w14:paraId="021398A0">
            <w:pPr>
              <w:pStyle w:val="34"/>
              <w:rPr>
                <w:color w:val="000000" w:themeColor="text1"/>
                <w14:textFill>
                  <w14:solidFill>
                    <w14:schemeClr w14:val="tx1"/>
                  </w14:solidFill>
                </w14:textFill>
              </w:rPr>
            </w:pPr>
          </w:p>
        </w:tc>
        <w:tc>
          <w:tcPr>
            <w:tcW w:w="829" w:type="dxa"/>
          </w:tcPr>
          <w:p w14:paraId="44D2E154">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249555</wp:posOffset>
                      </wp:positionH>
                      <wp:positionV relativeFrom="paragraph">
                        <wp:posOffset>192405</wp:posOffset>
                      </wp:positionV>
                      <wp:extent cx="389255" cy="0"/>
                      <wp:effectExtent l="0" t="0" r="0" b="0"/>
                      <wp:wrapNone/>
                      <wp:docPr id="68265176" name="直接连接符 2"/>
                      <wp:cNvGraphicFramePr/>
                      <a:graphic xmlns:a="http://schemas.openxmlformats.org/drawingml/2006/main">
                        <a:graphicData uri="http://schemas.microsoft.com/office/word/2010/wordprocessingShape">
                          <wps:wsp>
                            <wps:cNvCnPr/>
                            <wps:spPr>
                              <a:xfrm>
                                <a:off x="0" y="0"/>
                                <a:ext cx="389467"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 o:spid="_x0000_s1026" o:spt="20" style="position:absolute;left:0pt;margin-left:19.65pt;margin-top:15.15pt;height:0pt;width:30.65pt;z-index:251667456;mso-width-relative:page;mso-height-relative:page;" filled="f" stroked="t" coordsize="21600,21600" o:gfxdata="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g+ZrS&#10;AAAACAEAAA8AAAAAAAAAAQAgAAAAIgAAAGRycy9kb3ducmV2LnhtbFBLAQIUABQAAAAIAIdO4kAA&#10;aWIk7QEAALkDAAAOAAAAAAAAAAEAIAAAACEBAABkcnMvZTJvRG9jLnhtbFBLBQYAAAAABgAGAFkB&#10;AACABQAAAAA=&#10;">
                      <v:fill on="f" focussize="0,0"/>
                      <v:stroke weight="2pt" color="#000000 [3213]" miterlimit="8" joinstyle="miter" dashstyle="1 1"/>
                      <v:imagedata o:title=""/>
                      <o:lock v:ext="edit" aspectratio="f"/>
                    </v:line>
                  </w:pict>
                </mc:Fallback>
              </mc:AlternateContent>
            </w:r>
          </w:p>
        </w:tc>
        <w:tc>
          <w:tcPr>
            <w:tcW w:w="977" w:type="dxa"/>
          </w:tcPr>
          <w:p w14:paraId="691B3DFD">
            <w:pPr>
              <w:pStyle w:val="34"/>
              <w:rPr>
                <w:color w:val="000000" w:themeColor="text1"/>
                <w14:textFill>
                  <w14:solidFill>
                    <w14:schemeClr w14:val="tx1"/>
                  </w14:solidFill>
                </w14:textFill>
              </w:rPr>
            </w:pPr>
          </w:p>
        </w:tc>
        <w:tc>
          <w:tcPr>
            <w:tcW w:w="843" w:type="dxa"/>
          </w:tcPr>
          <w:p w14:paraId="55260806">
            <w:pPr>
              <w:pStyle w:val="34"/>
              <w:rPr>
                <w:color w:val="000000" w:themeColor="text1"/>
                <w14:textFill>
                  <w14:solidFill>
                    <w14:schemeClr w14:val="tx1"/>
                  </w14:solidFill>
                </w14:textFill>
              </w:rPr>
            </w:pPr>
          </w:p>
        </w:tc>
        <w:tc>
          <w:tcPr>
            <w:tcW w:w="915" w:type="dxa"/>
            <w:vAlign w:val="center"/>
          </w:tcPr>
          <w:p w14:paraId="2F0EA459">
            <w:pPr>
              <w:pStyle w:val="34"/>
              <w:rPr>
                <w:color w:val="000000" w:themeColor="text1"/>
                <w14:textFill>
                  <w14:solidFill>
                    <w14:schemeClr w14:val="tx1"/>
                  </w14:solidFill>
                </w14:textFill>
              </w:rPr>
            </w:pPr>
          </w:p>
        </w:tc>
        <w:tc>
          <w:tcPr>
            <w:tcW w:w="915" w:type="dxa"/>
          </w:tcPr>
          <w:p w14:paraId="5FC3BFD3">
            <w:pPr>
              <w:pStyle w:val="34"/>
              <w:rPr>
                <w:color w:val="000000" w:themeColor="text1"/>
                <w14:textFill>
                  <w14:solidFill>
                    <w14:schemeClr w14:val="tx1"/>
                  </w14:solidFill>
                </w14:textFill>
              </w:rPr>
            </w:pPr>
          </w:p>
        </w:tc>
        <w:tc>
          <w:tcPr>
            <w:tcW w:w="983" w:type="dxa"/>
          </w:tcPr>
          <w:p w14:paraId="1E882251">
            <w:pPr>
              <w:pStyle w:val="34"/>
              <w:rPr>
                <w:color w:val="000000" w:themeColor="text1"/>
                <w14:textFill>
                  <w14:solidFill>
                    <w14:schemeClr w14:val="tx1"/>
                  </w14:solidFill>
                </w14:textFill>
              </w:rPr>
            </w:pPr>
          </w:p>
        </w:tc>
      </w:tr>
      <w:tr w14:paraId="65101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restart"/>
            <w:vAlign w:val="center"/>
          </w:tcPr>
          <w:p w14:paraId="4B3E11C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建构筑物工程区</w:t>
            </w:r>
          </w:p>
        </w:tc>
        <w:tc>
          <w:tcPr>
            <w:tcW w:w="1625" w:type="dxa"/>
            <w:vAlign w:val="center"/>
          </w:tcPr>
          <w:p w14:paraId="273C44C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建筑物主体</w:t>
            </w:r>
            <w:r>
              <w:rPr>
                <w:color w:val="000000" w:themeColor="text1"/>
                <w14:textFill>
                  <w14:solidFill>
                    <w14:schemeClr w14:val="tx1"/>
                  </w14:solidFill>
                </w14:textFill>
              </w:rPr>
              <w:t>施工</w:t>
            </w:r>
          </w:p>
        </w:tc>
        <w:tc>
          <w:tcPr>
            <w:tcW w:w="750" w:type="dxa"/>
            <w:vAlign w:val="center"/>
          </w:tcPr>
          <w:p w14:paraId="4E273F17">
            <w:pPr>
              <w:pStyle w:val="34"/>
              <w:rPr>
                <w:color w:val="000000" w:themeColor="text1"/>
                <w14:textFill>
                  <w14:solidFill>
                    <w14:schemeClr w14:val="tx1"/>
                  </w14:solidFill>
                </w14:textFill>
              </w:rPr>
            </w:pPr>
          </w:p>
        </w:tc>
        <w:tc>
          <w:tcPr>
            <w:tcW w:w="829" w:type="dxa"/>
          </w:tcPr>
          <w:p w14:paraId="52AC230E">
            <w:pPr>
              <w:pStyle w:val="34"/>
              <w:rPr>
                <w:color w:val="000000" w:themeColor="text1"/>
                <w14:textFill>
                  <w14:solidFill>
                    <w14:schemeClr w14:val="tx1"/>
                  </w14:solidFill>
                </w14:textFill>
              </w:rPr>
            </w:pPr>
          </w:p>
        </w:tc>
        <w:tc>
          <w:tcPr>
            <w:tcW w:w="977" w:type="dxa"/>
          </w:tcPr>
          <w:p w14:paraId="30C9B7CA">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198755</wp:posOffset>
                      </wp:positionH>
                      <wp:positionV relativeFrom="paragraph">
                        <wp:posOffset>116205</wp:posOffset>
                      </wp:positionV>
                      <wp:extent cx="1478915" cy="0"/>
                      <wp:effectExtent l="0" t="12700" r="6985" b="15875"/>
                      <wp:wrapNone/>
                      <wp:docPr id="1448203734" name="直接连接符 1"/>
                      <wp:cNvGraphicFramePr/>
                      <a:graphic xmlns:a="http://schemas.openxmlformats.org/drawingml/2006/main">
                        <a:graphicData uri="http://schemas.microsoft.com/office/word/2010/wordprocessingShape">
                          <wps:wsp>
                            <wps:cNvCnPr/>
                            <wps:spPr>
                              <a:xfrm>
                                <a:off x="0" y="0"/>
                                <a:ext cx="1478915"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 o:spid="_x0000_s1026" o:spt="20" style="position:absolute;left:0pt;margin-left:15.65pt;margin-top:9.15pt;height:0pt;width:116.45pt;z-index:251668480;mso-width-relative:page;mso-height-relative:page;" filled="f" stroked="t" coordsize="21600,21600" o:gfxdata="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8&#10;vz0v1gAAAAgBAAAPAAAAAAAAAAEAIAAAACIAAABkcnMvZG93bnJldi54bWxQSwECFAAUAAAACACH&#10;TuJAGShGCu0BAAC7AwAADgAAAAAAAAABACAAAAAlAQAAZHJzL2Uyb0RvYy54bWxQSwUGAAAAAAYA&#10;BgBZAQAAhAUAAAAA&#10;">
                      <v:fill on="f" focussize="0,0"/>
                      <v:stroke weight="2pt" color="#000000 [3213]" miterlimit="8" joinstyle="miter"/>
                      <v:imagedata o:title=""/>
                      <o:lock v:ext="edit" aspectratio="f"/>
                    </v:line>
                  </w:pict>
                </mc:Fallback>
              </mc:AlternateContent>
            </w:r>
          </w:p>
        </w:tc>
        <w:tc>
          <w:tcPr>
            <w:tcW w:w="843" w:type="dxa"/>
          </w:tcPr>
          <w:p w14:paraId="459C82D8">
            <w:pPr>
              <w:pStyle w:val="34"/>
              <w:rPr>
                <w:color w:val="000000" w:themeColor="text1"/>
                <w14:textFill>
                  <w14:solidFill>
                    <w14:schemeClr w14:val="tx1"/>
                  </w14:solidFill>
                </w14:textFill>
              </w:rPr>
            </w:pPr>
          </w:p>
        </w:tc>
        <w:tc>
          <w:tcPr>
            <w:tcW w:w="915" w:type="dxa"/>
            <w:vAlign w:val="center"/>
          </w:tcPr>
          <w:p w14:paraId="205476BB">
            <w:pPr>
              <w:pStyle w:val="34"/>
              <w:rPr>
                <w:color w:val="000000" w:themeColor="text1"/>
                <w14:textFill>
                  <w14:solidFill>
                    <w14:schemeClr w14:val="tx1"/>
                  </w14:solidFill>
                </w14:textFill>
              </w:rPr>
            </w:pPr>
          </w:p>
        </w:tc>
        <w:tc>
          <w:tcPr>
            <w:tcW w:w="915" w:type="dxa"/>
          </w:tcPr>
          <w:p w14:paraId="635BAABD">
            <w:pPr>
              <w:pStyle w:val="34"/>
              <w:rPr>
                <w:color w:val="000000" w:themeColor="text1"/>
                <w14:textFill>
                  <w14:solidFill>
                    <w14:schemeClr w14:val="tx1"/>
                  </w14:solidFill>
                </w14:textFill>
              </w:rPr>
            </w:pPr>
          </w:p>
        </w:tc>
        <w:tc>
          <w:tcPr>
            <w:tcW w:w="983" w:type="dxa"/>
          </w:tcPr>
          <w:p w14:paraId="408D0519">
            <w:pPr>
              <w:pStyle w:val="34"/>
              <w:rPr>
                <w:color w:val="000000" w:themeColor="text1"/>
                <w14:textFill>
                  <w14:solidFill>
                    <w14:schemeClr w14:val="tx1"/>
                  </w14:solidFill>
                </w14:textFill>
              </w:rPr>
            </w:pPr>
          </w:p>
        </w:tc>
      </w:tr>
      <w:tr w14:paraId="4C692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exact"/>
          <w:jc w:val="center"/>
        </w:trPr>
        <w:tc>
          <w:tcPr>
            <w:tcW w:w="1346" w:type="dxa"/>
            <w:vMerge w:val="continue"/>
          </w:tcPr>
          <w:p w14:paraId="1ED4AB1C">
            <w:pPr>
              <w:pStyle w:val="34"/>
              <w:rPr>
                <w:color w:val="000000" w:themeColor="text1"/>
                <w14:textFill>
                  <w14:solidFill>
                    <w14:schemeClr w14:val="tx1"/>
                  </w14:solidFill>
                </w14:textFill>
              </w:rPr>
            </w:pPr>
          </w:p>
        </w:tc>
        <w:tc>
          <w:tcPr>
            <w:tcW w:w="1625" w:type="dxa"/>
            <w:vAlign w:val="center"/>
          </w:tcPr>
          <w:p w14:paraId="362EBC8E">
            <w:pPr>
              <w:pStyle w:val="34"/>
              <w:rPr>
                <w:rFonts w:hint="eastAsia" w:eastAsia="仿宋_GB2312"/>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表土剥离</w:t>
            </w:r>
          </w:p>
        </w:tc>
        <w:tc>
          <w:tcPr>
            <w:tcW w:w="750" w:type="dxa"/>
            <w:vAlign w:val="center"/>
          </w:tcPr>
          <w:p w14:paraId="1F261B28">
            <w:pPr>
              <w:pStyle w:val="34"/>
              <w:rPr>
                <w:color w:val="000000" w:themeColor="text1"/>
                <w14:textFill>
                  <w14:solidFill>
                    <w14:schemeClr w14:val="tx1"/>
                  </w14:solidFill>
                </w14:textFill>
              </w:rPr>
            </w:pPr>
          </w:p>
        </w:tc>
        <w:tc>
          <w:tcPr>
            <w:tcW w:w="829" w:type="dxa"/>
          </w:tcPr>
          <w:p w14:paraId="378ABEBF">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33655</wp:posOffset>
                      </wp:positionH>
                      <wp:positionV relativeFrom="paragraph">
                        <wp:posOffset>161925</wp:posOffset>
                      </wp:positionV>
                      <wp:extent cx="238760" cy="0"/>
                      <wp:effectExtent l="0" t="12700" r="0" b="12700"/>
                      <wp:wrapNone/>
                      <wp:docPr id="3" name="直接连接符 2"/>
                      <wp:cNvGraphicFramePr/>
                      <a:graphic xmlns:a="http://schemas.openxmlformats.org/drawingml/2006/main">
                        <a:graphicData uri="http://schemas.microsoft.com/office/word/2010/wordprocessingShape">
                          <wps:wsp>
                            <wps:cNvCnPr/>
                            <wps:spPr>
                              <a:xfrm>
                                <a:off x="0" y="0"/>
                                <a:ext cx="238760"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 o:spid="_x0000_s1026" o:spt="20" style="position:absolute;left:0pt;margin-left:2.65pt;margin-top:12.75pt;height:0pt;width:18.8pt;z-index:251687936;mso-width-relative:page;mso-height-relative:page;" filled="f" stroked="t" coordsize="21600,21600" o:gfxdata="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SzTaw0wAAAAYBAAAP&#10;AAAAAAAAAAEAIAAAACIAAABkcnMvZG93bnJldi54bWxQSwECFAAUAAAACACHTuJAP5/yRuQBAACy&#10;AwAADgAAAAAAAAABACAAAAAiAQAAZHJzL2Uyb0RvYy54bWxQSwUGAAAAAAYABgBZAQAAeAUAAAAA&#10;">
                      <v:fill on="f" focussize="0,0"/>
                      <v:stroke weight="2pt" color="#000000 [3213]" miterlimit="8" joinstyle="miter" dashstyle="1 1"/>
                      <v:imagedata o:title=""/>
                      <o:lock v:ext="edit" aspectratio="f"/>
                    </v:line>
                  </w:pict>
                </mc:Fallback>
              </mc:AlternateContent>
            </w:r>
          </w:p>
        </w:tc>
        <w:tc>
          <w:tcPr>
            <w:tcW w:w="977" w:type="dxa"/>
          </w:tcPr>
          <w:p w14:paraId="15C2B579">
            <w:pPr>
              <w:pStyle w:val="34"/>
              <w:rPr>
                <w:color w:val="000000" w:themeColor="text1"/>
                <w14:textFill>
                  <w14:solidFill>
                    <w14:schemeClr w14:val="tx1"/>
                  </w14:solidFill>
                </w14:textFill>
              </w:rPr>
            </w:pPr>
          </w:p>
        </w:tc>
        <w:tc>
          <w:tcPr>
            <w:tcW w:w="843" w:type="dxa"/>
          </w:tcPr>
          <w:p w14:paraId="7D5962C0">
            <w:pPr>
              <w:pStyle w:val="34"/>
              <w:rPr>
                <w:color w:val="000000" w:themeColor="text1"/>
                <w14:textFill>
                  <w14:solidFill>
                    <w14:schemeClr w14:val="tx1"/>
                  </w14:solidFill>
                </w14:textFill>
              </w:rPr>
            </w:pPr>
          </w:p>
        </w:tc>
        <w:tc>
          <w:tcPr>
            <w:tcW w:w="915" w:type="dxa"/>
            <w:vAlign w:val="center"/>
          </w:tcPr>
          <w:p w14:paraId="3C34E94A">
            <w:pPr>
              <w:pStyle w:val="34"/>
              <w:rPr>
                <w:color w:val="000000" w:themeColor="text1"/>
                <w14:textFill>
                  <w14:solidFill>
                    <w14:schemeClr w14:val="tx1"/>
                  </w14:solidFill>
                </w14:textFill>
              </w:rPr>
            </w:pPr>
          </w:p>
        </w:tc>
        <w:tc>
          <w:tcPr>
            <w:tcW w:w="915" w:type="dxa"/>
          </w:tcPr>
          <w:p w14:paraId="40C9022E">
            <w:pPr>
              <w:pStyle w:val="34"/>
              <w:rPr>
                <w:color w:val="000000" w:themeColor="text1"/>
                <w14:textFill>
                  <w14:solidFill>
                    <w14:schemeClr w14:val="tx1"/>
                  </w14:solidFill>
                </w14:textFill>
              </w:rPr>
            </w:pPr>
          </w:p>
        </w:tc>
        <w:tc>
          <w:tcPr>
            <w:tcW w:w="983" w:type="dxa"/>
          </w:tcPr>
          <w:p w14:paraId="05402E8C">
            <w:pPr>
              <w:pStyle w:val="34"/>
              <w:rPr>
                <w:color w:val="000000" w:themeColor="text1"/>
                <w14:textFill>
                  <w14:solidFill>
                    <w14:schemeClr w14:val="tx1"/>
                  </w14:solidFill>
                </w14:textFill>
              </w:rPr>
            </w:pPr>
          </w:p>
        </w:tc>
      </w:tr>
      <w:tr w14:paraId="78B18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exact"/>
          <w:jc w:val="center"/>
        </w:trPr>
        <w:tc>
          <w:tcPr>
            <w:tcW w:w="1346" w:type="dxa"/>
            <w:vMerge w:val="continue"/>
          </w:tcPr>
          <w:p w14:paraId="1B1F31B6">
            <w:pPr>
              <w:pStyle w:val="34"/>
              <w:rPr>
                <w:color w:val="000000" w:themeColor="text1"/>
                <w14:textFill>
                  <w14:solidFill>
                    <w14:schemeClr w14:val="tx1"/>
                  </w14:solidFill>
                </w14:textFill>
              </w:rPr>
            </w:pPr>
          </w:p>
        </w:tc>
        <w:tc>
          <w:tcPr>
            <w:tcW w:w="1625" w:type="dxa"/>
            <w:vAlign w:val="center"/>
          </w:tcPr>
          <w:p w14:paraId="5FB50CF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临时排水沟、沉沙池</w:t>
            </w:r>
          </w:p>
        </w:tc>
        <w:tc>
          <w:tcPr>
            <w:tcW w:w="750" w:type="dxa"/>
            <w:vAlign w:val="center"/>
          </w:tcPr>
          <w:p w14:paraId="3FBF379F">
            <w:pPr>
              <w:pStyle w:val="34"/>
              <w:rPr>
                <w:color w:val="000000" w:themeColor="text1"/>
                <w14:textFill>
                  <w14:solidFill>
                    <w14:schemeClr w14:val="tx1"/>
                  </w14:solidFill>
                </w14:textFill>
              </w:rPr>
            </w:pPr>
          </w:p>
        </w:tc>
        <w:tc>
          <w:tcPr>
            <w:tcW w:w="829" w:type="dxa"/>
          </w:tcPr>
          <w:p w14:paraId="25C5AB13">
            <w:pPr>
              <w:pStyle w:val="34"/>
              <w:rPr>
                <w:color w:val="000000" w:themeColor="text1"/>
                <w14:textFill>
                  <w14:solidFill>
                    <w14:schemeClr w14:val="tx1"/>
                  </w14:solidFill>
                </w14:textFill>
              </w:rPr>
            </w:pPr>
          </w:p>
        </w:tc>
        <w:tc>
          <w:tcPr>
            <w:tcW w:w="977" w:type="dxa"/>
          </w:tcPr>
          <w:p w14:paraId="2B40C95A">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139065</wp:posOffset>
                      </wp:positionH>
                      <wp:positionV relativeFrom="paragraph">
                        <wp:posOffset>195580</wp:posOffset>
                      </wp:positionV>
                      <wp:extent cx="719455" cy="0"/>
                      <wp:effectExtent l="0" t="0" r="0" b="0"/>
                      <wp:wrapNone/>
                      <wp:docPr id="801840955" name="直接连接符 3"/>
                      <wp:cNvGraphicFramePr/>
                      <a:graphic xmlns:a="http://schemas.openxmlformats.org/drawingml/2006/main">
                        <a:graphicData uri="http://schemas.microsoft.com/office/word/2010/wordprocessingShape">
                          <wps:wsp>
                            <wps:cNvCnPr/>
                            <wps:spPr>
                              <a:xfrm>
                                <a:off x="0" y="0"/>
                                <a:ext cx="719667"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 o:spid="_x0000_s1026" o:spt="20" style="position:absolute;left:0pt;margin-left:10.95pt;margin-top:15.4pt;height:0pt;width:56.65pt;z-index:251669504;mso-width-relative:page;mso-height-relative:page;" filled="f" stroked="t" coordsize="21600,21600" o:gfxdata="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1EcqWtUAAAAIAQAADwAAAAAAAAABACAAAAAiAAAAZHJzL2Rvd25yZXYueG1sUEsBAhQAFAAAAAgA&#10;h07iQK28qNDvAQAAugMAAA4AAAAAAAAAAQAgAAAAJAEAAGRycy9lMm9Eb2MueG1sUEsFBgAAAAAG&#10;AAYAWQEAAIUFAAAAAA==&#10;">
                      <v:fill on="f" focussize="0,0"/>
                      <v:stroke weight="2pt" color="#000000 [3213]" miterlimit="8" joinstyle="miter" dashstyle="1 1"/>
                      <v:imagedata o:title=""/>
                      <o:lock v:ext="edit" aspectratio="f"/>
                    </v:line>
                  </w:pict>
                </mc:Fallback>
              </mc:AlternateContent>
            </w:r>
          </w:p>
        </w:tc>
        <w:tc>
          <w:tcPr>
            <w:tcW w:w="843" w:type="dxa"/>
          </w:tcPr>
          <w:p w14:paraId="6F79462D">
            <w:pPr>
              <w:pStyle w:val="34"/>
              <w:rPr>
                <w:color w:val="000000" w:themeColor="text1"/>
                <w14:textFill>
                  <w14:solidFill>
                    <w14:schemeClr w14:val="tx1"/>
                  </w14:solidFill>
                </w14:textFill>
              </w:rPr>
            </w:pPr>
          </w:p>
        </w:tc>
        <w:tc>
          <w:tcPr>
            <w:tcW w:w="915" w:type="dxa"/>
            <w:vAlign w:val="center"/>
          </w:tcPr>
          <w:p w14:paraId="1A862D4D">
            <w:pPr>
              <w:pStyle w:val="34"/>
              <w:rPr>
                <w:color w:val="000000" w:themeColor="text1"/>
                <w14:textFill>
                  <w14:solidFill>
                    <w14:schemeClr w14:val="tx1"/>
                  </w14:solidFill>
                </w14:textFill>
              </w:rPr>
            </w:pPr>
          </w:p>
        </w:tc>
        <w:tc>
          <w:tcPr>
            <w:tcW w:w="915" w:type="dxa"/>
          </w:tcPr>
          <w:p w14:paraId="2884ADAE">
            <w:pPr>
              <w:pStyle w:val="34"/>
              <w:rPr>
                <w:color w:val="000000" w:themeColor="text1"/>
                <w14:textFill>
                  <w14:solidFill>
                    <w14:schemeClr w14:val="tx1"/>
                  </w14:solidFill>
                </w14:textFill>
              </w:rPr>
            </w:pPr>
          </w:p>
        </w:tc>
        <w:tc>
          <w:tcPr>
            <w:tcW w:w="983" w:type="dxa"/>
          </w:tcPr>
          <w:p w14:paraId="5DBDB47B">
            <w:pPr>
              <w:pStyle w:val="34"/>
              <w:rPr>
                <w:color w:val="000000" w:themeColor="text1"/>
                <w14:textFill>
                  <w14:solidFill>
                    <w14:schemeClr w14:val="tx1"/>
                  </w14:solidFill>
                </w14:textFill>
              </w:rPr>
            </w:pPr>
          </w:p>
        </w:tc>
      </w:tr>
      <w:tr w14:paraId="71C1A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tcPr>
          <w:p w14:paraId="1112CE47">
            <w:pPr>
              <w:pStyle w:val="34"/>
              <w:rPr>
                <w:color w:val="000000" w:themeColor="text1"/>
                <w14:textFill>
                  <w14:solidFill>
                    <w14:schemeClr w14:val="tx1"/>
                  </w14:solidFill>
                </w14:textFill>
              </w:rPr>
            </w:pPr>
          </w:p>
        </w:tc>
        <w:tc>
          <w:tcPr>
            <w:tcW w:w="1625" w:type="dxa"/>
            <w:vAlign w:val="center"/>
          </w:tcPr>
          <w:p w14:paraId="198022B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密目网苫盖</w:t>
            </w:r>
          </w:p>
        </w:tc>
        <w:tc>
          <w:tcPr>
            <w:tcW w:w="750" w:type="dxa"/>
            <w:vAlign w:val="center"/>
          </w:tcPr>
          <w:p w14:paraId="63C033F9">
            <w:pPr>
              <w:pStyle w:val="34"/>
              <w:rPr>
                <w:color w:val="000000" w:themeColor="text1"/>
                <w14:textFill>
                  <w14:solidFill>
                    <w14:schemeClr w14:val="tx1"/>
                  </w14:solidFill>
                </w14:textFill>
              </w:rPr>
            </w:pPr>
          </w:p>
        </w:tc>
        <w:tc>
          <w:tcPr>
            <w:tcW w:w="829" w:type="dxa"/>
          </w:tcPr>
          <w:p w14:paraId="5F96B677">
            <w:pPr>
              <w:pStyle w:val="34"/>
              <w:rPr>
                <w:color w:val="000000" w:themeColor="text1"/>
                <w14:textFill>
                  <w14:solidFill>
                    <w14:schemeClr w14:val="tx1"/>
                  </w14:solidFill>
                </w14:textFill>
              </w:rPr>
            </w:pPr>
          </w:p>
        </w:tc>
        <w:tc>
          <w:tcPr>
            <w:tcW w:w="977" w:type="dxa"/>
          </w:tcPr>
          <w:p w14:paraId="33E2D95C">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125095</wp:posOffset>
                      </wp:positionH>
                      <wp:positionV relativeFrom="paragraph">
                        <wp:posOffset>130810</wp:posOffset>
                      </wp:positionV>
                      <wp:extent cx="1565275" cy="0"/>
                      <wp:effectExtent l="0" t="12700" r="15875" b="15875"/>
                      <wp:wrapNone/>
                      <wp:docPr id="1736654345" name="直接连接符 4"/>
                      <wp:cNvGraphicFramePr/>
                      <a:graphic xmlns:a="http://schemas.openxmlformats.org/drawingml/2006/main">
                        <a:graphicData uri="http://schemas.microsoft.com/office/word/2010/wordprocessingShape">
                          <wps:wsp>
                            <wps:cNvCnPr/>
                            <wps:spPr>
                              <a:xfrm>
                                <a:off x="0" y="0"/>
                                <a:ext cx="1565275"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4" o:spid="_x0000_s1026" o:spt="20" style="position:absolute;left:0pt;margin-left:9.85pt;margin-top:10.3pt;height:0pt;width:123.25pt;z-index:251670528;mso-width-relative:page;mso-height-relative:page;" filled="f" stroked="t" coordsize="21600,21600" o:gfxdata="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p&#10;WQ/91AAAAAgBAAAPAAAAAAAAAAEAIAAAACIAAABkcnMvZG93bnJldi54bWxQSwECFAAUAAAACACH&#10;TuJAeYsdnO8BAAC8AwAADgAAAAAAAAABACAAAAAjAQAAZHJzL2Uyb0RvYy54bWxQSwUGAAAAAAYA&#10;BgBZAQAAhAUAAAAA&#10;">
                      <v:fill on="f" focussize="0,0"/>
                      <v:stroke weight="2pt" color="#000000 [3213]" miterlimit="8" joinstyle="miter" dashstyle="1 1"/>
                      <v:imagedata o:title=""/>
                      <o:lock v:ext="edit" aspectratio="f"/>
                    </v:line>
                  </w:pict>
                </mc:Fallback>
              </mc:AlternateContent>
            </w:r>
          </w:p>
        </w:tc>
        <w:tc>
          <w:tcPr>
            <w:tcW w:w="843" w:type="dxa"/>
          </w:tcPr>
          <w:p w14:paraId="20B96801">
            <w:pPr>
              <w:pStyle w:val="34"/>
              <w:rPr>
                <w:color w:val="000000" w:themeColor="text1"/>
                <w14:textFill>
                  <w14:solidFill>
                    <w14:schemeClr w14:val="tx1"/>
                  </w14:solidFill>
                </w14:textFill>
              </w:rPr>
            </w:pPr>
          </w:p>
        </w:tc>
        <w:tc>
          <w:tcPr>
            <w:tcW w:w="915" w:type="dxa"/>
            <w:vAlign w:val="center"/>
          </w:tcPr>
          <w:p w14:paraId="03D7B014">
            <w:pPr>
              <w:pStyle w:val="34"/>
              <w:rPr>
                <w:color w:val="000000" w:themeColor="text1"/>
                <w14:textFill>
                  <w14:solidFill>
                    <w14:schemeClr w14:val="tx1"/>
                  </w14:solidFill>
                </w14:textFill>
              </w:rPr>
            </w:pPr>
          </w:p>
        </w:tc>
        <w:tc>
          <w:tcPr>
            <w:tcW w:w="915" w:type="dxa"/>
          </w:tcPr>
          <w:p w14:paraId="048AAE36">
            <w:pPr>
              <w:pStyle w:val="34"/>
              <w:rPr>
                <w:color w:val="000000" w:themeColor="text1"/>
                <w14:textFill>
                  <w14:solidFill>
                    <w14:schemeClr w14:val="tx1"/>
                  </w14:solidFill>
                </w14:textFill>
              </w:rPr>
            </w:pPr>
          </w:p>
        </w:tc>
        <w:tc>
          <w:tcPr>
            <w:tcW w:w="983" w:type="dxa"/>
          </w:tcPr>
          <w:p w14:paraId="69C86049">
            <w:pPr>
              <w:pStyle w:val="34"/>
              <w:rPr>
                <w:color w:val="000000" w:themeColor="text1"/>
                <w14:textFill>
                  <w14:solidFill>
                    <w14:schemeClr w14:val="tx1"/>
                  </w14:solidFill>
                </w14:textFill>
              </w:rPr>
            </w:pPr>
          </w:p>
        </w:tc>
      </w:tr>
      <w:tr w14:paraId="5499E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exact"/>
          <w:jc w:val="center"/>
        </w:trPr>
        <w:tc>
          <w:tcPr>
            <w:tcW w:w="1346" w:type="dxa"/>
            <w:vMerge w:val="restart"/>
            <w:vAlign w:val="center"/>
          </w:tcPr>
          <w:p w14:paraId="4AABE353">
            <w:pPr>
              <w:pStyle w:val="34"/>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场内道路及硬化工程区</w:t>
            </w:r>
          </w:p>
        </w:tc>
        <w:tc>
          <w:tcPr>
            <w:tcW w:w="1625" w:type="dxa"/>
            <w:vAlign w:val="center"/>
          </w:tcPr>
          <w:p w14:paraId="3F3CC85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道路广场、停车场及</w:t>
            </w:r>
            <w:r>
              <w:rPr>
                <w:color w:val="000000" w:themeColor="text1"/>
                <w14:textFill>
                  <w14:solidFill>
                    <w14:schemeClr w14:val="tx1"/>
                  </w14:solidFill>
                </w14:textFill>
              </w:rPr>
              <w:t>硬化</w:t>
            </w:r>
            <w:r>
              <w:rPr>
                <w:rFonts w:hint="eastAsia"/>
                <w:color w:val="000000" w:themeColor="text1"/>
                <w14:textFill>
                  <w14:solidFill>
                    <w14:schemeClr w14:val="tx1"/>
                  </w14:solidFill>
                </w14:textFill>
              </w:rPr>
              <w:t>工程区</w:t>
            </w:r>
            <w:r>
              <w:rPr>
                <w:color w:val="000000" w:themeColor="text1"/>
                <w14:textFill>
                  <w14:solidFill>
                    <w14:schemeClr w14:val="tx1"/>
                  </w14:solidFill>
                </w14:textFill>
              </w:rPr>
              <w:t>施工</w:t>
            </w:r>
          </w:p>
        </w:tc>
        <w:tc>
          <w:tcPr>
            <w:tcW w:w="750" w:type="dxa"/>
            <w:vAlign w:val="center"/>
          </w:tcPr>
          <w:p w14:paraId="19DE5546">
            <w:pPr>
              <w:pStyle w:val="34"/>
              <w:rPr>
                <w:color w:val="000000" w:themeColor="text1"/>
                <w14:textFill>
                  <w14:solidFill>
                    <w14:schemeClr w14:val="tx1"/>
                  </w14:solidFill>
                </w14:textFill>
              </w:rPr>
            </w:pPr>
          </w:p>
        </w:tc>
        <w:tc>
          <w:tcPr>
            <w:tcW w:w="829" w:type="dxa"/>
          </w:tcPr>
          <w:p w14:paraId="017A2398">
            <w:pPr>
              <w:pStyle w:val="34"/>
              <w:rPr>
                <w:color w:val="000000" w:themeColor="text1"/>
                <w14:textFill>
                  <w14:solidFill>
                    <w14:schemeClr w14:val="tx1"/>
                  </w14:solidFill>
                </w14:textFill>
              </w:rPr>
            </w:pPr>
          </w:p>
        </w:tc>
        <w:tc>
          <w:tcPr>
            <w:tcW w:w="977" w:type="dxa"/>
          </w:tcPr>
          <w:p w14:paraId="45B4246F">
            <w:pPr>
              <w:pStyle w:val="34"/>
              <w:rPr>
                <w:color w:val="000000" w:themeColor="text1"/>
                <w14:textFill>
                  <w14:solidFill>
                    <w14:schemeClr w14:val="tx1"/>
                  </w14:solidFill>
                </w14:textFill>
              </w:rPr>
            </w:pPr>
          </w:p>
        </w:tc>
        <w:tc>
          <w:tcPr>
            <w:tcW w:w="843" w:type="dxa"/>
          </w:tcPr>
          <w:p w14:paraId="2AE6823B">
            <w:pPr>
              <w:pStyle w:val="34"/>
              <w:rPr>
                <w:color w:val="000000" w:themeColor="text1"/>
                <w14:textFill>
                  <w14:solidFill>
                    <w14:schemeClr w14:val="tx1"/>
                  </w14:solidFill>
                </w14:textFill>
              </w:rPr>
            </w:pPr>
          </w:p>
        </w:tc>
        <w:tc>
          <w:tcPr>
            <w:tcW w:w="915" w:type="dxa"/>
            <w:vAlign w:val="center"/>
          </w:tcPr>
          <w:p w14:paraId="681ED072">
            <w:pPr>
              <w:pStyle w:val="34"/>
              <w:rPr>
                <w:color w:val="000000" w:themeColor="text1"/>
                <w14:textFill>
                  <w14:solidFill>
                    <w14:schemeClr w14:val="tx1"/>
                  </w14:solidFill>
                </w14:textFill>
              </w:rPr>
            </w:pPr>
          </w:p>
        </w:tc>
        <w:tc>
          <w:tcPr>
            <w:tcW w:w="915" w:type="dxa"/>
          </w:tcPr>
          <w:p w14:paraId="012F9C68">
            <w:pPr>
              <w:pStyle w:val="34"/>
              <w:rPr>
                <w:color w:val="000000" w:themeColor="text1"/>
                <w14:textFill>
                  <w14:solidFill>
                    <w14:schemeClr w14:val="tx1"/>
                  </w14:solidFill>
                </w14:textFill>
              </w:rPr>
            </w:pPr>
          </w:p>
        </w:tc>
        <w:tc>
          <w:tcPr>
            <w:tcW w:w="983" w:type="dxa"/>
          </w:tcPr>
          <w:p w14:paraId="71869033">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-508635</wp:posOffset>
                      </wp:positionH>
                      <wp:positionV relativeFrom="paragraph">
                        <wp:posOffset>169545</wp:posOffset>
                      </wp:positionV>
                      <wp:extent cx="988695" cy="0"/>
                      <wp:effectExtent l="0" t="12700" r="1905" b="15875"/>
                      <wp:wrapNone/>
                      <wp:docPr id="1860196760" name="AutoShape 226"/>
                      <wp:cNvGraphicFramePr/>
                      <a:graphic xmlns:a="http://schemas.openxmlformats.org/drawingml/2006/main">
                        <a:graphicData uri="http://schemas.microsoft.com/office/word/2010/wordprocessingShape">
                          <wps:wsp>
                            <wps:cNvCnPr>
                              <a:cxnSpLocks noChangeShapeType="1"/>
                            </wps:cNvCnPr>
                            <wps:spPr bwMode="auto">
                              <a:xfrm>
                                <a:off x="0" y="0"/>
                                <a:ext cx="988695" cy="0"/>
                              </a:xfrm>
                              <a:prstGeom prst="straightConnector1">
                                <a:avLst/>
                              </a:prstGeom>
                              <a:noFill/>
                              <a:ln w="25400">
                                <a:solidFill>
                                  <a:srgbClr val="000000"/>
                                </a:solidFill>
                                <a:round/>
                              </a:ln>
                            </wps:spPr>
                            <wps:bodyPr/>
                          </wps:wsp>
                        </a:graphicData>
                      </a:graphic>
                    </wp:anchor>
                  </w:drawing>
                </mc:Choice>
                <mc:Fallback>
                  <w:pict>
                    <v:shape id="AutoShape 226" o:spid="_x0000_s1026" o:spt="32" type="#_x0000_t32" style="position:absolute;left:0pt;margin-left:-40.05pt;margin-top:13.35pt;height:0pt;width:77.85pt;z-index:251671552;mso-width-relative:page;mso-height-relative:page;" filled="f" stroked="t" coordsize="21600,21600" o:gfxdata="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OJA0GjUAAAACAEAAA8AAAAA&#10;AAAAAQAgAAAAIgAAAGRycy9kb3ducmV2LnhtbFBLAQIUABQAAAAIAIdO4kDtvE+V3wEAAL0DAAAO&#10;AAAAAAAAAAEAIAAAACMBAABkcnMvZTJvRG9jLnhtbFBLBQYAAAAABgAGAFkBAAB0BQAAAAA=&#10;">
                      <v:fill on="f" focussize="0,0"/>
                      <v:stroke weight="2pt" color="#000000" joinstyle="round"/>
                      <v:imagedata o:title=""/>
                      <o:lock v:ext="edit" aspectratio="f"/>
                    </v:shape>
                  </w:pict>
                </mc:Fallback>
              </mc:AlternateContent>
            </w:r>
          </w:p>
        </w:tc>
      </w:tr>
      <w:tr w14:paraId="57206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vAlign w:val="center"/>
          </w:tcPr>
          <w:p w14:paraId="1C905B61">
            <w:pPr>
              <w:pStyle w:val="34"/>
              <w:rPr>
                <w:color w:val="000000" w:themeColor="text1"/>
                <w14:textFill>
                  <w14:solidFill>
                    <w14:schemeClr w14:val="tx1"/>
                  </w14:solidFill>
                </w14:textFill>
              </w:rPr>
            </w:pPr>
          </w:p>
        </w:tc>
        <w:tc>
          <w:tcPr>
            <w:tcW w:w="1625" w:type="dxa"/>
            <w:shd w:val="clear" w:color="auto" w:fill="auto"/>
            <w:vAlign w:val="center"/>
          </w:tcPr>
          <w:p w14:paraId="5A9A33C3">
            <w:pPr>
              <w:pStyle w:val="34"/>
              <w:ind w:firstLine="0" w:firstLineChars="0"/>
              <w:rPr>
                <w:rFonts w:hint="eastAsia"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rFonts w:hint="eastAsia"/>
                <w:color w:val="000000" w:themeColor="text1"/>
                <w:lang w:eastAsia="zh-CN"/>
                <w14:textFill>
                  <w14:solidFill>
                    <w14:schemeClr w14:val="tx1"/>
                  </w14:solidFill>
                </w14:textFill>
              </w:rPr>
              <w:t>表土剥离</w:t>
            </w:r>
          </w:p>
        </w:tc>
        <w:tc>
          <w:tcPr>
            <w:tcW w:w="750" w:type="dxa"/>
            <w:shd w:val="clear" w:color="auto" w:fill="auto"/>
            <w:vAlign w:val="center"/>
          </w:tcPr>
          <w:p w14:paraId="0998A2FD">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p>
        </w:tc>
        <w:tc>
          <w:tcPr>
            <w:tcW w:w="829" w:type="dxa"/>
            <w:shd w:val="clear" w:color="auto" w:fill="auto"/>
            <w:vAlign w:val="top"/>
          </w:tcPr>
          <w:p w14:paraId="59EAACAF">
            <w:pPr>
              <w:pStyle w:val="34"/>
              <w:ind w:firstLine="0" w:firstLineChars="0"/>
              <w:rPr>
                <w:rFonts w:ascii="Times New Roman" w:hAnsi="Times New Roman" w:eastAsia="仿宋_GB2312" w:cstheme="minorBidi"/>
                <w:color w:val="000000" w:themeColor="text1"/>
                <w:kern w:val="2"/>
                <w:sz w:val="18"/>
                <w:szCs w:val="21"/>
                <w:lang w:val="en-US" w:eastAsia="zh-CN" w:bidi="ar-SA"/>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33655</wp:posOffset>
                      </wp:positionH>
                      <wp:positionV relativeFrom="paragraph">
                        <wp:posOffset>130175</wp:posOffset>
                      </wp:positionV>
                      <wp:extent cx="238760" cy="0"/>
                      <wp:effectExtent l="0" t="12700" r="0" b="12700"/>
                      <wp:wrapNone/>
                      <wp:docPr id="9" name="直接连接符 2"/>
                      <wp:cNvGraphicFramePr/>
                      <a:graphic xmlns:a="http://schemas.openxmlformats.org/drawingml/2006/main">
                        <a:graphicData uri="http://schemas.microsoft.com/office/word/2010/wordprocessingShape">
                          <wps:wsp>
                            <wps:cNvCnPr/>
                            <wps:spPr>
                              <a:xfrm>
                                <a:off x="0" y="0"/>
                                <a:ext cx="238760"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 o:spid="_x0000_s1026" o:spt="20" style="position:absolute;left:0pt;margin-left:2.65pt;margin-top:10.25pt;height:0pt;width:18.8pt;z-index:251688960;mso-width-relative:page;mso-height-relative:page;" filled="f" stroked="t" coordsize="21600,21600" o:gfxdata="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PkZw20wAAAAYBAAAP&#10;AAAAAAAAAAEAIAAAACIAAABkcnMvZG93bnJldi54bWxQSwECFAAUAAAACACHTuJAYO9XmOQBAACy&#10;AwAADgAAAAAAAAABACAAAAAiAQAAZHJzL2Uyb0RvYy54bWxQSwUGAAAAAAYABgBZAQAAeAUAAAAA&#10;">
                      <v:fill on="f" focussize="0,0"/>
                      <v:stroke weight="2pt" color="#000000 [3213]" miterlimit="8" joinstyle="miter" dashstyle="1 1"/>
                      <v:imagedata o:title=""/>
                      <o:lock v:ext="edit" aspectratio="f"/>
                    </v:line>
                  </w:pict>
                </mc:Fallback>
              </mc:AlternateContent>
            </w:r>
          </w:p>
        </w:tc>
        <w:tc>
          <w:tcPr>
            <w:tcW w:w="977" w:type="dxa"/>
          </w:tcPr>
          <w:p w14:paraId="1A97D075">
            <w:pPr>
              <w:pStyle w:val="34"/>
              <w:rPr>
                <w:color w:val="000000" w:themeColor="text1"/>
                <w14:textFill>
                  <w14:solidFill>
                    <w14:schemeClr w14:val="tx1"/>
                  </w14:solidFill>
                </w14:textFill>
              </w:rPr>
            </w:pPr>
          </w:p>
        </w:tc>
        <w:tc>
          <w:tcPr>
            <w:tcW w:w="843" w:type="dxa"/>
          </w:tcPr>
          <w:p w14:paraId="34EFB9E1">
            <w:pPr>
              <w:pStyle w:val="34"/>
              <w:rPr>
                <w:color w:val="000000" w:themeColor="text1"/>
                <w14:textFill>
                  <w14:solidFill>
                    <w14:schemeClr w14:val="tx1"/>
                  </w14:solidFill>
                </w14:textFill>
              </w:rPr>
            </w:pPr>
          </w:p>
        </w:tc>
        <w:tc>
          <w:tcPr>
            <w:tcW w:w="915" w:type="dxa"/>
            <w:vAlign w:val="center"/>
          </w:tcPr>
          <w:p w14:paraId="4F12E954">
            <w:pPr>
              <w:pStyle w:val="34"/>
              <w:rPr>
                <w:color w:val="000000" w:themeColor="text1"/>
                <w14:textFill>
                  <w14:solidFill>
                    <w14:schemeClr w14:val="tx1"/>
                  </w14:solidFill>
                </w14:textFill>
              </w:rPr>
            </w:pPr>
          </w:p>
        </w:tc>
        <w:tc>
          <w:tcPr>
            <w:tcW w:w="915" w:type="dxa"/>
          </w:tcPr>
          <w:p w14:paraId="21A37A51">
            <w:pPr>
              <w:pStyle w:val="34"/>
              <w:rPr>
                <w:color w:val="000000" w:themeColor="text1"/>
                <w14:textFill>
                  <w14:solidFill>
                    <w14:schemeClr w14:val="tx1"/>
                  </w14:solidFill>
                </w14:textFill>
              </w:rPr>
            </w:pPr>
          </w:p>
        </w:tc>
        <w:tc>
          <w:tcPr>
            <w:tcW w:w="983" w:type="dxa"/>
          </w:tcPr>
          <w:p w14:paraId="35318B60">
            <w:pPr>
              <w:pStyle w:val="34"/>
            </w:pPr>
          </w:p>
        </w:tc>
      </w:tr>
      <w:tr w14:paraId="0CABC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vAlign w:val="center"/>
          </w:tcPr>
          <w:p w14:paraId="107E41C1">
            <w:pPr>
              <w:pStyle w:val="34"/>
              <w:rPr>
                <w:color w:val="000000" w:themeColor="text1"/>
                <w14:textFill>
                  <w14:solidFill>
                    <w14:schemeClr w14:val="tx1"/>
                  </w14:solidFill>
                </w14:textFill>
              </w:rPr>
            </w:pPr>
          </w:p>
        </w:tc>
        <w:tc>
          <w:tcPr>
            <w:tcW w:w="1625" w:type="dxa"/>
            <w:vAlign w:val="center"/>
          </w:tcPr>
          <w:p w14:paraId="690E6A3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雨水管网工程</w:t>
            </w:r>
          </w:p>
        </w:tc>
        <w:tc>
          <w:tcPr>
            <w:tcW w:w="750" w:type="dxa"/>
            <w:vAlign w:val="center"/>
          </w:tcPr>
          <w:p w14:paraId="690ED873">
            <w:pPr>
              <w:pStyle w:val="34"/>
              <w:rPr>
                <w:color w:val="000000" w:themeColor="text1"/>
                <w14:textFill>
                  <w14:solidFill>
                    <w14:schemeClr w14:val="tx1"/>
                  </w14:solidFill>
                </w14:textFill>
              </w:rPr>
            </w:pPr>
          </w:p>
        </w:tc>
        <w:tc>
          <w:tcPr>
            <w:tcW w:w="829" w:type="dxa"/>
          </w:tcPr>
          <w:p w14:paraId="7992A8F6">
            <w:pPr>
              <w:pStyle w:val="34"/>
              <w:rPr>
                <w:color w:val="000000" w:themeColor="text1"/>
                <w14:textFill>
                  <w14:solidFill>
                    <w14:schemeClr w14:val="tx1"/>
                  </w14:solidFill>
                </w14:textFill>
              </w:rPr>
            </w:pPr>
          </w:p>
        </w:tc>
        <w:tc>
          <w:tcPr>
            <w:tcW w:w="977" w:type="dxa"/>
          </w:tcPr>
          <w:p w14:paraId="0A68E8DF">
            <w:pPr>
              <w:pStyle w:val="34"/>
              <w:rPr>
                <w:color w:val="000000" w:themeColor="text1"/>
                <w14:textFill>
                  <w14:solidFill>
                    <w14:schemeClr w14:val="tx1"/>
                  </w14:solidFill>
                </w14:textFill>
              </w:rPr>
            </w:pPr>
          </w:p>
        </w:tc>
        <w:tc>
          <w:tcPr>
            <w:tcW w:w="843" w:type="dxa"/>
          </w:tcPr>
          <w:p w14:paraId="75BA5E18">
            <w:pPr>
              <w:pStyle w:val="34"/>
              <w:rPr>
                <w:color w:val="000000" w:themeColor="text1"/>
                <w14:textFill>
                  <w14:solidFill>
                    <w14:schemeClr w14:val="tx1"/>
                  </w14:solidFill>
                </w14:textFill>
              </w:rPr>
            </w:pPr>
          </w:p>
        </w:tc>
        <w:tc>
          <w:tcPr>
            <w:tcW w:w="915" w:type="dxa"/>
            <w:vAlign w:val="center"/>
          </w:tcPr>
          <w:p w14:paraId="09B8A992">
            <w:pPr>
              <w:pStyle w:val="34"/>
              <w:rPr>
                <w:color w:val="000000" w:themeColor="text1"/>
                <w14:textFill>
                  <w14:solidFill>
                    <w14:schemeClr w14:val="tx1"/>
                  </w14:solidFill>
                </w14:textFill>
              </w:rPr>
            </w:pPr>
          </w:p>
        </w:tc>
        <w:tc>
          <w:tcPr>
            <w:tcW w:w="915" w:type="dxa"/>
          </w:tcPr>
          <w:p w14:paraId="0C4DFA6B">
            <w:pPr>
              <w:pStyle w:val="34"/>
              <w:rPr>
                <w:color w:val="000000" w:themeColor="text1"/>
                <w14:textFill>
                  <w14:solidFill>
                    <w14:schemeClr w14:val="tx1"/>
                  </w14:solidFill>
                </w14:textFill>
              </w:rPr>
            </w:pPr>
          </w:p>
        </w:tc>
        <w:tc>
          <w:tcPr>
            <w:tcW w:w="983" w:type="dxa"/>
          </w:tcPr>
          <w:p w14:paraId="6E0878B2">
            <w:pPr>
              <w:pStyle w:val="34"/>
              <w:rPr>
                <w:color w:val="000000" w:themeColor="text1"/>
                <w14:textFill>
                  <w14:solidFill>
                    <w14:schemeClr w14:val="tx1"/>
                  </w14:solidFill>
                </w14:textFill>
              </w:rPr>
            </w:pPr>
            <w:r>
              <mc:AlternateContent>
                <mc:Choice Requires="wps">
                  <w:drawing>
                    <wp:anchor distT="0" distB="0" distL="114300" distR="114300" simplePos="0" relativeHeight="251674624" behindDoc="0" locked="0" layoutInCell="1" allowOverlap="1">
                      <wp:simplePos x="0" y="0"/>
                      <wp:positionH relativeFrom="column">
                        <wp:posOffset>141605</wp:posOffset>
                      </wp:positionH>
                      <wp:positionV relativeFrom="paragraph">
                        <wp:posOffset>124460</wp:posOffset>
                      </wp:positionV>
                      <wp:extent cx="262255" cy="0"/>
                      <wp:effectExtent l="0" t="9525" r="0" b="9525"/>
                      <wp:wrapNone/>
                      <wp:docPr id="41" name="直接连接符 41"/>
                      <wp:cNvGraphicFramePr/>
                      <a:graphic xmlns:a="http://schemas.openxmlformats.org/drawingml/2006/main">
                        <a:graphicData uri="http://schemas.microsoft.com/office/word/2010/wordprocessingShape">
                          <wps:wsp>
                            <wps:cNvCnPr/>
                            <wps:spPr>
                              <a:xfrm>
                                <a:off x="0" y="0"/>
                                <a:ext cx="262255" cy="0"/>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1.15pt;margin-top:9.8pt;height:0pt;width:20.65pt;z-index:251674624;mso-width-relative:page;mso-height-relative:page;" filled="f" stroked="t" coordsize="21600,21600" o:gfxdata="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ZMtDE1gAA&#10;AAcBAAAPAAAAAAAAAAEAIAAAACIAAABkcnMvZG93bnJldi54bWxQSwECFAAUAAAACACHTuJAWlKn&#10;2ecBAAC1AwAADgAAAAAAAAABACAAAAAlAQAAZHJzL2Uyb0RvYy54bWxQSwUGAAAAAAYABgBZAQAA&#10;fgUAAAAA&#10;">
                      <v:fill on="f" focussize="0,0"/>
                      <v:stroke weight="1.5pt" color="#000000 [3213]" miterlimit="8" joinstyle="miter" dashstyle="3 1"/>
                      <v:imagedata o:title=""/>
                      <o:lock v:ext="edit" aspectratio="f"/>
                    </v:line>
                  </w:pict>
                </mc:Fallback>
              </mc:AlternateContent>
            </w:r>
          </w:p>
        </w:tc>
      </w:tr>
      <w:tr w14:paraId="6B9E6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tcPr>
          <w:p w14:paraId="790CE033">
            <w:pPr>
              <w:pStyle w:val="34"/>
              <w:rPr>
                <w:color w:val="000000" w:themeColor="text1"/>
                <w14:textFill>
                  <w14:solidFill>
                    <w14:schemeClr w14:val="tx1"/>
                  </w14:solidFill>
                </w14:textFill>
              </w:rPr>
            </w:pPr>
          </w:p>
        </w:tc>
        <w:tc>
          <w:tcPr>
            <w:tcW w:w="1625" w:type="dxa"/>
            <w:vAlign w:val="center"/>
          </w:tcPr>
          <w:p w14:paraId="7E01FD9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洗车设施</w:t>
            </w:r>
          </w:p>
        </w:tc>
        <w:tc>
          <w:tcPr>
            <w:tcW w:w="750" w:type="dxa"/>
            <w:vAlign w:val="center"/>
          </w:tcPr>
          <w:p w14:paraId="2D6B37E5">
            <w:pPr>
              <w:pStyle w:val="34"/>
              <w:rPr>
                <w:color w:val="000000" w:themeColor="text1"/>
                <w14:textFill>
                  <w14:solidFill>
                    <w14:schemeClr w14:val="tx1"/>
                  </w14:solidFill>
                </w14:textFill>
              </w:rPr>
            </w:pPr>
          </w:p>
        </w:tc>
        <w:tc>
          <w:tcPr>
            <w:tcW w:w="829" w:type="dxa"/>
          </w:tcPr>
          <w:p w14:paraId="054C072A">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264795</wp:posOffset>
                      </wp:positionH>
                      <wp:positionV relativeFrom="paragraph">
                        <wp:posOffset>156845</wp:posOffset>
                      </wp:positionV>
                      <wp:extent cx="334010" cy="0"/>
                      <wp:effectExtent l="0" t="12700" r="0" b="12700"/>
                      <wp:wrapNone/>
                      <wp:docPr id="1449587132" name="直接连接符 5"/>
                      <wp:cNvGraphicFramePr/>
                      <a:graphic xmlns:a="http://schemas.openxmlformats.org/drawingml/2006/main">
                        <a:graphicData uri="http://schemas.microsoft.com/office/word/2010/wordprocessingShape">
                          <wps:wsp>
                            <wps:cNvCnPr/>
                            <wps:spPr>
                              <a:xfrm>
                                <a:off x="0" y="0"/>
                                <a:ext cx="334010"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5" o:spid="_x0000_s1026" o:spt="20" style="position:absolute;left:0pt;margin-left:20.85pt;margin-top:12.35pt;height:0pt;width:26.3pt;z-index:251672576;mso-width-relative:page;mso-height-relative:page;" filled="f" stroked="t" coordsize="21600,21600" o:gfxdata="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Rbkf2&#10;1AAAAAcBAAAPAAAAAAAAAAEAIAAAACIAAABkcnMvZG93bnJldi54bWxQSwECFAAUAAAACACHTuJA&#10;gMIEM+wBAAC7AwAADgAAAAAAAAABACAAAAAjAQAAZHJzL2Uyb0RvYy54bWxQSwUGAAAAAAYABgBZ&#10;AQAAgQUAAAAA&#10;">
                      <v:fill on="f" focussize="0,0"/>
                      <v:stroke weight="2pt" color="#000000 [3213]" miterlimit="8" joinstyle="miter" dashstyle="1 1"/>
                      <v:imagedata o:title=""/>
                      <o:lock v:ext="edit" aspectratio="f"/>
                    </v:line>
                  </w:pict>
                </mc:Fallback>
              </mc:AlternateContent>
            </w:r>
          </w:p>
        </w:tc>
        <w:tc>
          <w:tcPr>
            <w:tcW w:w="977" w:type="dxa"/>
          </w:tcPr>
          <w:p w14:paraId="50BB87DC">
            <w:pPr>
              <w:pStyle w:val="34"/>
              <w:rPr>
                <w:color w:val="000000" w:themeColor="text1"/>
                <w14:textFill>
                  <w14:solidFill>
                    <w14:schemeClr w14:val="tx1"/>
                  </w14:solidFill>
                </w14:textFill>
              </w:rPr>
            </w:pPr>
          </w:p>
        </w:tc>
        <w:tc>
          <w:tcPr>
            <w:tcW w:w="843" w:type="dxa"/>
          </w:tcPr>
          <w:p w14:paraId="4557E634">
            <w:pPr>
              <w:pStyle w:val="34"/>
              <w:rPr>
                <w:color w:val="000000" w:themeColor="text1"/>
                <w14:textFill>
                  <w14:solidFill>
                    <w14:schemeClr w14:val="tx1"/>
                  </w14:solidFill>
                </w14:textFill>
              </w:rPr>
            </w:pPr>
          </w:p>
        </w:tc>
        <w:tc>
          <w:tcPr>
            <w:tcW w:w="915" w:type="dxa"/>
            <w:vAlign w:val="center"/>
          </w:tcPr>
          <w:p w14:paraId="58272637">
            <w:pPr>
              <w:pStyle w:val="34"/>
              <w:rPr>
                <w:color w:val="000000" w:themeColor="text1"/>
                <w14:textFill>
                  <w14:solidFill>
                    <w14:schemeClr w14:val="tx1"/>
                  </w14:solidFill>
                </w14:textFill>
              </w:rPr>
            </w:pPr>
          </w:p>
        </w:tc>
        <w:tc>
          <w:tcPr>
            <w:tcW w:w="915" w:type="dxa"/>
          </w:tcPr>
          <w:p w14:paraId="70F1F733">
            <w:pPr>
              <w:pStyle w:val="34"/>
              <w:rPr>
                <w:color w:val="000000" w:themeColor="text1"/>
                <w14:textFill>
                  <w14:solidFill>
                    <w14:schemeClr w14:val="tx1"/>
                  </w14:solidFill>
                </w14:textFill>
              </w:rPr>
            </w:pPr>
          </w:p>
        </w:tc>
        <w:tc>
          <w:tcPr>
            <w:tcW w:w="983" w:type="dxa"/>
          </w:tcPr>
          <w:p w14:paraId="63A15043">
            <w:pPr>
              <w:pStyle w:val="34"/>
              <w:rPr>
                <w:color w:val="000000" w:themeColor="text1"/>
                <w14:textFill>
                  <w14:solidFill>
                    <w14:schemeClr w14:val="tx1"/>
                  </w14:solidFill>
                </w14:textFill>
              </w:rPr>
            </w:pPr>
          </w:p>
        </w:tc>
      </w:tr>
      <w:tr w14:paraId="04731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tcPr>
          <w:p w14:paraId="1BEBFF8B">
            <w:pPr>
              <w:pStyle w:val="34"/>
              <w:rPr>
                <w:color w:val="000000" w:themeColor="text1"/>
                <w14:textFill>
                  <w14:solidFill>
                    <w14:schemeClr w14:val="tx1"/>
                  </w14:solidFill>
                </w14:textFill>
              </w:rPr>
            </w:pPr>
          </w:p>
        </w:tc>
        <w:tc>
          <w:tcPr>
            <w:tcW w:w="1625" w:type="dxa"/>
            <w:vAlign w:val="center"/>
          </w:tcPr>
          <w:p w14:paraId="47B7377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密目网苫盖</w:t>
            </w:r>
          </w:p>
        </w:tc>
        <w:tc>
          <w:tcPr>
            <w:tcW w:w="750" w:type="dxa"/>
            <w:vAlign w:val="center"/>
          </w:tcPr>
          <w:p w14:paraId="5AD86E88">
            <w:pPr>
              <w:pStyle w:val="34"/>
              <w:rPr>
                <w:color w:val="000000" w:themeColor="text1"/>
                <w14:textFill>
                  <w14:solidFill>
                    <w14:schemeClr w14:val="tx1"/>
                  </w14:solidFill>
                </w14:textFill>
              </w:rPr>
            </w:pPr>
          </w:p>
        </w:tc>
        <w:tc>
          <w:tcPr>
            <w:tcW w:w="829" w:type="dxa"/>
          </w:tcPr>
          <w:p w14:paraId="3C15331E">
            <w:pPr>
              <w:pStyle w:val="34"/>
              <w:rPr>
                <w:color w:val="000000" w:themeColor="text1"/>
                <w14:textFill>
                  <w14:solidFill>
                    <w14:schemeClr w14:val="tx1"/>
                  </w14:solidFill>
                </w14:textFill>
              </w:rPr>
            </w:pPr>
          </w:p>
        </w:tc>
        <w:tc>
          <w:tcPr>
            <w:tcW w:w="977" w:type="dxa"/>
          </w:tcPr>
          <w:p w14:paraId="1456EC54">
            <w:pPr>
              <w:pStyle w:val="34"/>
              <w:rPr>
                <w:color w:val="000000" w:themeColor="text1"/>
                <w14:textFill>
                  <w14:solidFill>
                    <w14:schemeClr w14:val="tx1"/>
                  </w14:solidFill>
                </w14:textFill>
              </w:rPr>
            </w:pPr>
          </w:p>
        </w:tc>
        <w:tc>
          <w:tcPr>
            <w:tcW w:w="843" w:type="dxa"/>
          </w:tcPr>
          <w:p w14:paraId="65B5119A">
            <w:pPr>
              <w:pStyle w:val="34"/>
              <w:rPr>
                <w:color w:val="000000" w:themeColor="text1"/>
                <w14:textFill>
                  <w14:solidFill>
                    <w14:schemeClr w14:val="tx1"/>
                  </w14:solidFill>
                </w14:textFill>
              </w:rPr>
            </w:pPr>
          </w:p>
        </w:tc>
        <w:tc>
          <w:tcPr>
            <w:tcW w:w="915" w:type="dxa"/>
            <w:vAlign w:val="center"/>
          </w:tcPr>
          <w:p w14:paraId="6E713EE6">
            <w:pPr>
              <w:pStyle w:val="34"/>
              <w:rPr>
                <w:color w:val="000000" w:themeColor="text1"/>
                <w14:textFill>
                  <w14:solidFill>
                    <w14:schemeClr w14:val="tx1"/>
                  </w14:solidFill>
                </w14:textFill>
              </w:rPr>
            </w:pPr>
          </w:p>
        </w:tc>
        <w:tc>
          <w:tcPr>
            <w:tcW w:w="915" w:type="dxa"/>
          </w:tcPr>
          <w:p w14:paraId="0986E45C">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240030</wp:posOffset>
                      </wp:positionH>
                      <wp:positionV relativeFrom="paragraph">
                        <wp:posOffset>166370</wp:posOffset>
                      </wp:positionV>
                      <wp:extent cx="710565" cy="0"/>
                      <wp:effectExtent l="0" t="12700" r="13335" b="15875"/>
                      <wp:wrapNone/>
                      <wp:docPr id="42" name="直接连接符 4"/>
                      <wp:cNvGraphicFramePr/>
                      <a:graphic xmlns:a="http://schemas.openxmlformats.org/drawingml/2006/main">
                        <a:graphicData uri="http://schemas.microsoft.com/office/word/2010/wordprocessingShape">
                          <wps:wsp>
                            <wps:cNvCnPr/>
                            <wps:spPr>
                              <a:xfrm>
                                <a:off x="0" y="0"/>
                                <a:ext cx="710565"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4" o:spid="_x0000_s1026" o:spt="20" style="position:absolute;left:0pt;margin-left:18.9pt;margin-top:13.1pt;height:0pt;width:55.95pt;z-index:251675648;mso-width-relative:page;mso-height-relative:page;" filled="f" stroked="t" coordsize="21600,21600" o:gfxdata="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HLkGFjVAAAA&#10;CAEAAA8AAAAAAAAAAQAgAAAAIgAAAGRycy9kb3ducmV2LnhtbFBLAQIUABQAAAAIAIdO4kAwg2Y/&#10;5wEAALMDAAAOAAAAAAAAAAEAIAAAACQBAABkcnMvZTJvRG9jLnhtbFBLBQYAAAAABgAGAFkBAAB9&#10;BQAAAAA=&#10;">
                      <v:fill on="f" focussize="0,0"/>
                      <v:stroke weight="2pt" color="#000000 [3213]" miterlimit="8" joinstyle="miter" dashstyle="1 1"/>
                      <v:imagedata o:title=""/>
                      <o:lock v:ext="edit" aspectratio="f"/>
                    </v:line>
                  </w:pict>
                </mc:Fallback>
              </mc:AlternateContent>
            </w:r>
          </w:p>
        </w:tc>
        <w:tc>
          <w:tcPr>
            <w:tcW w:w="983" w:type="dxa"/>
          </w:tcPr>
          <w:p w14:paraId="1EA322ED">
            <w:pPr>
              <w:pStyle w:val="34"/>
              <w:rPr>
                <w:color w:val="000000" w:themeColor="text1"/>
                <w14:textFill>
                  <w14:solidFill>
                    <w14:schemeClr w14:val="tx1"/>
                  </w14:solidFill>
                </w14:textFill>
              </w:rPr>
            </w:pPr>
          </w:p>
        </w:tc>
      </w:tr>
      <w:tr w14:paraId="3BCE9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restart"/>
            <w:vAlign w:val="center"/>
          </w:tcPr>
          <w:p w14:paraId="10A9CB4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景观绿化工程区</w:t>
            </w:r>
          </w:p>
        </w:tc>
        <w:tc>
          <w:tcPr>
            <w:tcW w:w="1625" w:type="dxa"/>
            <w:vAlign w:val="center"/>
          </w:tcPr>
          <w:p w14:paraId="5CE78BA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乔灌绿化施工</w:t>
            </w:r>
          </w:p>
        </w:tc>
        <w:tc>
          <w:tcPr>
            <w:tcW w:w="750" w:type="dxa"/>
            <w:vAlign w:val="center"/>
          </w:tcPr>
          <w:p w14:paraId="39E555FE">
            <w:pPr>
              <w:pStyle w:val="34"/>
              <w:rPr>
                <w:color w:val="000000" w:themeColor="text1"/>
                <w14:textFill>
                  <w14:solidFill>
                    <w14:schemeClr w14:val="tx1"/>
                  </w14:solidFill>
                </w14:textFill>
              </w:rPr>
            </w:pPr>
          </w:p>
        </w:tc>
        <w:tc>
          <w:tcPr>
            <w:tcW w:w="829" w:type="dxa"/>
          </w:tcPr>
          <w:p w14:paraId="2E20C053">
            <w:pPr>
              <w:pStyle w:val="34"/>
              <w:rPr>
                <w:color w:val="000000" w:themeColor="text1"/>
                <w14:textFill>
                  <w14:solidFill>
                    <w14:schemeClr w14:val="tx1"/>
                  </w14:solidFill>
                </w14:textFill>
              </w:rPr>
            </w:pPr>
          </w:p>
        </w:tc>
        <w:tc>
          <w:tcPr>
            <w:tcW w:w="977" w:type="dxa"/>
          </w:tcPr>
          <w:p w14:paraId="397EFBD5">
            <w:pPr>
              <w:pStyle w:val="34"/>
              <w:rPr>
                <w:color w:val="000000" w:themeColor="text1"/>
                <w14:textFill>
                  <w14:solidFill>
                    <w14:schemeClr w14:val="tx1"/>
                  </w14:solidFill>
                </w14:textFill>
              </w:rPr>
            </w:pPr>
          </w:p>
        </w:tc>
        <w:tc>
          <w:tcPr>
            <w:tcW w:w="843" w:type="dxa"/>
          </w:tcPr>
          <w:p w14:paraId="578FDF63">
            <w:pPr>
              <w:pStyle w:val="34"/>
              <w:rPr>
                <w:color w:val="000000" w:themeColor="text1"/>
                <w14:textFill>
                  <w14:solidFill>
                    <w14:schemeClr w14:val="tx1"/>
                  </w14:solidFill>
                </w14:textFill>
              </w:rPr>
            </w:pPr>
          </w:p>
        </w:tc>
        <w:tc>
          <w:tcPr>
            <w:tcW w:w="915" w:type="dxa"/>
            <w:vAlign w:val="center"/>
          </w:tcPr>
          <w:p w14:paraId="4579BDF8">
            <w:pPr>
              <w:pStyle w:val="34"/>
              <w:rPr>
                <w:color w:val="000000" w:themeColor="text1"/>
                <w14:textFill>
                  <w14:solidFill>
                    <w14:schemeClr w14:val="tx1"/>
                  </w14:solidFill>
                </w14:textFill>
              </w:rPr>
            </w:pPr>
          </w:p>
        </w:tc>
        <w:tc>
          <w:tcPr>
            <w:tcW w:w="915" w:type="dxa"/>
          </w:tcPr>
          <w:p w14:paraId="6A79A73C">
            <w:pPr>
              <w:pStyle w:val="34"/>
              <w:rPr>
                <w:color w:val="000000" w:themeColor="text1"/>
                <w14:textFill>
                  <w14:solidFill>
                    <w14:schemeClr w14:val="tx1"/>
                  </w14:solidFill>
                </w14:textFill>
              </w:rPr>
            </w:pPr>
          </w:p>
        </w:tc>
        <w:tc>
          <w:tcPr>
            <w:tcW w:w="983" w:type="dxa"/>
          </w:tcPr>
          <w:p w14:paraId="602C4F2E">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278765</wp:posOffset>
                      </wp:positionH>
                      <wp:positionV relativeFrom="paragraph">
                        <wp:posOffset>115570</wp:posOffset>
                      </wp:positionV>
                      <wp:extent cx="259715" cy="3175"/>
                      <wp:effectExtent l="0" t="12700" r="6985" b="12700"/>
                      <wp:wrapNone/>
                      <wp:docPr id="40" name="AutoShape 226"/>
                      <wp:cNvGraphicFramePr/>
                      <a:graphic xmlns:a="http://schemas.openxmlformats.org/drawingml/2006/main">
                        <a:graphicData uri="http://schemas.microsoft.com/office/word/2010/wordprocessingShape">
                          <wps:wsp>
                            <wps:cNvCnPr>
                              <a:cxnSpLocks noChangeShapeType="1"/>
                            </wps:cNvCnPr>
                            <wps:spPr bwMode="auto">
                              <a:xfrm flipV="1">
                                <a:off x="0" y="0"/>
                                <a:ext cx="259715" cy="3175"/>
                              </a:xfrm>
                              <a:prstGeom prst="straightConnector1">
                                <a:avLst/>
                              </a:prstGeom>
                              <a:noFill/>
                              <a:ln w="25400">
                                <a:solidFill>
                                  <a:srgbClr val="000000"/>
                                </a:solidFill>
                                <a:round/>
                              </a:ln>
                            </wps:spPr>
                            <wps:bodyPr/>
                          </wps:wsp>
                        </a:graphicData>
                      </a:graphic>
                    </wp:anchor>
                  </w:drawing>
                </mc:Choice>
                <mc:Fallback>
                  <w:pict>
                    <v:shape id="AutoShape 226" o:spid="_x0000_s1026" o:spt="32" type="#_x0000_t32" style="position:absolute;left:0pt;flip:y;margin-left:21.95pt;margin-top:9.1pt;height:0.25pt;width:20.45pt;z-index:251673600;mso-width-relative:page;mso-height-relative:page;" filled="f" stroked="t" coordsize="21600,21600" o:gfxdata="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CA2er3XAAAABwEAAA8A&#10;AAAAAAAAAQAgAAAAIgAAAGRycy9kb3ducmV2LnhtbFBLAQIUABQAAAAIAIdO4kC5GLQG3wEAAMID&#10;AAAOAAAAAAAAAAEAIAAAACYBAABkcnMvZTJvRG9jLnhtbFBLBQYAAAAABgAGAFkBAAB3BQAAAAA=&#10;">
                      <v:fill on="f" focussize="0,0"/>
                      <v:stroke weight="2pt" color="#000000" joinstyle="round"/>
                      <v:imagedata o:title=""/>
                      <o:lock v:ext="edit" aspectratio="f"/>
                    </v:shape>
                  </w:pict>
                </mc:Fallback>
              </mc:AlternateContent>
            </w:r>
          </w:p>
        </w:tc>
      </w:tr>
      <w:tr w14:paraId="544E8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tcPr>
          <w:p w14:paraId="387357D6">
            <w:pPr>
              <w:pStyle w:val="34"/>
              <w:rPr>
                <w:color w:val="000000" w:themeColor="text1"/>
                <w14:textFill>
                  <w14:solidFill>
                    <w14:schemeClr w14:val="tx1"/>
                  </w14:solidFill>
                </w14:textFill>
              </w:rPr>
            </w:pPr>
          </w:p>
        </w:tc>
        <w:tc>
          <w:tcPr>
            <w:tcW w:w="1625" w:type="dxa"/>
            <w:vAlign w:val="center"/>
          </w:tcPr>
          <w:p w14:paraId="1DA7340C">
            <w:pPr>
              <w:pStyle w:val="34"/>
              <w:rPr>
                <w:rFonts w:hint="eastAsia"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绿化覆土</w:t>
            </w:r>
          </w:p>
        </w:tc>
        <w:tc>
          <w:tcPr>
            <w:tcW w:w="750" w:type="dxa"/>
            <w:vAlign w:val="center"/>
          </w:tcPr>
          <w:p w14:paraId="70C539BF">
            <w:pPr>
              <w:pStyle w:val="34"/>
              <w:rPr>
                <w:color w:val="000000" w:themeColor="text1"/>
                <w14:textFill>
                  <w14:solidFill>
                    <w14:schemeClr w14:val="tx1"/>
                  </w14:solidFill>
                </w14:textFill>
              </w:rPr>
            </w:pPr>
          </w:p>
        </w:tc>
        <w:tc>
          <w:tcPr>
            <w:tcW w:w="829" w:type="dxa"/>
          </w:tcPr>
          <w:p w14:paraId="68EE990D">
            <w:pPr>
              <w:pStyle w:val="34"/>
              <w:rPr>
                <w:color w:val="000000" w:themeColor="text1"/>
                <w14:textFill>
                  <w14:solidFill>
                    <w14:schemeClr w14:val="tx1"/>
                  </w14:solidFill>
                </w14:textFill>
              </w:rPr>
            </w:pPr>
          </w:p>
        </w:tc>
        <w:tc>
          <w:tcPr>
            <w:tcW w:w="977" w:type="dxa"/>
          </w:tcPr>
          <w:p w14:paraId="403C85D8">
            <w:pPr>
              <w:pStyle w:val="34"/>
              <w:rPr>
                <w:color w:val="000000" w:themeColor="text1"/>
                <w14:textFill>
                  <w14:solidFill>
                    <w14:schemeClr w14:val="tx1"/>
                  </w14:solidFill>
                </w14:textFill>
              </w:rPr>
            </w:pPr>
          </w:p>
        </w:tc>
        <w:tc>
          <w:tcPr>
            <w:tcW w:w="843" w:type="dxa"/>
          </w:tcPr>
          <w:p w14:paraId="6AA762D5">
            <w:pPr>
              <w:pStyle w:val="34"/>
              <w:rPr>
                <w:color w:val="000000" w:themeColor="text1"/>
                <w14:textFill>
                  <w14:solidFill>
                    <w14:schemeClr w14:val="tx1"/>
                  </w14:solidFill>
                </w14:textFill>
              </w:rPr>
            </w:pPr>
          </w:p>
        </w:tc>
        <w:tc>
          <w:tcPr>
            <w:tcW w:w="915" w:type="dxa"/>
            <w:vAlign w:val="center"/>
          </w:tcPr>
          <w:p w14:paraId="1E6E3FAC">
            <w:pPr>
              <w:pStyle w:val="34"/>
              <w:rPr>
                <w:color w:val="000000" w:themeColor="text1"/>
                <w14:textFill>
                  <w14:solidFill>
                    <w14:schemeClr w14:val="tx1"/>
                  </w14:solidFill>
                </w14:textFill>
              </w:rPr>
            </w:pPr>
          </w:p>
        </w:tc>
        <w:tc>
          <w:tcPr>
            <w:tcW w:w="915" w:type="dxa"/>
          </w:tcPr>
          <w:p w14:paraId="6A08E799">
            <w:pPr>
              <w:pStyle w:val="34"/>
              <w:rPr>
                <w:color w:val="000000" w:themeColor="text1"/>
                <w14:textFill>
                  <w14:solidFill>
                    <w14:schemeClr w14:val="tx1"/>
                  </w14:solidFill>
                </w14:textFill>
              </w:rPr>
            </w:pPr>
          </w:p>
        </w:tc>
        <w:tc>
          <w:tcPr>
            <w:tcW w:w="983" w:type="dxa"/>
          </w:tcPr>
          <w:p w14:paraId="4A4B5345">
            <w:pPr>
              <w:pStyle w:val="34"/>
            </w:pPr>
            <w:r>
              <w:rPr>
                <w:color w:val="000000" w:themeColor="text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307340</wp:posOffset>
                      </wp:positionH>
                      <wp:positionV relativeFrom="paragraph">
                        <wp:posOffset>146050</wp:posOffset>
                      </wp:positionV>
                      <wp:extent cx="238760" cy="0"/>
                      <wp:effectExtent l="0" t="12700" r="0" b="12700"/>
                      <wp:wrapNone/>
                      <wp:docPr id="10" name="直接连接符 2"/>
                      <wp:cNvGraphicFramePr/>
                      <a:graphic xmlns:a="http://schemas.openxmlformats.org/drawingml/2006/main">
                        <a:graphicData uri="http://schemas.microsoft.com/office/word/2010/wordprocessingShape">
                          <wps:wsp>
                            <wps:cNvCnPr/>
                            <wps:spPr>
                              <a:xfrm>
                                <a:off x="0" y="0"/>
                                <a:ext cx="238760"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 o:spid="_x0000_s1026" o:spt="20" style="position:absolute;left:0pt;margin-left:24.2pt;margin-top:11.5pt;height:0pt;width:18.8pt;z-index:251689984;mso-width-relative:page;mso-height-relative:page;" filled="f" stroked="t" coordsize="21600,21600" o:gfxdata="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45RC41AAAAAcBAAAP&#10;AAAAAAAAAAEAIAAAACIAAABkcnMvZG93bnJldi54bWxQSwECFAAUAAAACACHTuJAbv/lUuMBAACz&#10;AwAADgAAAAAAAAABACAAAAAjAQAAZHJzL2Uyb0RvYy54bWxQSwUGAAAAAAYABgBZAQAAeAUAAAAA&#10;">
                      <v:fill on="f" focussize="0,0"/>
                      <v:stroke weight="2pt" color="#000000 [3213]" miterlimit="8" joinstyle="miter" dashstyle="1 1"/>
                      <v:imagedata o:title=""/>
                      <o:lock v:ext="edit" aspectratio="f"/>
                    </v:line>
                  </w:pict>
                </mc:Fallback>
              </mc:AlternateContent>
            </w:r>
          </w:p>
        </w:tc>
      </w:tr>
      <w:tr w14:paraId="607C8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tcPr>
          <w:p w14:paraId="07EE2D3D">
            <w:pPr>
              <w:pStyle w:val="34"/>
              <w:rPr>
                <w:color w:val="000000" w:themeColor="text1"/>
                <w14:textFill>
                  <w14:solidFill>
                    <w14:schemeClr w14:val="tx1"/>
                  </w14:solidFill>
                </w14:textFill>
              </w:rPr>
            </w:pPr>
          </w:p>
        </w:tc>
        <w:tc>
          <w:tcPr>
            <w:tcW w:w="1625" w:type="dxa"/>
            <w:vAlign w:val="center"/>
          </w:tcPr>
          <w:p w14:paraId="3BFD84D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土地整治</w:t>
            </w:r>
          </w:p>
        </w:tc>
        <w:tc>
          <w:tcPr>
            <w:tcW w:w="750" w:type="dxa"/>
            <w:vAlign w:val="center"/>
          </w:tcPr>
          <w:p w14:paraId="07DEB6C7">
            <w:pPr>
              <w:pStyle w:val="34"/>
              <w:rPr>
                <w:color w:val="000000" w:themeColor="text1"/>
                <w14:textFill>
                  <w14:solidFill>
                    <w14:schemeClr w14:val="tx1"/>
                  </w14:solidFill>
                </w14:textFill>
              </w:rPr>
            </w:pPr>
          </w:p>
        </w:tc>
        <w:tc>
          <w:tcPr>
            <w:tcW w:w="829" w:type="dxa"/>
          </w:tcPr>
          <w:p w14:paraId="0616B561">
            <w:pPr>
              <w:pStyle w:val="34"/>
              <w:rPr>
                <w:color w:val="000000" w:themeColor="text1"/>
                <w14:textFill>
                  <w14:solidFill>
                    <w14:schemeClr w14:val="tx1"/>
                  </w14:solidFill>
                </w14:textFill>
              </w:rPr>
            </w:pPr>
          </w:p>
        </w:tc>
        <w:tc>
          <w:tcPr>
            <w:tcW w:w="977" w:type="dxa"/>
          </w:tcPr>
          <w:p w14:paraId="30390FD9">
            <w:pPr>
              <w:pStyle w:val="34"/>
              <w:rPr>
                <w:color w:val="000000" w:themeColor="text1"/>
                <w14:textFill>
                  <w14:solidFill>
                    <w14:schemeClr w14:val="tx1"/>
                  </w14:solidFill>
                </w14:textFill>
              </w:rPr>
            </w:pPr>
          </w:p>
        </w:tc>
        <w:tc>
          <w:tcPr>
            <w:tcW w:w="843" w:type="dxa"/>
          </w:tcPr>
          <w:p w14:paraId="1821C7DC">
            <w:pPr>
              <w:pStyle w:val="34"/>
              <w:rPr>
                <w:color w:val="000000" w:themeColor="text1"/>
                <w14:textFill>
                  <w14:solidFill>
                    <w14:schemeClr w14:val="tx1"/>
                  </w14:solidFill>
                </w14:textFill>
              </w:rPr>
            </w:pPr>
          </w:p>
        </w:tc>
        <w:tc>
          <w:tcPr>
            <w:tcW w:w="915" w:type="dxa"/>
            <w:vAlign w:val="center"/>
          </w:tcPr>
          <w:p w14:paraId="62FCF619">
            <w:pPr>
              <w:pStyle w:val="34"/>
              <w:rPr>
                <w:color w:val="000000" w:themeColor="text1"/>
                <w14:textFill>
                  <w14:solidFill>
                    <w14:schemeClr w14:val="tx1"/>
                  </w14:solidFill>
                </w14:textFill>
              </w:rPr>
            </w:pPr>
          </w:p>
        </w:tc>
        <w:tc>
          <w:tcPr>
            <w:tcW w:w="915" w:type="dxa"/>
          </w:tcPr>
          <w:p w14:paraId="1D79F93F">
            <w:pPr>
              <w:pStyle w:val="34"/>
              <w:rPr>
                <w:color w:val="000000" w:themeColor="text1"/>
                <w14:textFill>
                  <w14:solidFill>
                    <w14:schemeClr w14:val="tx1"/>
                  </w14:solidFill>
                </w14:textFill>
              </w:rPr>
            </w:pPr>
          </w:p>
        </w:tc>
        <w:tc>
          <w:tcPr>
            <w:tcW w:w="983" w:type="dxa"/>
          </w:tcPr>
          <w:p w14:paraId="01551820">
            <w:pPr>
              <w:pStyle w:val="34"/>
            </w:pPr>
            <w:r>
              <mc:AlternateContent>
                <mc:Choice Requires="wps">
                  <w:drawing>
                    <wp:anchor distT="0" distB="0" distL="114300" distR="114300" simplePos="0" relativeHeight="251676672" behindDoc="0" locked="0" layoutInCell="1" allowOverlap="1">
                      <wp:simplePos x="0" y="0"/>
                      <wp:positionH relativeFrom="column">
                        <wp:posOffset>285115</wp:posOffset>
                      </wp:positionH>
                      <wp:positionV relativeFrom="paragraph">
                        <wp:posOffset>106680</wp:posOffset>
                      </wp:positionV>
                      <wp:extent cx="262255" cy="0"/>
                      <wp:effectExtent l="0" t="9525" r="0" b="9525"/>
                      <wp:wrapNone/>
                      <wp:docPr id="43" name="直接连接符 43"/>
                      <wp:cNvGraphicFramePr/>
                      <a:graphic xmlns:a="http://schemas.openxmlformats.org/drawingml/2006/main">
                        <a:graphicData uri="http://schemas.microsoft.com/office/word/2010/wordprocessingShape">
                          <wps:wsp>
                            <wps:cNvCnPr/>
                            <wps:spPr>
                              <a:xfrm>
                                <a:off x="0" y="0"/>
                                <a:ext cx="262255" cy="0"/>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2.45pt;margin-top:8.4pt;height:0pt;width:20.65pt;z-index:251676672;mso-width-relative:page;mso-height-relative:page;" filled="f" stroked="t" coordsize="21600,21600" o:gfxdata="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DVmMH1gAA&#10;AAcBAAAPAAAAAAAAAAEAIAAAACIAAABkcnMvZG93bnJldi54bWxQSwECFAAUAAAACACHTuJA9nsU&#10;5ucBAAC1AwAADgAAAAAAAAABACAAAAAlAQAAZHJzL2Uyb0RvYy54bWxQSwUGAAAAAAYABgBZAQAA&#10;fgUAAAAA&#10;">
                      <v:fill on="f" focussize="0,0"/>
                      <v:stroke weight="1.5pt" color="#000000 [3213]" miterlimit="8" joinstyle="miter" dashstyle="3 1"/>
                      <v:imagedata o:title=""/>
                      <o:lock v:ext="edit" aspectratio="f"/>
                    </v:line>
                  </w:pict>
                </mc:Fallback>
              </mc:AlternateContent>
            </w:r>
          </w:p>
        </w:tc>
      </w:tr>
      <w:tr w14:paraId="19CCD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tcPr>
          <w:p w14:paraId="367E7AC8">
            <w:pPr>
              <w:pStyle w:val="34"/>
              <w:rPr>
                <w:color w:val="000000" w:themeColor="text1"/>
                <w14:textFill>
                  <w14:solidFill>
                    <w14:schemeClr w14:val="tx1"/>
                  </w14:solidFill>
                </w14:textFill>
              </w:rPr>
            </w:pPr>
          </w:p>
        </w:tc>
        <w:tc>
          <w:tcPr>
            <w:tcW w:w="1625" w:type="dxa"/>
            <w:vAlign w:val="center"/>
          </w:tcPr>
          <w:p w14:paraId="2D39247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植草沟</w:t>
            </w:r>
          </w:p>
        </w:tc>
        <w:tc>
          <w:tcPr>
            <w:tcW w:w="750" w:type="dxa"/>
            <w:vAlign w:val="center"/>
          </w:tcPr>
          <w:p w14:paraId="0439EDD0">
            <w:pPr>
              <w:pStyle w:val="34"/>
              <w:rPr>
                <w:color w:val="000000" w:themeColor="text1"/>
                <w14:textFill>
                  <w14:solidFill>
                    <w14:schemeClr w14:val="tx1"/>
                  </w14:solidFill>
                </w14:textFill>
              </w:rPr>
            </w:pPr>
          </w:p>
        </w:tc>
        <w:tc>
          <w:tcPr>
            <w:tcW w:w="829" w:type="dxa"/>
          </w:tcPr>
          <w:p w14:paraId="3D64F797">
            <w:pPr>
              <w:pStyle w:val="34"/>
              <w:rPr>
                <w:color w:val="000000" w:themeColor="text1"/>
                <w14:textFill>
                  <w14:solidFill>
                    <w14:schemeClr w14:val="tx1"/>
                  </w14:solidFill>
                </w14:textFill>
              </w:rPr>
            </w:pPr>
          </w:p>
        </w:tc>
        <w:tc>
          <w:tcPr>
            <w:tcW w:w="977" w:type="dxa"/>
          </w:tcPr>
          <w:p w14:paraId="657B2A14">
            <w:pPr>
              <w:pStyle w:val="34"/>
              <w:rPr>
                <w:color w:val="000000" w:themeColor="text1"/>
                <w14:textFill>
                  <w14:solidFill>
                    <w14:schemeClr w14:val="tx1"/>
                  </w14:solidFill>
                </w14:textFill>
              </w:rPr>
            </w:pPr>
          </w:p>
        </w:tc>
        <w:tc>
          <w:tcPr>
            <w:tcW w:w="843" w:type="dxa"/>
          </w:tcPr>
          <w:p w14:paraId="410A3362">
            <w:pPr>
              <w:pStyle w:val="34"/>
              <w:rPr>
                <w:color w:val="000000" w:themeColor="text1"/>
                <w14:textFill>
                  <w14:solidFill>
                    <w14:schemeClr w14:val="tx1"/>
                  </w14:solidFill>
                </w14:textFill>
              </w:rPr>
            </w:pPr>
          </w:p>
        </w:tc>
        <w:tc>
          <w:tcPr>
            <w:tcW w:w="915" w:type="dxa"/>
            <w:vAlign w:val="center"/>
          </w:tcPr>
          <w:p w14:paraId="3F620294">
            <w:pPr>
              <w:pStyle w:val="34"/>
              <w:rPr>
                <w:color w:val="000000" w:themeColor="text1"/>
                <w14:textFill>
                  <w14:solidFill>
                    <w14:schemeClr w14:val="tx1"/>
                  </w14:solidFill>
                </w14:textFill>
              </w:rPr>
            </w:pPr>
          </w:p>
        </w:tc>
        <w:tc>
          <w:tcPr>
            <w:tcW w:w="915" w:type="dxa"/>
          </w:tcPr>
          <w:p w14:paraId="2E09C8A6">
            <w:pPr>
              <w:pStyle w:val="34"/>
              <w:rPr>
                <w:color w:val="000000" w:themeColor="text1"/>
                <w14:textFill>
                  <w14:solidFill>
                    <w14:schemeClr w14:val="tx1"/>
                  </w14:solidFill>
                </w14:textFill>
              </w:rPr>
            </w:pPr>
          </w:p>
        </w:tc>
        <w:tc>
          <w:tcPr>
            <w:tcW w:w="983" w:type="dxa"/>
          </w:tcPr>
          <w:p w14:paraId="2B78CF8F">
            <w:pPr>
              <w:pStyle w:val="34"/>
            </w:pPr>
            <w:r>
              <mc:AlternateContent>
                <mc:Choice Requires="wps">
                  <w:drawing>
                    <wp:anchor distT="0" distB="0" distL="114300" distR="114300" simplePos="0" relativeHeight="251677696" behindDoc="0" locked="0" layoutInCell="1" allowOverlap="1">
                      <wp:simplePos x="0" y="0"/>
                      <wp:positionH relativeFrom="column">
                        <wp:posOffset>299720</wp:posOffset>
                      </wp:positionH>
                      <wp:positionV relativeFrom="paragraph">
                        <wp:posOffset>115570</wp:posOffset>
                      </wp:positionV>
                      <wp:extent cx="214630" cy="0"/>
                      <wp:effectExtent l="0" t="9525" r="0" b="9525"/>
                      <wp:wrapNone/>
                      <wp:docPr id="44" name="直接连接符 44"/>
                      <wp:cNvGraphicFramePr/>
                      <a:graphic xmlns:a="http://schemas.openxmlformats.org/drawingml/2006/main">
                        <a:graphicData uri="http://schemas.microsoft.com/office/word/2010/wordprocessingShape">
                          <wps:wsp>
                            <wps:cNvCnPr/>
                            <wps:spPr>
                              <a:xfrm>
                                <a:off x="0" y="0"/>
                                <a:ext cx="214630" cy="0"/>
                              </a:xfrm>
                              <a:prstGeom prst="line">
                                <a:avLst/>
                              </a:prstGeom>
                              <a:ln w="19050">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3.6pt;margin-top:9.1pt;height:0pt;width:16.9pt;z-index:251677696;mso-width-relative:page;mso-height-relative:page;" filled="f" stroked="t" coordsize="21600,21600" o:gfxdata="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BuolIrSAAAABwEA&#10;AA8AAAAAAAAAAQAgAAAAIgAAAGRycy9kb3ducmV2LnhtbFBLAQIUABQAAAAIAIdO4kAiB38T5wEA&#10;ALcDAAAOAAAAAAAAAAEAIAAAACEBAABkcnMvZTJvRG9jLnhtbFBLBQYAAAAABgAGAFkBAAB6BQAA&#10;AAA=&#10;">
                      <v:fill on="f" focussize="0,0"/>
                      <v:stroke weight="1.5pt" color="#000000 [3213]" miterlimit="8" joinstyle="miter" dashstyle="longDashDot"/>
                      <v:imagedata o:title=""/>
                      <o:lock v:ext="edit" aspectratio="f"/>
                    </v:line>
                  </w:pict>
                </mc:Fallback>
              </mc:AlternateContent>
            </w:r>
          </w:p>
        </w:tc>
      </w:tr>
      <w:tr w14:paraId="3A4C2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tcPr>
          <w:p w14:paraId="26ECE04C">
            <w:pPr>
              <w:pStyle w:val="34"/>
              <w:rPr>
                <w:color w:val="000000" w:themeColor="text1"/>
                <w14:textFill>
                  <w14:solidFill>
                    <w14:schemeClr w14:val="tx1"/>
                  </w14:solidFill>
                </w14:textFill>
              </w:rPr>
            </w:pPr>
          </w:p>
        </w:tc>
        <w:tc>
          <w:tcPr>
            <w:tcW w:w="1625" w:type="dxa"/>
            <w:vAlign w:val="center"/>
          </w:tcPr>
          <w:p w14:paraId="68658EA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抚育管理</w:t>
            </w:r>
          </w:p>
        </w:tc>
        <w:tc>
          <w:tcPr>
            <w:tcW w:w="750" w:type="dxa"/>
            <w:vAlign w:val="center"/>
          </w:tcPr>
          <w:p w14:paraId="1B1FCFEE">
            <w:pPr>
              <w:pStyle w:val="34"/>
              <w:rPr>
                <w:color w:val="000000" w:themeColor="text1"/>
                <w14:textFill>
                  <w14:solidFill>
                    <w14:schemeClr w14:val="tx1"/>
                  </w14:solidFill>
                </w14:textFill>
              </w:rPr>
            </w:pPr>
          </w:p>
        </w:tc>
        <w:tc>
          <w:tcPr>
            <w:tcW w:w="829" w:type="dxa"/>
          </w:tcPr>
          <w:p w14:paraId="2E7896B5">
            <w:pPr>
              <w:pStyle w:val="34"/>
              <w:rPr>
                <w:color w:val="000000" w:themeColor="text1"/>
                <w14:textFill>
                  <w14:solidFill>
                    <w14:schemeClr w14:val="tx1"/>
                  </w14:solidFill>
                </w14:textFill>
              </w:rPr>
            </w:pPr>
          </w:p>
        </w:tc>
        <w:tc>
          <w:tcPr>
            <w:tcW w:w="977" w:type="dxa"/>
          </w:tcPr>
          <w:p w14:paraId="633A6EE6">
            <w:pPr>
              <w:pStyle w:val="34"/>
              <w:rPr>
                <w:color w:val="000000" w:themeColor="text1"/>
                <w14:textFill>
                  <w14:solidFill>
                    <w14:schemeClr w14:val="tx1"/>
                  </w14:solidFill>
                </w14:textFill>
              </w:rPr>
            </w:pPr>
          </w:p>
        </w:tc>
        <w:tc>
          <w:tcPr>
            <w:tcW w:w="843" w:type="dxa"/>
          </w:tcPr>
          <w:p w14:paraId="53BD62E4">
            <w:pPr>
              <w:pStyle w:val="34"/>
              <w:rPr>
                <w:color w:val="000000" w:themeColor="text1"/>
                <w14:textFill>
                  <w14:solidFill>
                    <w14:schemeClr w14:val="tx1"/>
                  </w14:solidFill>
                </w14:textFill>
              </w:rPr>
            </w:pPr>
          </w:p>
        </w:tc>
        <w:tc>
          <w:tcPr>
            <w:tcW w:w="915" w:type="dxa"/>
            <w:vAlign w:val="center"/>
          </w:tcPr>
          <w:p w14:paraId="2387AFE7">
            <w:pPr>
              <w:pStyle w:val="34"/>
              <w:rPr>
                <w:color w:val="000000" w:themeColor="text1"/>
                <w14:textFill>
                  <w14:solidFill>
                    <w14:schemeClr w14:val="tx1"/>
                  </w14:solidFill>
                </w14:textFill>
              </w:rPr>
            </w:pPr>
          </w:p>
        </w:tc>
        <w:tc>
          <w:tcPr>
            <w:tcW w:w="915" w:type="dxa"/>
          </w:tcPr>
          <w:p w14:paraId="2773FA0D">
            <w:pPr>
              <w:pStyle w:val="34"/>
              <w:rPr>
                <w:color w:val="000000" w:themeColor="text1"/>
                <w14:textFill>
                  <w14:solidFill>
                    <w14:schemeClr w14:val="tx1"/>
                  </w14:solidFill>
                </w14:textFill>
              </w:rPr>
            </w:pPr>
          </w:p>
        </w:tc>
        <w:tc>
          <w:tcPr>
            <w:tcW w:w="983" w:type="dxa"/>
          </w:tcPr>
          <w:p w14:paraId="2620A3C9">
            <w:pPr>
              <w:pStyle w:val="34"/>
            </w:pPr>
            <w:r>
              <mc:AlternateContent>
                <mc:Choice Requires="wps">
                  <w:drawing>
                    <wp:anchor distT="0" distB="0" distL="114300" distR="114300" simplePos="0" relativeHeight="251678720" behindDoc="0" locked="0" layoutInCell="1" allowOverlap="1">
                      <wp:simplePos x="0" y="0"/>
                      <wp:positionH relativeFrom="column">
                        <wp:posOffset>389255</wp:posOffset>
                      </wp:positionH>
                      <wp:positionV relativeFrom="paragraph">
                        <wp:posOffset>121920</wp:posOffset>
                      </wp:positionV>
                      <wp:extent cx="214630" cy="0"/>
                      <wp:effectExtent l="0" t="9525" r="0" b="9525"/>
                      <wp:wrapNone/>
                      <wp:docPr id="45" name="直接连接符 45"/>
                      <wp:cNvGraphicFramePr/>
                      <a:graphic xmlns:a="http://schemas.openxmlformats.org/drawingml/2006/main">
                        <a:graphicData uri="http://schemas.microsoft.com/office/word/2010/wordprocessingShape">
                          <wps:wsp>
                            <wps:cNvCnPr/>
                            <wps:spPr>
                              <a:xfrm>
                                <a:off x="0" y="0"/>
                                <a:ext cx="214630" cy="0"/>
                              </a:xfrm>
                              <a:prstGeom prst="line">
                                <a:avLst/>
                              </a:prstGeom>
                              <a:ln w="19050">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65pt;margin-top:9.6pt;height:0pt;width:16.9pt;z-index:251678720;mso-width-relative:page;mso-height-relative:page;" filled="f" stroked="t" coordsize="21600,21600" o:gfxdata="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LdAYVbSAAAABwEA&#10;AA8AAAAAAAAAAQAgAAAAIgAAAGRycy9kb3ducmV2LnhtbFBLAQIUABQAAAAIAIdO4kA/LX8z5wEA&#10;ALcDAAAOAAAAAAAAAAEAIAAAACEBAABkcnMvZTJvRG9jLnhtbFBLBQYAAAAABgAGAFkBAAB6BQAA&#10;AAA=&#10;">
                      <v:fill on="f" focussize="0,0"/>
                      <v:stroke weight="1.5pt" color="#000000 [3213]" miterlimit="8" joinstyle="miter" dashstyle="longDashDot"/>
                      <v:imagedata o:title=""/>
                      <o:lock v:ext="edit" aspectratio="f"/>
                    </v:line>
                  </w:pict>
                </mc:Fallback>
              </mc:AlternateContent>
            </w:r>
          </w:p>
        </w:tc>
      </w:tr>
      <w:tr w14:paraId="65379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46" w:type="dxa"/>
            <w:vMerge w:val="continue"/>
          </w:tcPr>
          <w:p w14:paraId="3D49FB94">
            <w:pPr>
              <w:pStyle w:val="34"/>
              <w:rPr>
                <w:color w:val="000000" w:themeColor="text1"/>
                <w14:textFill>
                  <w14:solidFill>
                    <w14:schemeClr w14:val="tx1"/>
                  </w14:solidFill>
                </w14:textFill>
              </w:rPr>
            </w:pPr>
          </w:p>
        </w:tc>
        <w:tc>
          <w:tcPr>
            <w:tcW w:w="1625" w:type="dxa"/>
            <w:vAlign w:val="center"/>
          </w:tcPr>
          <w:p w14:paraId="5A45242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密目网苫盖</w:t>
            </w:r>
          </w:p>
        </w:tc>
        <w:tc>
          <w:tcPr>
            <w:tcW w:w="750" w:type="dxa"/>
            <w:vAlign w:val="center"/>
          </w:tcPr>
          <w:p w14:paraId="298989CC">
            <w:pPr>
              <w:pStyle w:val="34"/>
              <w:rPr>
                <w:color w:val="000000" w:themeColor="text1"/>
                <w14:textFill>
                  <w14:solidFill>
                    <w14:schemeClr w14:val="tx1"/>
                  </w14:solidFill>
                </w14:textFill>
              </w:rPr>
            </w:pPr>
          </w:p>
        </w:tc>
        <w:tc>
          <w:tcPr>
            <w:tcW w:w="829" w:type="dxa"/>
          </w:tcPr>
          <w:p w14:paraId="1C781A79">
            <w:pPr>
              <w:pStyle w:val="34"/>
              <w:rPr>
                <w:color w:val="000000" w:themeColor="text1"/>
                <w14:textFill>
                  <w14:solidFill>
                    <w14:schemeClr w14:val="tx1"/>
                  </w14:solidFill>
                </w14:textFill>
              </w:rPr>
            </w:pPr>
          </w:p>
        </w:tc>
        <w:tc>
          <w:tcPr>
            <w:tcW w:w="977" w:type="dxa"/>
          </w:tcPr>
          <w:p w14:paraId="469C52BF">
            <w:pPr>
              <w:pStyle w:val="34"/>
              <w:rPr>
                <w:color w:val="000000" w:themeColor="text1"/>
                <w14:textFill>
                  <w14:solidFill>
                    <w14:schemeClr w14:val="tx1"/>
                  </w14:solidFill>
                </w14:textFill>
              </w:rPr>
            </w:pPr>
          </w:p>
        </w:tc>
        <w:tc>
          <w:tcPr>
            <w:tcW w:w="843" w:type="dxa"/>
          </w:tcPr>
          <w:p w14:paraId="761F4B77">
            <w:pPr>
              <w:pStyle w:val="34"/>
              <w:rPr>
                <w:color w:val="000000" w:themeColor="text1"/>
                <w14:textFill>
                  <w14:solidFill>
                    <w14:schemeClr w14:val="tx1"/>
                  </w14:solidFill>
                </w14:textFill>
              </w:rPr>
            </w:pPr>
          </w:p>
        </w:tc>
        <w:tc>
          <w:tcPr>
            <w:tcW w:w="915" w:type="dxa"/>
            <w:vAlign w:val="center"/>
          </w:tcPr>
          <w:p w14:paraId="299F0B85">
            <w:pPr>
              <w:pStyle w:val="34"/>
              <w:rPr>
                <w:color w:val="000000" w:themeColor="text1"/>
                <w14:textFill>
                  <w14:solidFill>
                    <w14:schemeClr w14:val="tx1"/>
                  </w14:solidFill>
                </w14:textFill>
              </w:rPr>
            </w:pPr>
          </w:p>
        </w:tc>
        <w:tc>
          <w:tcPr>
            <w:tcW w:w="915" w:type="dxa"/>
          </w:tcPr>
          <w:p w14:paraId="5589A763">
            <w:pPr>
              <w:pStyle w:val="34"/>
              <w:rPr>
                <w:color w:val="000000" w:themeColor="text1"/>
                <w14:textFill>
                  <w14:solidFill>
                    <w14:schemeClr w14:val="tx1"/>
                  </w14:solidFill>
                </w14:textFill>
              </w:rPr>
            </w:pPr>
          </w:p>
        </w:tc>
        <w:tc>
          <w:tcPr>
            <w:tcW w:w="983" w:type="dxa"/>
          </w:tcPr>
          <w:p w14:paraId="05A3AAB0">
            <w:pPr>
              <w:pStyle w:val="34"/>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325120</wp:posOffset>
                      </wp:positionH>
                      <wp:positionV relativeFrom="paragraph">
                        <wp:posOffset>116205</wp:posOffset>
                      </wp:positionV>
                      <wp:extent cx="217805" cy="0"/>
                      <wp:effectExtent l="0" t="12700" r="10795" b="15875"/>
                      <wp:wrapNone/>
                      <wp:docPr id="46" name="直接连接符 4"/>
                      <wp:cNvGraphicFramePr/>
                      <a:graphic xmlns:a="http://schemas.openxmlformats.org/drawingml/2006/main">
                        <a:graphicData uri="http://schemas.microsoft.com/office/word/2010/wordprocessingShape">
                          <wps:wsp>
                            <wps:cNvCnPr/>
                            <wps:spPr>
                              <a:xfrm>
                                <a:off x="0" y="0"/>
                                <a:ext cx="217805"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4" o:spid="_x0000_s1026" o:spt="20" style="position:absolute;left:0pt;margin-left:25.6pt;margin-top:9.15pt;height:0pt;width:17.15pt;z-index:251679744;mso-width-relative:page;mso-height-relative:page;" filled="f" stroked="t" coordsize="21600,21600" o:gfxdata="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QjXNDTAAAABwEA&#10;AA8AAAAAAAAAAQAgAAAAIgAAAGRycy9kb3ducmV2LnhtbFBLAQIUABQAAAAIAIdO4kD2kkK95gEA&#10;ALMDAAAOAAAAAAAAAAEAIAAAACIBAABkcnMvZTJvRG9jLnhtbFBLBQYAAAAABgAGAFkBAAB6BQAA&#10;AAA=&#10;">
                      <v:fill on="f" focussize="0,0"/>
                      <v:stroke weight="2pt" color="#000000 [3213]" miterlimit="8" joinstyle="miter" dashstyle="1 1"/>
                      <v:imagedata o:title=""/>
                      <o:lock v:ext="edit" aspectratio="f"/>
                    </v:line>
                  </w:pict>
                </mc:Fallback>
              </mc:AlternateContent>
            </w:r>
          </w:p>
        </w:tc>
      </w:tr>
    </w:tbl>
    <w:p w14:paraId="714311A3">
      <w:pPr>
        <w:pStyle w:val="33"/>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59264" behindDoc="0" locked="0" layoutInCell="1" allowOverlap="1">
                <wp:simplePos x="0" y="0"/>
                <wp:positionH relativeFrom="column">
                  <wp:posOffset>1059180</wp:posOffset>
                </wp:positionH>
                <wp:positionV relativeFrom="paragraph">
                  <wp:posOffset>109855</wp:posOffset>
                </wp:positionV>
                <wp:extent cx="851535" cy="640080"/>
                <wp:effectExtent l="0" t="0" r="5715" b="7620"/>
                <wp:wrapNone/>
                <wp:docPr id="569436061" name="组合 5"/>
                <wp:cNvGraphicFramePr/>
                <a:graphic xmlns:a="http://schemas.openxmlformats.org/drawingml/2006/main">
                  <a:graphicData uri="http://schemas.microsoft.com/office/word/2010/wordprocessingGroup">
                    <wpg:wgp>
                      <wpg:cNvGrpSpPr/>
                      <wpg:grpSpPr>
                        <a:xfrm>
                          <a:off x="0" y="0"/>
                          <a:ext cx="851535" cy="640080"/>
                          <a:chOff x="0" y="0"/>
                          <a:chExt cx="851535" cy="640080"/>
                        </a:xfrm>
                      </wpg:grpSpPr>
                      <wps:wsp>
                        <wps:cNvPr id="63" name="直接连接符 63"/>
                        <wps:cNvCnPr/>
                        <wps:spPr>
                          <a:xfrm>
                            <a:off x="0" y="114300"/>
                            <a:ext cx="841375" cy="0"/>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64" name="直接连接符 64"/>
                        <wps:cNvCnPr/>
                        <wps:spPr>
                          <a:xfrm>
                            <a:off x="0" y="403860"/>
                            <a:ext cx="851535" cy="0"/>
                          </a:xfrm>
                          <a:prstGeom prst="line">
                            <a:avLst/>
                          </a:prstGeom>
                          <a:ln w="19050">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wpg:grpSp>
                        <wpg:cNvPr id="67" name="组合 67"/>
                        <wpg:cNvGrpSpPr/>
                        <wpg:grpSpPr>
                          <a:xfrm>
                            <a:off x="0" y="0"/>
                            <a:ext cx="843915" cy="640080"/>
                            <a:chOff x="0" y="0"/>
                            <a:chExt cx="843915" cy="640080"/>
                          </a:xfrm>
                        </wpg:grpSpPr>
                        <wps:wsp>
                          <wps:cNvPr id="62" name="直接连接符 62"/>
                          <wps:cNvCnPr/>
                          <wps:spPr>
                            <a:xfrm>
                              <a:off x="0" y="0"/>
                              <a:ext cx="84391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 name="直接连接符 66"/>
                          <wps:cNvCnPr/>
                          <wps:spPr>
                            <a:xfrm>
                              <a:off x="53340" y="640080"/>
                              <a:ext cx="723900" cy="0"/>
                            </a:xfrm>
                            <a:prstGeom prst="line">
                              <a:avLst/>
                            </a:prstGeom>
                            <a:ln w="254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组合 5" o:spid="_x0000_s1026" o:spt="203" style="position:absolute;left:0pt;margin-left:83.4pt;margin-top:8.65pt;height:50.4pt;width:67.05pt;z-index:251659264;mso-width-relative:page;mso-height-relative:page;" coordsize="851535,640080" o:gfxdata="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35bOp9kAAAAKAQAADwAAAAAAAAABACAAAAAiAAAAZHJzL2Rvd25y&#10;ZXYueG1sUEsBAhQAFAAAAAgAh07iQNTCWVDhAgAAtAsAAA4AAAAAAAAAAQAgAAAAKAEAAGRycy9l&#10;Mm9Eb2MueG1sUEsFBgAAAAAGAAYAWQEAAHsGAAAAAA==&#10;">
                <o:lock v:ext="edit" aspectratio="f"/>
                <v:line id="_x0000_s1026" o:spid="_x0000_s1026" o:spt="20" style="position:absolute;left:0;top:114300;height:0;width:841375;" filled="f" stroked="t" coordsize="21600,21600" o:gfxdata="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s8jAvQAA&#10;ANsAAAAPAAAAAAAAAAEAIAAAACIAAABkcnMvZG93bnJldi54bWxQSwECFAAUAAAACACHTuJAMy8F&#10;njsAAAA5AAAAEAAAAAAAAAABACAAAAAMAQAAZHJzL3NoYXBleG1sLnhtbFBLBQYAAAAABgAGAFsB&#10;AAC2AwAAAAA=&#10;">
                  <v:fill on="f" focussize="0,0"/>
                  <v:stroke weight="1.5pt" color="#000000 [3213]" miterlimit="8" joinstyle="miter" dashstyle="3 1"/>
                  <v:imagedata o:title=""/>
                  <o:lock v:ext="edit" aspectratio="f"/>
                </v:line>
                <v:line id="_x0000_s1026" o:spid="_x0000_s1026" o:spt="20" style="position:absolute;left:0;top:403860;height:0;width:851535;" filled="f" stroked="t" coordsize="21600,21600" o:gfxdata="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gHEdvQAA&#10;ANsAAAAPAAAAAAAAAAEAIAAAACIAAABkcnMvZG93bnJldi54bWxQSwECFAAUAAAACACHTuJAMy8F&#10;njsAAAA5AAAAEAAAAAAAAAABACAAAAAMAQAAZHJzL3NoYXBleG1sLnhtbFBLBQYAAAAABgAGAFsB&#10;AAC2AwAAAAA=&#10;">
                  <v:fill on="f" focussize="0,0"/>
                  <v:stroke weight="1.5pt" color="#000000 [3213]" miterlimit="8" joinstyle="miter" dashstyle="longDashDot"/>
                  <v:imagedata o:title=""/>
                  <o:lock v:ext="edit" aspectratio="f"/>
                </v:line>
                <v:group id="_x0000_s1026" o:spid="_x0000_s1026" o:spt="203" style="position:absolute;left:0;top:0;height:640080;width:843915;" coordsize="843915,640080" o:gfxdata="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l4XocvwAAANsAAAAPAAAAAAAAAAEAIAAAACIAAABkcnMvZG93bnJldi54&#10;bWxQSwECFAAUAAAACACHTuJAMy8FnjsAAAA5AAAAFQAAAAAAAAABACAAAAAOAQAAZHJzL2dyb3Vw&#10;c2hhcGV4bWwueG1sUEsFBgAAAAAGAAYAYAEAAMsDAAAAAA==&#10;">
                  <o:lock v:ext="edit" aspectratio="f"/>
                  <v:line id="_x0000_s1026" o:spid="_x0000_s1026" o:spt="20" style="position:absolute;left:0;top:0;height:0;width:843915;" filled="f" stroked="t" coordsize="21600,21600" o:gfxdata="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zEV2b4A&#10;AADbAAAADwAAAAAAAAABACAAAAAiAAAAZHJzL2Rvd25yZXYueG1sUEsBAhQAFAAAAAgAh07iQDMv&#10;BZ47AAAAOQAAABAAAAAAAAAAAQAgAAAADQEAAGRycy9zaGFwZXhtbC54bWxQSwUGAAAAAAYABgBb&#10;AQAAtwMAAAAA&#10;">
                    <v:fill on="f" focussize="0,0"/>
                    <v:stroke weight="1.5pt" color="#000000 [3213]" miterlimit="8" joinstyle="miter"/>
                    <v:imagedata o:title=""/>
                    <o:lock v:ext="edit" aspectratio="f"/>
                  </v:line>
                  <v:line id="_x0000_s1026" o:spid="_x0000_s1026" o:spt="20" style="position:absolute;left:53340;top:640080;height:0;width:723900;" filled="f" stroked="t" coordsize="21600,21600" o:gfxdata="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B5Y0vQAA&#10;ANsAAAAPAAAAAAAAAAEAIAAAACIAAABkcnMvZG93bnJldi54bWxQSwECFAAUAAAACACHTuJAMy8F&#10;njsAAAA5AAAAEAAAAAAAAAABACAAAAAMAQAAZHJzL3NoYXBleG1sLnhtbFBLBQYAAAAABgAGAFsB&#10;AAC2AwAAAAA=&#10;">
                    <v:fill on="f" focussize="0,0"/>
                    <v:stroke weight="2pt" color="#000000 [3213]" miterlimit="8" joinstyle="miter" dashstyle="1 1"/>
                    <v:imagedata o:title=""/>
                    <o:lock v:ext="edit" aspectratio="f"/>
                  </v:line>
                </v:group>
              </v:group>
            </w:pict>
          </mc:Fallback>
        </mc:AlternateContent>
      </w:r>
      <w:r>
        <w:rPr>
          <w:rFonts w:hint="eastAsia"/>
          <w:color w:val="000000" w:themeColor="text1"/>
          <w14:textFill>
            <w14:solidFill>
              <w14:schemeClr w14:val="tx1"/>
            </w14:solidFill>
          </w14:textFill>
        </w:rPr>
        <w:t xml:space="preserve">备注：主体工程 </w:t>
      </w:r>
      <w:r>
        <w:rPr>
          <w:color w:val="000000" w:themeColor="text1"/>
          <w14:textFill>
            <w14:solidFill>
              <w14:schemeClr w14:val="tx1"/>
            </w14:solidFill>
          </w14:textFill>
        </w:rPr>
        <w:t xml:space="preserve">    </w:t>
      </w:r>
    </w:p>
    <w:p w14:paraId="35088969">
      <w:pPr>
        <w:ind w:firstLine="632" w:firstLineChars="300"/>
        <w:rPr>
          <w:b/>
          <w:color w:val="000000" w:themeColor="text1"/>
          <w:sz w:val="21"/>
          <w14:textFill>
            <w14:solidFill>
              <w14:schemeClr w14:val="tx1"/>
            </w14:solidFill>
          </w14:textFill>
        </w:rPr>
      </w:pPr>
      <w:r>
        <w:rPr>
          <w:rFonts w:hint="eastAsia"/>
          <w:b/>
          <w:color w:val="000000" w:themeColor="text1"/>
          <w:sz w:val="21"/>
          <w14:textFill>
            <w14:solidFill>
              <w14:schemeClr w14:val="tx1"/>
            </w14:solidFill>
          </w14:textFill>
        </w:rPr>
        <w:t>工程措施</w:t>
      </w:r>
    </w:p>
    <w:p w14:paraId="238C49E7">
      <w:pPr>
        <w:ind w:firstLine="632" w:firstLineChars="300"/>
        <w:rPr>
          <w:b/>
          <w:color w:val="000000" w:themeColor="text1"/>
          <w:sz w:val="21"/>
          <w14:textFill>
            <w14:solidFill>
              <w14:schemeClr w14:val="tx1"/>
            </w14:solidFill>
          </w14:textFill>
        </w:rPr>
      </w:pPr>
      <w:r>
        <w:rPr>
          <w:rFonts w:hint="eastAsia"/>
          <w:b/>
          <w:color w:val="000000" w:themeColor="text1"/>
          <w:sz w:val="21"/>
          <w14:textFill>
            <w14:solidFill>
              <w14:schemeClr w14:val="tx1"/>
            </w14:solidFill>
          </w14:textFill>
        </w:rPr>
        <w:t>植物措施</w:t>
      </w:r>
    </w:p>
    <w:p w14:paraId="66C46224">
      <w:pPr>
        <w:ind w:firstLine="632" w:firstLineChars="300"/>
        <w:jc w:val="left"/>
        <w:rPr>
          <w:color w:val="000000" w:themeColor="text1"/>
          <w14:textFill>
            <w14:solidFill>
              <w14:schemeClr w14:val="tx1"/>
            </w14:solidFill>
          </w14:textFill>
        </w:rPr>
        <w:sectPr>
          <w:headerReference r:id="rId25" w:type="default"/>
          <w:headerReference r:id="rId26" w:type="even"/>
          <w:pgSz w:w="11906" w:h="16838"/>
          <w:pgMar w:top="1440" w:right="1800" w:bottom="1440" w:left="1800" w:header="851" w:footer="992" w:gutter="0"/>
          <w:cols w:space="425" w:num="1"/>
          <w:docGrid w:type="lines" w:linePitch="312" w:charSpace="0"/>
        </w:sectPr>
      </w:pPr>
      <w:r>
        <w:rPr>
          <w:rFonts w:hint="eastAsia"/>
          <w:b/>
          <w:color w:val="000000" w:themeColor="text1"/>
          <w:sz w:val="21"/>
          <w14:textFill>
            <w14:solidFill>
              <w14:schemeClr w14:val="tx1"/>
            </w14:solidFill>
          </w14:textFill>
        </w:rPr>
        <w:t>临时措施</w:t>
      </w:r>
    </w:p>
    <w:p w14:paraId="7581B9A9">
      <w:pPr>
        <w:pStyle w:val="2"/>
        <w:rPr>
          <w:color w:val="000000" w:themeColor="text1"/>
          <w14:textFill>
            <w14:solidFill>
              <w14:schemeClr w14:val="tx1"/>
            </w14:solidFill>
          </w14:textFill>
        </w:rPr>
      </w:pPr>
      <w:bookmarkStart w:id="113" w:name="_Toc24168"/>
      <w:bookmarkStart w:id="114" w:name="_Toc4762"/>
      <w:r>
        <w:rPr>
          <w:rFonts w:hint="eastAsia"/>
          <w:color w:val="000000" w:themeColor="text1"/>
          <w14:textFill>
            <w14:solidFill>
              <w14:schemeClr w14:val="tx1"/>
            </w14:solidFill>
          </w14:textFill>
        </w:rPr>
        <w:t>6水土保持监测</w:t>
      </w:r>
      <w:bookmarkEnd w:id="113"/>
      <w:bookmarkEnd w:id="114"/>
    </w:p>
    <w:p w14:paraId="33D2AE6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根据《水利部关于进一步深化“放管服”改革全面加强水土保持监管的意见》（水保〔2019〕160 号）和《水利部办公厅关于进一步加强生产建设项目水土保持监测工作的通知》（办水保〔2020〕61 号），编制水土保持方案报告表及实行承诺制的建设生产项目未要求开展水土保持监测工作，因此本工程可不开展水土保持专项监测工作，但应落实水土流失防治责任及义务，建设单位应加强实施过程中的水土保持管理工作和后期管理，积极配合当地水行政主管部门及其他相关部门的监督检查。</w:t>
      </w:r>
      <w:r>
        <w:rPr>
          <w:color w:val="000000" w:themeColor="text1"/>
          <w14:textFill>
            <w14:solidFill>
              <w14:schemeClr w14:val="tx1"/>
            </w14:solidFill>
          </w14:textFill>
        </w:rPr>
        <w:br w:type="page"/>
      </w:r>
    </w:p>
    <w:p w14:paraId="3479C3D1">
      <w:pPr>
        <w:pStyle w:val="2"/>
        <w:ind w:firstLine="420"/>
        <w:rPr>
          <w:color w:val="000000" w:themeColor="text1"/>
          <w14:textFill>
            <w14:solidFill>
              <w14:schemeClr w14:val="tx1"/>
            </w14:solidFill>
          </w14:textFill>
        </w:rPr>
      </w:pPr>
      <w:bookmarkStart w:id="115" w:name="_Toc18724"/>
      <w:r>
        <w:rPr>
          <w:rFonts w:hint="eastAsia"/>
          <w:color w:val="000000" w:themeColor="text1"/>
          <w14:textFill>
            <w14:solidFill>
              <w14:schemeClr w14:val="tx1"/>
            </w14:solidFill>
          </w14:textFill>
        </w:rPr>
        <w:t>7水土保持投资估算及效益分析</w:t>
      </w:r>
      <w:bookmarkEnd w:id="115"/>
    </w:p>
    <w:p w14:paraId="3E5A0251">
      <w:pPr>
        <w:pStyle w:val="3"/>
        <w:rPr>
          <w:color w:val="000000" w:themeColor="text1"/>
          <w14:textFill>
            <w14:solidFill>
              <w14:schemeClr w14:val="tx1"/>
            </w14:solidFill>
          </w14:textFill>
        </w:rPr>
      </w:pPr>
      <w:bookmarkStart w:id="116" w:name="_Toc14965"/>
      <w:r>
        <w:rPr>
          <w:rFonts w:hint="eastAsia"/>
          <w:color w:val="000000" w:themeColor="text1"/>
          <w14:textFill>
            <w14:solidFill>
              <w14:schemeClr w14:val="tx1"/>
            </w14:solidFill>
          </w14:textFill>
        </w:rPr>
        <w:t>7.1投资估算</w:t>
      </w:r>
      <w:bookmarkEnd w:id="116"/>
    </w:p>
    <w:p w14:paraId="1E17ABA7">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7.1.1编制原则与依据</w:t>
      </w:r>
    </w:p>
    <w:p w14:paraId="0D20F16D">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7.1.1.1编制原则</w:t>
      </w:r>
    </w:p>
    <w:p w14:paraId="43DA8836">
      <w:pPr>
        <w:widowControl/>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（1）本水土保持方案估算编制的项目划分、费用构成、编制方法等严格按照《四川省水利水电工程设计概（估）算编制规定》（川水办【2015】9号）、《水土保持工程估算定额》（</w:t>
      </w:r>
      <w:r>
        <w:rPr>
          <w:rFonts w:hint="eastAsia" w:cs="Times New Roman"/>
          <w:color w:val="000000" w:themeColor="text1"/>
          <w:szCs w:val="28"/>
          <w14:textFill>
            <w14:solidFill>
              <w14:schemeClr w14:val="tx1"/>
            </w14:solidFill>
          </w14:textFill>
        </w:rPr>
        <w:t>水总[2003]67号</w:t>
      </w:r>
      <w:r>
        <w:rPr>
          <w:rFonts w:hint="eastAsia"/>
          <w:color w:val="000000" w:themeColor="text1"/>
          <w14:textFill>
            <w14:solidFill>
              <w14:schemeClr w14:val="tx1"/>
            </w14:solidFill>
          </w14:textFill>
        </w:rPr>
        <w:t>）及《生产建设项目水土保持技术标准》（</w:t>
      </w:r>
      <w:r>
        <w:rPr>
          <w:rFonts w:cs="Times New Roman"/>
          <w:color w:val="000000" w:themeColor="text1"/>
          <w14:textFill>
            <w14:solidFill>
              <w14:schemeClr w14:val="tx1"/>
            </w14:solidFill>
          </w14:textFill>
        </w:rPr>
        <w:t>GB50433</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2018</w:t>
      </w:r>
      <w:r>
        <w:rPr>
          <w:rFonts w:hint="eastAsia"/>
          <w:color w:val="000000" w:themeColor="text1"/>
          <w14:textFill>
            <w14:solidFill>
              <w14:schemeClr w14:val="tx1"/>
            </w14:solidFill>
          </w14:textFill>
        </w:rPr>
        <w:t>）等进行编制。</w:t>
      </w:r>
    </w:p>
    <w:p w14:paraId="31A86080">
      <w:pPr>
        <w:widowControl/>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（2）主要材料价格、人工单价、工程单价和植物工程单价与主体工程保持一致；主体工程定额中没有的工程项目，参照四川省建设工程造价信息（202</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月）绵阳市现行材料价格。</w:t>
      </w:r>
    </w:p>
    <w:p w14:paraId="238AE305">
      <w:pPr>
        <w:widowControl/>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本项目水土保持投资估算作为主体工程投资估算组成部分，计入建设项目总投资估算中。对于主体工程中界定为水土保持工程的防护措施投资，将其列入本方案的投资总估算中，与新增的水土保持措施估算投资一起构成该水保方案的估算总投资。</w:t>
      </w:r>
    </w:p>
    <w:p w14:paraId="22340C76">
      <w:pPr>
        <w:widowControl/>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对已计入主体工程兼有水土保持功能的防护措施，不再计入本方案新增的投资估算。本工程估算编制依据为水利部水总〔2003〕67号文颁发的《水土保持工程概（估）算编制规定和定额》、《四川省水利水电工程概（估）算编制规定》（川水办【2015】9号）以及有关规定编制，部分工程单价与主体工程保持一致。</w:t>
      </w:r>
    </w:p>
    <w:p w14:paraId="41CED5F2">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7.1.1.2编制依据</w:t>
      </w:r>
    </w:p>
    <w:p w14:paraId="36F27EE7">
      <w:pPr>
        <w:spacing w:before="156" w:beforeLines="50"/>
        <w:ind w:firstLine="480"/>
        <w:rPr>
          <w:rFonts w:cs="Times New Roman"/>
          <w:color w:val="000000" w:themeColor="text1"/>
          <w14:textFill>
            <w14:solidFill>
              <w14:schemeClr w14:val="tx1"/>
            </w14:solidFill>
          </w14:textFill>
        </w:rPr>
      </w:pPr>
      <w:bookmarkStart w:id="117" w:name="_Hlk145151118"/>
      <w:r>
        <w:rPr>
          <w:rFonts w:hint="eastAsia" w:cs="Times New Roman"/>
          <w:color w:val="000000" w:themeColor="text1"/>
          <w:szCs w:val="28"/>
          <w14:textFill>
            <w14:solidFill>
              <w14:schemeClr w14:val="tx1"/>
            </w14:solidFill>
          </w14:textFill>
        </w:rPr>
        <w:t>（1）</w:t>
      </w:r>
      <w:r>
        <w:rPr>
          <w:rFonts w:hint="eastAsia" w:cs="Times New Roman"/>
          <w:color w:val="000000" w:themeColor="text1"/>
          <w14:textFill>
            <w14:solidFill>
              <w14:schemeClr w14:val="tx1"/>
            </w14:solidFill>
          </w14:textFill>
        </w:rPr>
        <w:t>水利部关于颁发《水土保持工程概（估）算编制规定和定额》的通知（水总[2003]67号）；</w:t>
      </w:r>
    </w:p>
    <w:p w14:paraId="0FFB4388">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2</w:t>
      </w:r>
      <w:r>
        <w:rPr>
          <w:rFonts w:hint="eastAsia" w:cs="Times New Roman"/>
          <w:color w:val="000000" w:themeColor="text1"/>
          <w14:textFill>
            <w14:solidFill>
              <w14:schemeClr w14:val="tx1"/>
            </w14:solidFill>
          </w14:textFill>
        </w:rPr>
        <w:t>）《四川省水利水电工程设计概（估）算编制规定》（川水办【2015】9号）；</w:t>
      </w:r>
    </w:p>
    <w:p w14:paraId="355A6331">
      <w:pPr>
        <w:ind w:firstLine="480"/>
        <w:rPr>
          <w:rFonts w:cs="Times New Roman"/>
          <w:color w:val="000000" w:themeColor="text1"/>
          <w:szCs w:val="28"/>
          <w14:textFill>
            <w14:solidFill>
              <w14:schemeClr w14:val="tx1"/>
            </w14:solidFill>
          </w14:textFill>
        </w:rPr>
      </w:pPr>
      <w:r>
        <w:rPr>
          <w:rFonts w:hint="eastAsia" w:cs="Times New Roman"/>
          <w:color w:val="000000" w:themeColor="text1"/>
          <w:szCs w:val="28"/>
          <w14:textFill>
            <w14:solidFill>
              <w14:schemeClr w14:val="tx1"/>
            </w14:solidFill>
          </w14:textFill>
        </w:rPr>
        <w:t>（3）国家发展和改革委《关于进一步放开建设项目专业服务价格的通知》（发改价格[2015]299号）；</w:t>
      </w:r>
    </w:p>
    <w:p w14:paraId="679C1DC6">
      <w:pPr>
        <w:ind w:firstLine="480"/>
        <w:rPr>
          <w:rFonts w:cs="Times New Roman"/>
          <w:color w:val="000000" w:themeColor="text1"/>
          <w:szCs w:val="28"/>
          <w14:textFill>
            <w14:solidFill>
              <w14:schemeClr w14:val="tx1"/>
            </w14:solidFill>
          </w14:textFill>
        </w:rPr>
      </w:pPr>
      <w:r>
        <w:rPr>
          <w:rFonts w:hint="eastAsia" w:cs="Times New Roman"/>
          <w:color w:val="000000" w:themeColor="text1"/>
          <w:szCs w:val="28"/>
          <w14:textFill>
            <w14:solidFill>
              <w14:schemeClr w14:val="tx1"/>
            </w14:solidFill>
          </w14:textFill>
        </w:rPr>
        <w:t>（4）四川省建设工程造价总站关于对各市、州2020年《四川省建设工程工程量清单计价定额》人工费调整的批复（川建价发〔2023〕9号））；</w:t>
      </w:r>
    </w:p>
    <w:p w14:paraId="6B2F2000">
      <w:pPr>
        <w:ind w:firstLine="480"/>
        <w:rPr>
          <w:rFonts w:cs="Times New Roman"/>
          <w:color w:val="000000" w:themeColor="text1"/>
          <w:szCs w:val="28"/>
          <w14:textFill>
            <w14:solidFill>
              <w14:schemeClr w14:val="tx1"/>
            </w14:solidFill>
          </w14:textFill>
        </w:rPr>
      </w:pPr>
      <w:r>
        <w:rPr>
          <w:rFonts w:hint="eastAsia" w:cs="Times New Roman"/>
          <w:color w:val="000000" w:themeColor="text1"/>
          <w:szCs w:val="28"/>
          <w14:textFill>
            <w14:solidFill>
              <w14:schemeClr w14:val="tx1"/>
            </w14:solidFill>
          </w14:textFill>
        </w:rPr>
        <w:t>（</w:t>
      </w:r>
      <w:r>
        <w:rPr>
          <w:rFonts w:cs="Times New Roman"/>
          <w:color w:val="000000" w:themeColor="text1"/>
          <w:szCs w:val="28"/>
          <w14:textFill>
            <w14:solidFill>
              <w14:schemeClr w14:val="tx1"/>
            </w14:solidFill>
          </w14:textFill>
        </w:rPr>
        <w:t>5</w:t>
      </w:r>
      <w:r>
        <w:rPr>
          <w:rFonts w:hint="eastAsia" w:cs="Times New Roman"/>
          <w:color w:val="000000" w:themeColor="text1"/>
          <w:szCs w:val="28"/>
          <w14:textFill>
            <w14:solidFill>
              <w14:schemeClr w14:val="tx1"/>
            </w14:solidFill>
          </w14:textFill>
        </w:rPr>
        <w:t>）</w:t>
      </w:r>
      <w:r>
        <w:rPr>
          <w:rFonts w:hint="eastAsia" w:cs="Times New Roman"/>
          <w:color w:val="000000" w:themeColor="text1"/>
          <w14:textFill>
            <w14:solidFill>
              <w14:schemeClr w14:val="tx1"/>
            </w14:solidFill>
          </w14:textFill>
        </w:rPr>
        <w:t>四川省发展和改革委员会 四川省财政厅关于制定《水土保持补偿费收费标准的通知》（川发价格[2017]347号）</w:t>
      </w:r>
      <w:r>
        <w:rPr>
          <w:rFonts w:hint="eastAsia" w:cs="Times New Roman"/>
          <w:color w:val="000000" w:themeColor="text1"/>
          <w:szCs w:val="28"/>
          <w14:textFill>
            <w14:solidFill>
              <w14:schemeClr w14:val="tx1"/>
            </w14:solidFill>
          </w14:textFill>
        </w:rPr>
        <w:t>；</w:t>
      </w:r>
    </w:p>
    <w:p w14:paraId="09EB8F7F">
      <w:pPr>
        <w:ind w:firstLine="480"/>
        <w:rPr>
          <w:rFonts w:cs="Times New Roman"/>
          <w:color w:val="000000" w:themeColor="text1"/>
          <w:szCs w:val="28"/>
          <w14:textFill>
            <w14:solidFill>
              <w14:schemeClr w14:val="tx1"/>
            </w14:solidFill>
          </w14:textFill>
        </w:rPr>
      </w:pPr>
      <w:r>
        <w:rPr>
          <w:rFonts w:hint="eastAsia" w:cs="Times New Roman"/>
          <w:color w:val="000000" w:themeColor="text1"/>
          <w:szCs w:val="28"/>
          <w14:textFill>
            <w14:solidFill>
              <w14:schemeClr w14:val="tx1"/>
            </w14:solidFill>
          </w14:textFill>
        </w:rPr>
        <w:t>（</w:t>
      </w:r>
      <w:r>
        <w:rPr>
          <w:rFonts w:cs="Times New Roman"/>
          <w:color w:val="000000" w:themeColor="text1"/>
          <w:szCs w:val="28"/>
          <w14:textFill>
            <w14:solidFill>
              <w14:schemeClr w14:val="tx1"/>
            </w14:solidFill>
          </w14:textFill>
        </w:rPr>
        <w:t>6</w:t>
      </w:r>
      <w:r>
        <w:rPr>
          <w:rFonts w:hint="eastAsia" w:cs="Times New Roman"/>
          <w:color w:val="000000" w:themeColor="text1"/>
          <w:szCs w:val="28"/>
          <w14:textFill>
            <w14:solidFill>
              <w14:schemeClr w14:val="tx1"/>
            </w14:solidFill>
          </w14:textFill>
        </w:rPr>
        <w:t>）四川省水利厅关于印发《增值税税率调整后&lt;四川省水利水电工程设计概（估）算编制规定&gt;相应调整办法》的通知（川水函〔2019〕610号）；</w:t>
      </w:r>
    </w:p>
    <w:p w14:paraId="2CECB967">
      <w:pPr>
        <w:ind w:firstLine="480"/>
        <w:rPr>
          <w:rFonts w:cs="Times New Roman"/>
          <w:color w:val="000000" w:themeColor="text1"/>
          <w:szCs w:val="28"/>
          <w14:textFill>
            <w14:solidFill>
              <w14:schemeClr w14:val="tx1"/>
            </w14:solidFill>
          </w14:textFill>
        </w:rPr>
      </w:pPr>
      <w:r>
        <w:rPr>
          <w:rFonts w:hint="eastAsia" w:cs="Times New Roman"/>
          <w:color w:val="000000" w:themeColor="text1"/>
          <w:szCs w:val="28"/>
          <w14:textFill>
            <w14:solidFill>
              <w14:schemeClr w14:val="tx1"/>
            </w14:solidFill>
          </w14:textFill>
        </w:rPr>
        <w:t>（</w:t>
      </w:r>
      <w:r>
        <w:rPr>
          <w:rFonts w:cs="Times New Roman"/>
          <w:color w:val="000000" w:themeColor="text1"/>
          <w:szCs w:val="28"/>
          <w14:textFill>
            <w14:solidFill>
              <w14:schemeClr w14:val="tx1"/>
            </w14:solidFill>
          </w14:textFill>
        </w:rPr>
        <w:t>7</w:t>
      </w:r>
      <w:r>
        <w:rPr>
          <w:rFonts w:hint="eastAsia" w:cs="Times New Roman"/>
          <w:color w:val="000000" w:themeColor="text1"/>
          <w:szCs w:val="28"/>
          <w14:textFill>
            <w14:solidFill>
              <w14:schemeClr w14:val="tx1"/>
            </w14:solidFill>
          </w14:textFill>
        </w:rPr>
        <w:t>）四川省发展和改革委员会关于调整地方电网目录销售电价有关事项的通知（川发改价格【2</w:t>
      </w:r>
      <w:r>
        <w:rPr>
          <w:rFonts w:cs="Times New Roman"/>
          <w:color w:val="000000" w:themeColor="text1"/>
          <w:szCs w:val="28"/>
          <w14:textFill>
            <w14:solidFill>
              <w14:schemeClr w14:val="tx1"/>
            </w14:solidFill>
          </w14:textFill>
        </w:rPr>
        <w:t>022</w:t>
      </w:r>
      <w:r>
        <w:rPr>
          <w:rFonts w:hint="eastAsia" w:cs="Times New Roman"/>
          <w:color w:val="000000" w:themeColor="text1"/>
          <w:szCs w:val="28"/>
          <w14:textFill>
            <w14:solidFill>
              <w14:schemeClr w14:val="tx1"/>
            </w14:solidFill>
          </w14:textFill>
        </w:rPr>
        <w:t>】4</w:t>
      </w:r>
      <w:r>
        <w:rPr>
          <w:rFonts w:cs="Times New Roman"/>
          <w:color w:val="000000" w:themeColor="text1"/>
          <w:szCs w:val="28"/>
          <w14:textFill>
            <w14:solidFill>
              <w14:schemeClr w14:val="tx1"/>
            </w14:solidFill>
          </w14:textFill>
        </w:rPr>
        <w:t>9</w:t>
      </w:r>
      <w:r>
        <w:rPr>
          <w:rFonts w:hint="eastAsia" w:cs="Times New Roman"/>
          <w:color w:val="000000" w:themeColor="text1"/>
          <w:szCs w:val="28"/>
          <w14:textFill>
            <w14:solidFill>
              <w14:schemeClr w14:val="tx1"/>
            </w14:solidFill>
          </w14:textFill>
        </w:rPr>
        <w:t>号）；</w:t>
      </w:r>
    </w:p>
    <w:p w14:paraId="10917C16">
      <w:pPr>
        <w:ind w:firstLine="480"/>
        <w:rPr>
          <w:rFonts w:cs="Times New Roman"/>
          <w:color w:val="000000" w:themeColor="text1"/>
          <w:szCs w:val="28"/>
          <w14:textFill>
            <w14:solidFill>
              <w14:schemeClr w14:val="tx1"/>
            </w14:solidFill>
          </w14:textFill>
        </w:rPr>
      </w:pPr>
      <w:r>
        <w:rPr>
          <w:rFonts w:hint="eastAsia" w:cs="Times New Roman"/>
          <w:color w:val="000000" w:themeColor="text1"/>
          <w:szCs w:val="28"/>
          <w14:textFill>
            <w14:solidFill>
              <w14:schemeClr w14:val="tx1"/>
            </w14:solidFill>
          </w14:textFill>
        </w:rPr>
        <w:t>（</w:t>
      </w:r>
      <w:r>
        <w:rPr>
          <w:rFonts w:cs="Times New Roman"/>
          <w:color w:val="000000" w:themeColor="text1"/>
          <w:szCs w:val="28"/>
          <w14:textFill>
            <w14:solidFill>
              <w14:schemeClr w14:val="tx1"/>
            </w14:solidFill>
          </w14:textFill>
        </w:rPr>
        <w:t>8</w:t>
      </w:r>
      <w:r>
        <w:rPr>
          <w:rFonts w:hint="eastAsia" w:cs="Times New Roman"/>
          <w:color w:val="000000" w:themeColor="text1"/>
          <w:szCs w:val="28"/>
          <w14:textFill>
            <w14:solidFill>
              <w14:schemeClr w14:val="tx1"/>
            </w14:solidFill>
          </w14:textFill>
        </w:rPr>
        <w:t>）</w:t>
      </w:r>
      <w:r>
        <w:rPr>
          <w:rFonts w:hint="eastAsia" w:cs="Times New Roman"/>
          <w:color w:val="000000" w:themeColor="text1"/>
          <w14:textFill>
            <w14:solidFill>
              <w14:schemeClr w14:val="tx1"/>
            </w14:solidFill>
          </w14:textFill>
        </w:rPr>
        <w:t>四川省发展和改革委员会关于提高成品油价格的通知（川发改价格[2023]</w:t>
      </w:r>
      <w:r>
        <w:rPr>
          <w:rFonts w:cs="Times New Roman"/>
          <w:color w:val="000000" w:themeColor="text1"/>
          <w14:textFill>
            <w14:solidFill>
              <w14:schemeClr w14:val="tx1"/>
            </w14:solidFill>
          </w14:textFill>
        </w:rPr>
        <w:t>390</w:t>
      </w:r>
      <w:r>
        <w:rPr>
          <w:rFonts w:hint="eastAsia" w:cs="Times New Roman"/>
          <w:color w:val="000000" w:themeColor="text1"/>
          <w14:textFill>
            <w14:solidFill>
              <w14:schemeClr w14:val="tx1"/>
            </w14:solidFill>
          </w14:textFill>
        </w:rPr>
        <w:t>号）</w:t>
      </w:r>
      <w:r>
        <w:rPr>
          <w:rFonts w:hint="eastAsia" w:cs="Times New Roman"/>
          <w:color w:val="000000" w:themeColor="text1"/>
          <w:szCs w:val="28"/>
          <w14:textFill>
            <w14:solidFill>
              <w14:schemeClr w14:val="tx1"/>
            </w14:solidFill>
          </w14:textFill>
        </w:rPr>
        <w:t>；</w:t>
      </w:r>
    </w:p>
    <w:bookmarkEnd w:id="117"/>
    <w:p w14:paraId="38521F66">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7.1.2估算成果与说明</w:t>
      </w:r>
    </w:p>
    <w:p w14:paraId="418B69DD">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7.1.2.1估算说明</w:t>
      </w:r>
    </w:p>
    <w:p w14:paraId="1C692D03">
      <w:pPr>
        <w:ind w:left="17" w:leftChars="7"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1、编制方法</w:t>
      </w:r>
    </w:p>
    <w:p w14:paraId="09F08AE2">
      <w:pPr>
        <w:ind w:left="17" w:leftChars="7"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根据《四川省水利水电工程设计概（估）算编制规定》，本项目划分为工程措施、监测措施、植物措施、施工临时工程和独立费用。</w:t>
      </w:r>
    </w:p>
    <w:p w14:paraId="6C0CBBD1">
      <w:pPr>
        <w:ind w:left="17" w:leftChars="7"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工程措施：包括本项目各项水土保持工程措施。按设计工程量×工程单价计算；工程单价由直接工程费、间接费、企业利润、税金四部分组成。</w:t>
      </w:r>
    </w:p>
    <w:p w14:paraId="3F8E3836">
      <w:pPr>
        <w:ind w:left="17" w:leftChars="7"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植物措施：包括本项目各项水土保持植物措施。由苗木、草、种子等材料费、种植费组成，其估算由苗木、草、种子的预算价格×数量进行编制。栽（种）植费按《水土保持工程估算定额》进行编制。</w:t>
      </w:r>
    </w:p>
    <w:p w14:paraId="4E0F500D">
      <w:pPr>
        <w:ind w:left="17" w:leftChars="7"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监测措施：土建设施及设备按设计工程量或设备清单乘以工程（设备）单价进行编制；安装费按设备费的百分率计算；建设期观测运行费，包括系统运行材料费、维护检修费和常规观测费，可在具体监测范围、监测内容、方法及监测时段的基础上分项计算，或按主体土建投资合计为基数计列。</w:t>
      </w:r>
    </w:p>
    <w:p w14:paraId="3C7ED3CC">
      <w:pPr>
        <w:ind w:left="17" w:leftChars="7"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施工临时工程：包括临时防护工程和其他临时工程。临时防护工程按设计方案的工程量×单价编制；其他临时工程按一至三部分合计的2.0%编制，结合本项目实际情况其他临时工程费用不计列。</w:t>
      </w:r>
    </w:p>
    <w:p w14:paraId="6890011D">
      <w:pPr>
        <w:ind w:left="17" w:leftChars="7"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独立费用：包括建设管理费、科研勘测设计费、工程建设监理费（主体工程计列）、竣工验收技术报告编制费、经济技术咨询费等。</w:t>
      </w:r>
    </w:p>
    <w:p w14:paraId="7787A4BA">
      <w:pPr>
        <w:ind w:left="17" w:leftChars="7"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2、基础单价</w:t>
      </w:r>
    </w:p>
    <w:p w14:paraId="29C762B1">
      <w:pPr>
        <w:ind w:firstLine="472"/>
        <w:rPr>
          <w:color w:val="000000" w:themeColor="text1"/>
          <w:spacing w:val="-4"/>
          <w14:textFill>
            <w14:solidFill>
              <w14:schemeClr w14:val="tx1"/>
            </w14:solidFill>
          </w14:textFill>
        </w:rPr>
      </w:pPr>
      <w:r>
        <w:rPr>
          <w:color w:val="000000" w:themeColor="text1"/>
          <w:spacing w:val="-4"/>
          <w14:textFill>
            <w14:solidFill>
              <w14:schemeClr w14:val="tx1"/>
            </w14:solidFill>
          </w14:textFill>
        </w:rPr>
        <w:t>（1）人工工资</w:t>
      </w:r>
    </w:p>
    <w:p w14:paraId="6121E22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hint="eastAsia"/>
        </w:rPr>
        <w:t>川建价发〔</w:t>
      </w:r>
      <w:r>
        <w:t>2024</w:t>
      </w:r>
      <w:r>
        <w:rPr>
          <w:rFonts w:hint="eastAsia"/>
        </w:rPr>
        <w:t>〕</w:t>
      </w:r>
      <w:r>
        <w:t>14</w:t>
      </w:r>
      <w:r>
        <w:rPr>
          <w:rFonts w:hint="eastAsia"/>
        </w:rPr>
        <w:t>号</w:t>
      </w:r>
      <w:r>
        <w:rPr>
          <w:rFonts w:hint="eastAsia"/>
          <w:color w:val="000000" w:themeColor="text1"/>
          <w14:textFill>
            <w14:solidFill>
              <w14:schemeClr w14:val="tx1"/>
            </w14:solidFill>
          </w14:textFill>
        </w:rPr>
        <w:t>，绵阳市市区人工预算单价采用技工</w:t>
      </w:r>
      <w:r>
        <w:rPr>
          <w:color w:val="000000" w:themeColor="text1"/>
          <w14:textFill>
            <w14:solidFill>
              <w14:schemeClr w14:val="tx1"/>
            </w14:solidFill>
          </w14:textFill>
        </w:rPr>
        <w:t>214</w:t>
      </w:r>
      <w:r>
        <w:rPr>
          <w:rFonts w:hint="eastAsia"/>
          <w:color w:val="000000" w:themeColor="text1"/>
          <w14:textFill>
            <w14:solidFill>
              <w14:schemeClr w14:val="tx1"/>
            </w14:solidFill>
          </w14:textFill>
        </w:rPr>
        <w:t>元</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工日计，普工</w:t>
      </w:r>
      <w:r>
        <w:rPr>
          <w:color w:val="000000" w:themeColor="text1"/>
          <w14:textFill>
            <w14:solidFill>
              <w14:schemeClr w14:val="tx1"/>
            </w14:solidFill>
          </w14:textFill>
        </w:rPr>
        <w:t>153</w:t>
      </w:r>
      <w:r>
        <w:rPr>
          <w:rFonts w:hint="eastAsia"/>
          <w:color w:val="000000" w:themeColor="text1"/>
          <w14:textFill>
            <w14:solidFill>
              <w14:schemeClr w14:val="tx1"/>
            </w14:solidFill>
          </w14:textFill>
        </w:rPr>
        <w:t>元</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工日计。</w:t>
      </w:r>
    </w:p>
    <w:p w14:paraId="6BEE3222">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（2）主要材料预算价格</w:t>
      </w:r>
    </w:p>
    <w:p w14:paraId="2C062A21">
      <w:pPr>
        <w:ind w:left="17" w:leftChars="7"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本方案主要材料预算价格采用主体工程预算价格，主体工程估算中未明确的，查当地造价信息确定，或参照相关行业标准，详见下表7.1-1。</w:t>
      </w:r>
    </w:p>
    <w:p w14:paraId="038AFD7F">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表7.1-1                       主要材料单价汇总表</w:t>
      </w:r>
    </w:p>
    <w:tbl>
      <w:tblPr>
        <w:tblStyle w:val="2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89"/>
        <w:gridCol w:w="4590"/>
        <w:gridCol w:w="1142"/>
        <w:gridCol w:w="1598"/>
      </w:tblGrid>
      <w:tr w14:paraId="564278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698" w:type="pct"/>
            <w:vAlign w:val="center"/>
          </w:tcPr>
          <w:p w14:paraId="062BABE2">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序号</w:t>
            </w:r>
          </w:p>
        </w:tc>
        <w:tc>
          <w:tcPr>
            <w:tcW w:w="2694" w:type="pct"/>
            <w:vAlign w:val="center"/>
          </w:tcPr>
          <w:p w14:paraId="546DC029">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材料名称</w:t>
            </w:r>
          </w:p>
        </w:tc>
        <w:tc>
          <w:tcPr>
            <w:tcW w:w="670" w:type="pct"/>
            <w:vAlign w:val="center"/>
          </w:tcPr>
          <w:p w14:paraId="1171D48A">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单位</w:t>
            </w:r>
          </w:p>
        </w:tc>
        <w:tc>
          <w:tcPr>
            <w:tcW w:w="938" w:type="pct"/>
            <w:vAlign w:val="center"/>
          </w:tcPr>
          <w:p w14:paraId="56F37E55">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材料预算价</w:t>
            </w:r>
          </w:p>
        </w:tc>
      </w:tr>
      <w:tr w14:paraId="2EF275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4F1C0047">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w:t>
            </w:r>
          </w:p>
        </w:tc>
        <w:tc>
          <w:tcPr>
            <w:tcW w:w="2694" w:type="pct"/>
            <w:vAlign w:val="center"/>
          </w:tcPr>
          <w:p w14:paraId="00437A90">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砖（标砖）</w:t>
            </w:r>
          </w:p>
        </w:tc>
        <w:tc>
          <w:tcPr>
            <w:tcW w:w="670" w:type="pct"/>
            <w:vAlign w:val="center"/>
          </w:tcPr>
          <w:p w14:paraId="37C1A6D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千块</w:t>
            </w:r>
          </w:p>
        </w:tc>
        <w:tc>
          <w:tcPr>
            <w:tcW w:w="938" w:type="pct"/>
            <w:vAlign w:val="center"/>
          </w:tcPr>
          <w:p w14:paraId="1B29D58E">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4</w:t>
            </w:r>
            <w:r>
              <w:rPr>
                <w:color w:val="000000" w:themeColor="text1"/>
                <w:szCs w:val="18"/>
                <w14:textFill>
                  <w14:solidFill>
                    <w14:schemeClr w14:val="tx1"/>
                  </w14:solidFill>
                </w14:textFill>
              </w:rPr>
              <w:t>55</w:t>
            </w:r>
          </w:p>
        </w:tc>
      </w:tr>
      <w:tr w14:paraId="3BA0D7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269F7700">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2</w:t>
            </w:r>
          </w:p>
        </w:tc>
        <w:tc>
          <w:tcPr>
            <w:tcW w:w="2694" w:type="pct"/>
            <w:vAlign w:val="center"/>
          </w:tcPr>
          <w:p w14:paraId="4EA4EFD3">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草籽</w:t>
            </w:r>
          </w:p>
        </w:tc>
        <w:tc>
          <w:tcPr>
            <w:tcW w:w="670" w:type="pct"/>
            <w:vAlign w:val="center"/>
          </w:tcPr>
          <w:p w14:paraId="28914DAB">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kg</w:t>
            </w:r>
          </w:p>
        </w:tc>
        <w:tc>
          <w:tcPr>
            <w:tcW w:w="938" w:type="pct"/>
            <w:vAlign w:val="center"/>
          </w:tcPr>
          <w:p w14:paraId="695D4EB1">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60</w:t>
            </w:r>
          </w:p>
        </w:tc>
      </w:tr>
      <w:tr w14:paraId="71F0B7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247D3AF1">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3</w:t>
            </w:r>
          </w:p>
        </w:tc>
        <w:tc>
          <w:tcPr>
            <w:tcW w:w="2694" w:type="pct"/>
            <w:vAlign w:val="center"/>
          </w:tcPr>
          <w:p w14:paraId="734B0843">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粗砂</w:t>
            </w:r>
          </w:p>
        </w:tc>
        <w:tc>
          <w:tcPr>
            <w:tcW w:w="670" w:type="pct"/>
            <w:vAlign w:val="center"/>
          </w:tcPr>
          <w:p w14:paraId="2088F4F1">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m</w:t>
            </w:r>
            <w:r>
              <w:rPr>
                <w:color w:val="000000" w:themeColor="text1"/>
                <w:szCs w:val="18"/>
                <w:vertAlign w:val="superscript"/>
                <w14:textFill>
                  <w14:solidFill>
                    <w14:schemeClr w14:val="tx1"/>
                  </w14:solidFill>
                </w14:textFill>
              </w:rPr>
              <w:t>3</w:t>
            </w:r>
          </w:p>
        </w:tc>
        <w:tc>
          <w:tcPr>
            <w:tcW w:w="938" w:type="pct"/>
            <w:vAlign w:val="center"/>
          </w:tcPr>
          <w:p w14:paraId="41298C1B">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165</w:t>
            </w:r>
          </w:p>
        </w:tc>
      </w:tr>
      <w:tr w14:paraId="30DBA5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3AB800B2">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4</w:t>
            </w:r>
          </w:p>
        </w:tc>
        <w:tc>
          <w:tcPr>
            <w:tcW w:w="2694" w:type="pct"/>
            <w:vAlign w:val="center"/>
          </w:tcPr>
          <w:p w14:paraId="3FFF7B4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细砂</w:t>
            </w:r>
          </w:p>
        </w:tc>
        <w:tc>
          <w:tcPr>
            <w:tcW w:w="670" w:type="pct"/>
            <w:vAlign w:val="center"/>
          </w:tcPr>
          <w:p w14:paraId="4728A7EF">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m</w:t>
            </w:r>
            <w:r>
              <w:rPr>
                <w:color w:val="000000" w:themeColor="text1"/>
                <w:szCs w:val="18"/>
                <w:vertAlign w:val="superscript"/>
                <w14:textFill>
                  <w14:solidFill>
                    <w14:schemeClr w14:val="tx1"/>
                  </w14:solidFill>
                </w14:textFill>
              </w:rPr>
              <w:t>3</w:t>
            </w:r>
          </w:p>
        </w:tc>
        <w:tc>
          <w:tcPr>
            <w:tcW w:w="938" w:type="pct"/>
            <w:vAlign w:val="center"/>
          </w:tcPr>
          <w:p w14:paraId="7DBF598E">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160</w:t>
            </w:r>
          </w:p>
        </w:tc>
      </w:tr>
      <w:tr w14:paraId="4C7410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7570D3D0">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5</w:t>
            </w:r>
          </w:p>
        </w:tc>
        <w:tc>
          <w:tcPr>
            <w:tcW w:w="2694" w:type="pct"/>
            <w:vAlign w:val="center"/>
          </w:tcPr>
          <w:p w14:paraId="047AC236">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卵石（5</w:t>
            </w:r>
            <w:r>
              <w:rPr>
                <w:color w:val="000000" w:themeColor="text1"/>
                <w:szCs w:val="18"/>
                <w14:textFill>
                  <w14:solidFill>
                    <w14:schemeClr w14:val="tx1"/>
                  </w14:solidFill>
                </w14:textFill>
              </w:rPr>
              <w:t>~20mm</w:t>
            </w:r>
            <w:r>
              <w:rPr>
                <w:rFonts w:hint="eastAsia"/>
                <w:color w:val="000000" w:themeColor="text1"/>
                <w:szCs w:val="18"/>
                <w14:textFill>
                  <w14:solidFill>
                    <w14:schemeClr w14:val="tx1"/>
                  </w14:solidFill>
                </w14:textFill>
              </w:rPr>
              <w:t>）</w:t>
            </w:r>
          </w:p>
        </w:tc>
        <w:tc>
          <w:tcPr>
            <w:tcW w:w="670" w:type="pct"/>
            <w:vAlign w:val="center"/>
          </w:tcPr>
          <w:p w14:paraId="7479379A">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m</w:t>
            </w:r>
            <w:r>
              <w:rPr>
                <w:color w:val="000000" w:themeColor="text1"/>
                <w:szCs w:val="18"/>
                <w:vertAlign w:val="superscript"/>
                <w14:textFill>
                  <w14:solidFill>
                    <w14:schemeClr w14:val="tx1"/>
                  </w14:solidFill>
                </w14:textFill>
              </w:rPr>
              <w:t>3</w:t>
            </w:r>
          </w:p>
        </w:tc>
        <w:tc>
          <w:tcPr>
            <w:tcW w:w="938" w:type="pct"/>
            <w:vAlign w:val="center"/>
          </w:tcPr>
          <w:p w14:paraId="695712AB">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125</w:t>
            </w:r>
          </w:p>
        </w:tc>
      </w:tr>
      <w:tr w14:paraId="01FC30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1BABB051">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6</w:t>
            </w:r>
          </w:p>
        </w:tc>
        <w:tc>
          <w:tcPr>
            <w:tcW w:w="2694" w:type="pct"/>
            <w:vAlign w:val="center"/>
          </w:tcPr>
          <w:p w14:paraId="2497C4A8">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水泥32.5</w:t>
            </w:r>
          </w:p>
        </w:tc>
        <w:tc>
          <w:tcPr>
            <w:tcW w:w="670" w:type="pct"/>
            <w:vAlign w:val="center"/>
          </w:tcPr>
          <w:p w14:paraId="6D602178">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t</w:t>
            </w:r>
          </w:p>
        </w:tc>
        <w:tc>
          <w:tcPr>
            <w:tcW w:w="938" w:type="pct"/>
            <w:vAlign w:val="center"/>
          </w:tcPr>
          <w:p w14:paraId="1BF0DA87">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420</w:t>
            </w:r>
          </w:p>
        </w:tc>
      </w:tr>
      <w:tr w14:paraId="4C97F4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42CE4517">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7</w:t>
            </w:r>
          </w:p>
        </w:tc>
        <w:tc>
          <w:tcPr>
            <w:tcW w:w="2694" w:type="pct"/>
            <w:vAlign w:val="center"/>
          </w:tcPr>
          <w:p w14:paraId="7E3D4F8E">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柴油</w:t>
            </w:r>
          </w:p>
        </w:tc>
        <w:tc>
          <w:tcPr>
            <w:tcW w:w="670" w:type="pct"/>
            <w:vAlign w:val="center"/>
          </w:tcPr>
          <w:p w14:paraId="11220761">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kg</w:t>
            </w:r>
          </w:p>
        </w:tc>
        <w:tc>
          <w:tcPr>
            <w:tcW w:w="938" w:type="pct"/>
            <w:vAlign w:val="center"/>
          </w:tcPr>
          <w:p w14:paraId="6181D367">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7.07</w:t>
            </w:r>
          </w:p>
        </w:tc>
      </w:tr>
      <w:tr w14:paraId="3A7C51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7C9DFD7F">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8</w:t>
            </w:r>
          </w:p>
        </w:tc>
        <w:tc>
          <w:tcPr>
            <w:tcW w:w="2694" w:type="pct"/>
            <w:vAlign w:val="center"/>
          </w:tcPr>
          <w:p w14:paraId="5412F9CE">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汽油</w:t>
            </w:r>
          </w:p>
        </w:tc>
        <w:tc>
          <w:tcPr>
            <w:tcW w:w="670" w:type="pct"/>
            <w:vAlign w:val="center"/>
          </w:tcPr>
          <w:p w14:paraId="770639A9">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kg</w:t>
            </w:r>
          </w:p>
        </w:tc>
        <w:tc>
          <w:tcPr>
            <w:tcW w:w="938" w:type="pct"/>
            <w:vAlign w:val="center"/>
          </w:tcPr>
          <w:p w14:paraId="44DF02D4">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8.10</w:t>
            </w:r>
          </w:p>
        </w:tc>
      </w:tr>
      <w:tr w14:paraId="0BA2E9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4E4A282A">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9</w:t>
            </w:r>
          </w:p>
        </w:tc>
        <w:tc>
          <w:tcPr>
            <w:tcW w:w="2694" w:type="pct"/>
            <w:vAlign w:val="center"/>
          </w:tcPr>
          <w:p w14:paraId="0DF3A2C3">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密目网</w:t>
            </w:r>
          </w:p>
        </w:tc>
        <w:tc>
          <w:tcPr>
            <w:tcW w:w="670" w:type="pct"/>
          </w:tcPr>
          <w:p w14:paraId="56B7BB9A">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m²</w:t>
            </w:r>
          </w:p>
        </w:tc>
        <w:tc>
          <w:tcPr>
            <w:tcW w:w="938" w:type="pct"/>
            <w:vAlign w:val="center"/>
          </w:tcPr>
          <w:p w14:paraId="61A4D597">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1.50</w:t>
            </w:r>
          </w:p>
        </w:tc>
      </w:tr>
      <w:tr w14:paraId="60F4D9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189" w:type="dxa"/>
            <w:vAlign w:val="center"/>
          </w:tcPr>
          <w:p w14:paraId="03D59631">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0</w:t>
            </w:r>
          </w:p>
        </w:tc>
        <w:tc>
          <w:tcPr>
            <w:tcW w:w="2694" w:type="pct"/>
            <w:vAlign w:val="center"/>
          </w:tcPr>
          <w:p w14:paraId="33EF8010">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防雨土工布</w:t>
            </w:r>
          </w:p>
        </w:tc>
        <w:tc>
          <w:tcPr>
            <w:tcW w:w="670" w:type="pct"/>
          </w:tcPr>
          <w:p w14:paraId="0610AA60">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m</w:t>
            </w:r>
            <w:r>
              <w:rPr>
                <w:rFonts w:hint="eastAsia"/>
                <w:color w:val="000000" w:themeColor="text1"/>
                <w:szCs w:val="18"/>
                <w:vertAlign w:val="superscript"/>
                <w14:textFill>
                  <w14:solidFill>
                    <w14:schemeClr w14:val="tx1"/>
                  </w14:solidFill>
                </w14:textFill>
              </w:rPr>
              <w:t>2</w:t>
            </w:r>
          </w:p>
        </w:tc>
        <w:tc>
          <w:tcPr>
            <w:tcW w:w="938" w:type="pct"/>
            <w:vAlign w:val="center"/>
          </w:tcPr>
          <w:p w14:paraId="4864E011">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2.</w:t>
            </w:r>
            <w:r>
              <w:rPr>
                <w:rFonts w:hint="eastAsia"/>
                <w:color w:val="000000" w:themeColor="text1"/>
                <w:szCs w:val="18"/>
                <w14:textFill>
                  <w14:solidFill>
                    <w14:schemeClr w14:val="tx1"/>
                  </w14:solidFill>
                </w14:textFill>
              </w:rPr>
              <w:t>70</w:t>
            </w:r>
          </w:p>
        </w:tc>
      </w:tr>
      <w:tr w14:paraId="519098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189" w:type="dxa"/>
            <w:vAlign w:val="center"/>
          </w:tcPr>
          <w:p w14:paraId="2C377847">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w:t>
            </w:r>
            <w:r>
              <w:rPr>
                <w:color w:val="000000" w:themeColor="text1"/>
                <w:szCs w:val="18"/>
                <w14:textFill>
                  <w14:solidFill>
                    <w14:schemeClr w14:val="tx1"/>
                  </w14:solidFill>
                </w14:textFill>
              </w:rPr>
              <w:t>1</w:t>
            </w:r>
          </w:p>
        </w:tc>
        <w:tc>
          <w:tcPr>
            <w:tcW w:w="2694" w:type="pct"/>
            <w:vAlign w:val="center"/>
          </w:tcPr>
          <w:p w14:paraId="670E0A3E">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水</w:t>
            </w:r>
          </w:p>
        </w:tc>
        <w:tc>
          <w:tcPr>
            <w:tcW w:w="670" w:type="pct"/>
          </w:tcPr>
          <w:p w14:paraId="20ABCD2F">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t</w:t>
            </w:r>
          </w:p>
        </w:tc>
        <w:tc>
          <w:tcPr>
            <w:tcW w:w="938" w:type="pct"/>
            <w:vAlign w:val="center"/>
          </w:tcPr>
          <w:p w14:paraId="79EB43AF">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3.</w:t>
            </w:r>
            <w:r>
              <w:rPr>
                <w:rFonts w:hint="eastAsia"/>
                <w:color w:val="000000" w:themeColor="text1"/>
                <w:szCs w:val="18"/>
                <w14:textFill>
                  <w14:solidFill>
                    <w14:schemeClr w14:val="tx1"/>
                  </w14:solidFill>
                </w14:textFill>
              </w:rPr>
              <w:t>40</w:t>
            </w:r>
          </w:p>
        </w:tc>
      </w:tr>
      <w:tr w14:paraId="4C537D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98" w:type="pct"/>
            <w:vAlign w:val="center"/>
          </w:tcPr>
          <w:p w14:paraId="334845DF">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12</w:t>
            </w:r>
          </w:p>
        </w:tc>
        <w:tc>
          <w:tcPr>
            <w:tcW w:w="2694" w:type="pct"/>
            <w:vAlign w:val="center"/>
          </w:tcPr>
          <w:p w14:paraId="76AD3A33">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电</w:t>
            </w:r>
          </w:p>
        </w:tc>
        <w:tc>
          <w:tcPr>
            <w:tcW w:w="670" w:type="pct"/>
          </w:tcPr>
          <w:p w14:paraId="6E9EAD96">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kw▪h</w:t>
            </w:r>
          </w:p>
        </w:tc>
        <w:tc>
          <w:tcPr>
            <w:tcW w:w="938" w:type="pct"/>
            <w:vAlign w:val="center"/>
          </w:tcPr>
          <w:p w14:paraId="58764575">
            <w:pPr>
              <w:pStyle w:val="34"/>
              <w:rPr>
                <w:color w:val="000000" w:themeColor="text1"/>
                <w:szCs w:val="18"/>
                <w14:textFill>
                  <w14:solidFill>
                    <w14:schemeClr w14:val="tx1"/>
                  </w14:solidFill>
                </w14:textFill>
              </w:rPr>
            </w:pPr>
            <w:r>
              <w:rPr>
                <w:rFonts w:hint="eastAsia"/>
                <w:color w:val="000000" w:themeColor="text1"/>
                <w:szCs w:val="18"/>
                <w14:textFill>
                  <w14:solidFill>
                    <w14:schemeClr w14:val="tx1"/>
                  </w14:solidFill>
                </w14:textFill>
              </w:rPr>
              <w:t>1.50</w:t>
            </w:r>
          </w:p>
        </w:tc>
      </w:tr>
    </w:tbl>
    <w:p w14:paraId="3A14F647">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（3）施工用电、水价格</w:t>
      </w:r>
    </w:p>
    <w:p w14:paraId="5138D171">
      <w:pPr>
        <w:widowControl/>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水、电费采用主体工程施工用电、用水价格：施工用水水费按 3.40 元/m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 xml:space="preserve"> 计，电费按 1.50 元/kw·h 计。</w:t>
      </w:r>
    </w:p>
    <w:p w14:paraId="0BC7B91D">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（4）施工机械台班费</w:t>
      </w:r>
    </w:p>
    <w:p w14:paraId="081557F1">
      <w:pPr>
        <w:widowControl/>
        <w:ind w:firstLine="480"/>
        <w:rPr>
          <w:color w:val="000000" w:themeColor="text1"/>
          <w14:textFill>
            <w14:solidFill>
              <w14:schemeClr w14:val="tx1"/>
            </w14:solidFill>
          </w14:textFill>
        </w:rPr>
      </w:pPr>
      <w:bookmarkStart w:id="118" w:name="_Hlk145151685"/>
      <w:r>
        <w:rPr>
          <w:rFonts w:hint="eastAsia"/>
          <w:color w:val="000000" w:themeColor="text1"/>
          <w14:textFill>
            <w14:solidFill>
              <w14:schemeClr w14:val="tx1"/>
            </w14:solidFill>
          </w14:textFill>
        </w:rPr>
        <w:t>施工机械使用费采用《水土保持工程概算定额》（水总[2003]67号）附录中的施工机械台时费定额计算</w:t>
      </w:r>
      <w:r>
        <w:rPr>
          <w:color w:val="000000" w:themeColor="text1"/>
          <w14:textFill>
            <w14:solidFill>
              <w14:schemeClr w14:val="tx1"/>
            </w14:solidFill>
          </w14:textFill>
        </w:rPr>
        <w:t>。</w:t>
      </w:r>
    </w:p>
    <w:bookmarkEnd w:id="118"/>
    <w:p w14:paraId="35DB7A30">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表7.1-2                         施工机械台时费                       单位：元</w:t>
      </w:r>
    </w:p>
    <w:tbl>
      <w:tblPr>
        <w:tblStyle w:val="26"/>
        <w:tblW w:w="8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4"/>
        <w:gridCol w:w="1335"/>
        <w:gridCol w:w="807"/>
        <w:gridCol w:w="1077"/>
        <w:gridCol w:w="1077"/>
        <w:gridCol w:w="1077"/>
        <w:gridCol w:w="1077"/>
        <w:gridCol w:w="1243"/>
      </w:tblGrid>
      <w:tr w14:paraId="04158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24" w:type="dxa"/>
            <w:vMerge w:val="restart"/>
            <w:shd w:val="clear" w:color="auto" w:fill="auto"/>
            <w:vAlign w:val="center"/>
          </w:tcPr>
          <w:p w14:paraId="3FEB61C6">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序号</w:t>
            </w:r>
          </w:p>
        </w:tc>
        <w:tc>
          <w:tcPr>
            <w:tcW w:w="1335" w:type="dxa"/>
            <w:vMerge w:val="restart"/>
            <w:shd w:val="clear" w:color="auto" w:fill="auto"/>
            <w:vAlign w:val="center"/>
          </w:tcPr>
          <w:p w14:paraId="4412B6B5">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名称及规格</w:t>
            </w:r>
          </w:p>
        </w:tc>
        <w:tc>
          <w:tcPr>
            <w:tcW w:w="807" w:type="dxa"/>
            <w:vMerge w:val="restart"/>
            <w:shd w:val="clear" w:color="auto" w:fill="auto"/>
            <w:vAlign w:val="center"/>
          </w:tcPr>
          <w:p w14:paraId="1CF80610">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台时费</w:t>
            </w:r>
          </w:p>
        </w:tc>
        <w:tc>
          <w:tcPr>
            <w:tcW w:w="5551" w:type="dxa"/>
            <w:gridSpan w:val="5"/>
            <w:shd w:val="clear" w:color="auto" w:fill="auto"/>
            <w:vAlign w:val="center"/>
          </w:tcPr>
          <w:p w14:paraId="720D5226">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其</w:t>
            </w:r>
            <w:r>
              <w:rPr>
                <w:rFonts w:cs="Times New Roman"/>
                <w:color w:val="000000" w:themeColor="text1"/>
                <w:kern w:val="0"/>
                <w:sz w:val="18"/>
                <w:szCs w:val="18"/>
                <w14:textFill>
                  <w14:solidFill>
                    <w14:schemeClr w14:val="tx1"/>
                  </w14:solidFill>
                </w14:textFill>
              </w:rPr>
              <w:t xml:space="preserve">    </w:t>
            </w:r>
            <w:r>
              <w:rPr>
                <w:rFonts w:hint="eastAsia" w:ascii="仿宋_GB2312" w:hAnsi="宋体" w:cs="宋体"/>
                <w:color w:val="000000" w:themeColor="text1"/>
                <w:kern w:val="0"/>
                <w:sz w:val="18"/>
                <w:szCs w:val="18"/>
                <w14:textFill>
                  <w14:solidFill>
                    <w14:schemeClr w14:val="tx1"/>
                  </w14:solidFill>
                </w14:textFill>
              </w:rPr>
              <w:t>中</w:t>
            </w:r>
          </w:p>
        </w:tc>
      </w:tr>
      <w:tr w14:paraId="74ABF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624" w:type="dxa"/>
            <w:vMerge w:val="continue"/>
            <w:vAlign w:val="center"/>
          </w:tcPr>
          <w:p w14:paraId="47FB2232">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1335" w:type="dxa"/>
            <w:vMerge w:val="continue"/>
            <w:vAlign w:val="center"/>
          </w:tcPr>
          <w:p w14:paraId="085BBD52">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807" w:type="dxa"/>
            <w:vMerge w:val="continue"/>
            <w:vAlign w:val="center"/>
          </w:tcPr>
          <w:p w14:paraId="427AAE82">
            <w:pPr>
              <w:widowControl/>
              <w:adjustRightInd/>
              <w:snapToGrid/>
              <w:spacing w:line="240" w:lineRule="auto"/>
              <w:ind w:firstLine="0" w:firstLineChars="0"/>
              <w:jc w:val="left"/>
              <w:rPr>
                <w:rFonts w:hint="eastAsia" w:ascii="仿宋_GB2312" w:hAnsi="宋体" w:cs="宋体"/>
                <w:color w:val="000000" w:themeColor="text1"/>
                <w:kern w:val="0"/>
                <w:sz w:val="18"/>
                <w:szCs w:val="18"/>
                <w14:textFill>
                  <w14:solidFill>
                    <w14:schemeClr w14:val="tx1"/>
                  </w14:solidFill>
                </w14:textFill>
              </w:rPr>
            </w:pPr>
          </w:p>
        </w:tc>
        <w:tc>
          <w:tcPr>
            <w:tcW w:w="1077" w:type="dxa"/>
            <w:shd w:val="clear" w:color="auto" w:fill="auto"/>
            <w:vAlign w:val="center"/>
          </w:tcPr>
          <w:p w14:paraId="77858225">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折旧费</w:t>
            </w:r>
          </w:p>
        </w:tc>
        <w:tc>
          <w:tcPr>
            <w:tcW w:w="1077" w:type="dxa"/>
            <w:shd w:val="clear" w:color="auto" w:fill="auto"/>
            <w:vAlign w:val="center"/>
          </w:tcPr>
          <w:p w14:paraId="57DECC3C">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修理及替</w:t>
            </w:r>
          </w:p>
          <w:p w14:paraId="194E114F">
            <w:pPr>
              <w:spacing w:line="240" w:lineRule="auto"/>
              <w:ind w:firstLine="0" w:firstLineChars="0"/>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换设备费</w:t>
            </w:r>
          </w:p>
        </w:tc>
        <w:tc>
          <w:tcPr>
            <w:tcW w:w="1077" w:type="dxa"/>
            <w:shd w:val="clear" w:color="auto" w:fill="auto"/>
            <w:vAlign w:val="center"/>
          </w:tcPr>
          <w:p w14:paraId="62FAD2AC">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安拆费</w:t>
            </w:r>
          </w:p>
        </w:tc>
        <w:tc>
          <w:tcPr>
            <w:tcW w:w="1077" w:type="dxa"/>
            <w:shd w:val="clear" w:color="auto" w:fill="auto"/>
            <w:vAlign w:val="center"/>
          </w:tcPr>
          <w:p w14:paraId="4B70FB8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人工费</w:t>
            </w:r>
          </w:p>
        </w:tc>
        <w:tc>
          <w:tcPr>
            <w:tcW w:w="1243" w:type="dxa"/>
            <w:shd w:val="clear" w:color="auto" w:fill="auto"/>
            <w:vAlign w:val="center"/>
          </w:tcPr>
          <w:p w14:paraId="486F6614">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动力燃料费</w:t>
            </w:r>
          </w:p>
        </w:tc>
      </w:tr>
      <w:tr w14:paraId="3E719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exact"/>
          <w:jc w:val="center"/>
        </w:trPr>
        <w:tc>
          <w:tcPr>
            <w:tcW w:w="624" w:type="dxa"/>
            <w:shd w:val="clear" w:color="auto" w:fill="auto"/>
            <w:vAlign w:val="center"/>
          </w:tcPr>
          <w:p w14:paraId="036BB5DD">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1</w:t>
            </w:r>
          </w:p>
        </w:tc>
        <w:tc>
          <w:tcPr>
            <w:tcW w:w="1335" w:type="dxa"/>
            <w:shd w:val="clear" w:color="auto" w:fill="auto"/>
            <w:vAlign w:val="center"/>
          </w:tcPr>
          <w:p w14:paraId="562C807A">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油动挖掘机</w:t>
            </w:r>
            <w:r>
              <w:rPr>
                <w:rFonts w:cs="Times New Roman"/>
                <w:color w:val="000000" w:themeColor="text1"/>
                <w:kern w:val="0"/>
                <w:sz w:val="18"/>
                <w:szCs w:val="18"/>
                <w14:textFill>
                  <w14:solidFill>
                    <w14:schemeClr w14:val="tx1"/>
                  </w14:solidFill>
                </w14:textFill>
              </w:rPr>
              <w:t>0.5m</w:t>
            </w:r>
            <w:r>
              <w:rPr>
                <w:rFonts w:cs="Times New Roman"/>
                <w:color w:val="000000" w:themeColor="text1"/>
                <w:kern w:val="0"/>
                <w:sz w:val="18"/>
                <w:szCs w:val="18"/>
                <w:vertAlign w:val="superscript"/>
                <w14:textFill>
                  <w14:solidFill>
                    <w14:schemeClr w14:val="tx1"/>
                  </w14:solidFill>
                </w14:textFill>
              </w:rPr>
              <w:t>3</w:t>
            </w:r>
          </w:p>
        </w:tc>
        <w:tc>
          <w:tcPr>
            <w:tcW w:w="807" w:type="dxa"/>
            <w:shd w:val="clear" w:color="auto" w:fill="auto"/>
            <w:vAlign w:val="center"/>
          </w:tcPr>
          <w:p w14:paraId="0449B412">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148.25 </w:t>
            </w:r>
          </w:p>
        </w:tc>
        <w:tc>
          <w:tcPr>
            <w:tcW w:w="1077" w:type="dxa"/>
            <w:shd w:val="clear" w:color="auto" w:fill="auto"/>
            <w:vAlign w:val="center"/>
          </w:tcPr>
          <w:p w14:paraId="1A8DD1A9">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21.97 </w:t>
            </w:r>
          </w:p>
        </w:tc>
        <w:tc>
          <w:tcPr>
            <w:tcW w:w="1077" w:type="dxa"/>
            <w:shd w:val="clear" w:color="auto" w:fill="auto"/>
            <w:vAlign w:val="center"/>
          </w:tcPr>
          <w:p w14:paraId="4DB0FFEF">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20.47 </w:t>
            </w:r>
          </w:p>
        </w:tc>
        <w:tc>
          <w:tcPr>
            <w:tcW w:w="1077" w:type="dxa"/>
            <w:shd w:val="clear" w:color="auto" w:fill="auto"/>
            <w:vAlign w:val="center"/>
          </w:tcPr>
          <w:p w14:paraId="1A574EDD">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1.48 </w:t>
            </w:r>
          </w:p>
        </w:tc>
        <w:tc>
          <w:tcPr>
            <w:tcW w:w="1077" w:type="dxa"/>
            <w:shd w:val="clear" w:color="auto" w:fill="auto"/>
            <w:vAlign w:val="center"/>
          </w:tcPr>
          <w:p w14:paraId="2279425D">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72.23 </w:t>
            </w:r>
          </w:p>
        </w:tc>
        <w:tc>
          <w:tcPr>
            <w:tcW w:w="1243" w:type="dxa"/>
            <w:shd w:val="clear" w:color="auto" w:fill="auto"/>
            <w:vAlign w:val="center"/>
          </w:tcPr>
          <w:p w14:paraId="20F3A79A">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32.10 </w:t>
            </w:r>
          </w:p>
        </w:tc>
      </w:tr>
      <w:tr w14:paraId="054B5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24" w:type="dxa"/>
            <w:shd w:val="clear" w:color="auto" w:fill="auto"/>
            <w:vAlign w:val="center"/>
          </w:tcPr>
          <w:p w14:paraId="26279265">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2</w:t>
            </w:r>
          </w:p>
        </w:tc>
        <w:tc>
          <w:tcPr>
            <w:tcW w:w="1335" w:type="dxa"/>
            <w:shd w:val="clear" w:color="auto" w:fill="auto"/>
            <w:vAlign w:val="center"/>
          </w:tcPr>
          <w:p w14:paraId="5727E1E4">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推土机</w:t>
            </w:r>
            <w:r>
              <w:rPr>
                <w:rFonts w:cs="Times New Roman"/>
                <w:color w:val="000000" w:themeColor="text1"/>
                <w:kern w:val="0"/>
                <w:sz w:val="18"/>
                <w:szCs w:val="18"/>
                <w14:textFill>
                  <w14:solidFill>
                    <w14:schemeClr w14:val="tx1"/>
                  </w14:solidFill>
                </w14:textFill>
              </w:rPr>
              <w:t>59KW</w:t>
            </w:r>
          </w:p>
        </w:tc>
        <w:tc>
          <w:tcPr>
            <w:tcW w:w="807" w:type="dxa"/>
            <w:shd w:val="clear" w:color="auto" w:fill="auto"/>
            <w:vAlign w:val="center"/>
          </w:tcPr>
          <w:p w14:paraId="3011C052">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113.71 </w:t>
            </w:r>
          </w:p>
        </w:tc>
        <w:tc>
          <w:tcPr>
            <w:tcW w:w="1077" w:type="dxa"/>
            <w:shd w:val="clear" w:color="auto" w:fill="auto"/>
            <w:vAlign w:val="center"/>
          </w:tcPr>
          <w:p w14:paraId="340BD11F">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10.80 </w:t>
            </w:r>
          </w:p>
        </w:tc>
        <w:tc>
          <w:tcPr>
            <w:tcW w:w="1077" w:type="dxa"/>
            <w:shd w:val="clear" w:color="auto" w:fill="auto"/>
            <w:vAlign w:val="center"/>
          </w:tcPr>
          <w:p w14:paraId="4462691B">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13.02 </w:t>
            </w:r>
          </w:p>
        </w:tc>
        <w:tc>
          <w:tcPr>
            <w:tcW w:w="1077" w:type="dxa"/>
            <w:shd w:val="clear" w:color="auto" w:fill="auto"/>
            <w:vAlign w:val="center"/>
          </w:tcPr>
          <w:p w14:paraId="0E66F84B">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0.49 </w:t>
            </w:r>
          </w:p>
        </w:tc>
        <w:tc>
          <w:tcPr>
            <w:tcW w:w="1077" w:type="dxa"/>
            <w:shd w:val="clear" w:color="auto" w:fill="auto"/>
            <w:vAlign w:val="center"/>
          </w:tcPr>
          <w:p w14:paraId="1F5013AA">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64.20 </w:t>
            </w:r>
          </w:p>
        </w:tc>
        <w:tc>
          <w:tcPr>
            <w:tcW w:w="1243" w:type="dxa"/>
            <w:shd w:val="clear" w:color="auto" w:fill="auto"/>
            <w:vAlign w:val="center"/>
          </w:tcPr>
          <w:p w14:paraId="5E0F1FFF">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25.20 </w:t>
            </w:r>
          </w:p>
        </w:tc>
      </w:tr>
      <w:tr w14:paraId="33252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24" w:type="dxa"/>
            <w:shd w:val="clear" w:color="auto" w:fill="auto"/>
            <w:vAlign w:val="center"/>
          </w:tcPr>
          <w:p w14:paraId="378EACD1">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3</w:t>
            </w:r>
          </w:p>
        </w:tc>
        <w:tc>
          <w:tcPr>
            <w:tcW w:w="1335" w:type="dxa"/>
            <w:shd w:val="clear" w:color="auto" w:fill="auto"/>
            <w:vAlign w:val="center"/>
          </w:tcPr>
          <w:p w14:paraId="7788B09A">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拖拉机</w:t>
            </w:r>
            <w:r>
              <w:rPr>
                <w:rFonts w:cs="Times New Roman"/>
                <w:color w:val="000000" w:themeColor="text1"/>
                <w:kern w:val="0"/>
                <w:sz w:val="18"/>
                <w:szCs w:val="18"/>
                <w14:textFill>
                  <w14:solidFill>
                    <w14:schemeClr w14:val="tx1"/>
                  </w14:solidFill>
                </w14:textFill>
              </w:rPr>
              <w:t xml:space="preserve"> 37KW</w:t>
            </w:r>
          </w:p>
        </w:tc>
        <w:tc>
          <w:tcPr>
            <w:tcW w:w="807" w:type="dxa"/>
            <w:shd w:val="clear" w:color="auto" w:fill="auto"/>
            <w:vAlign w:val="center"/>
          </w:tcPr>
          <w:p w14:paraId="51EC0C9D">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56.63 </w:t>
            </w:r>
          </w:p>
        </w:tc>
        <w:tc>
          <w:tcPr>
            <w:tcW w:w="1077" w:type="dxa"/>
            <w:shd w:val="clear" w:color="auto" w:fill="auto"/>
            <w:vAlign w:val="center"/>
          </w:tcPr>
          <w:p w14:paraId="67ACC8D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3.04 </w:t>
            </w:r>
          </w:p>
        </w:tc>
        <w:tc>
          <w:tcPr>
            <w:tcW w:w="1077" w:type="dxa"/>
            <w:shd w:val="clear" w:color="auto" w:fill="auto"/>
            <w:vAlign w:val="center"/>
          </w:tcPr>
          <w:p w14:paraId="6AA29A5A">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3.65 </w:t>
            </w:r>
          </w:p>
        </w:tc>
        <w:tc>
          <w:tcPr>
            <w:tcW w:w="1077" w:type="dxa"/>
            <w:shd w:val="clear" w:color="auto" w:fill="auto"/>
            <w:vAlign w:val="center"/>
          </w:tcPr>
          <w:p w14:paraId="7B086740">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0.16 </w:t>
            </w:r>
          </w:p>
        </w:tc>
        <w:tc>
          <w:tcPr>
            <w:tcW w:w="1077" w:type="dxa"/>
            <w:shd w:val="clear" w:color="auto" w:fill="auto"/>
            <w:vAlign w:val="center"/>
          </w:tcPr>
          <w:p w14:paraId="0C6E0C6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34.78 </w:t>
            </w:r>
          </w:p>
        </w:tc>
        <w:tc>
          <w:tcPr>
            <w:tcW w:w="1243" w:type="dxa"/>
            <w:shd w:val="clear" w:color="auto" w:fill="auto"/>
            <w:vAlign w:val="center"/>
          </w:tcPr>
          <w:p w14:paraId="74DF3C9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15.00 </w:t>
            </w:r>
          </w:p>
        </w:tc>
      </w:tr>
      <w:tr w14:paraId="75332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24" w:type="dxa"/>
            <w:shd w:val="clear" w:color="auto" w:fill="auto"/>
            <w:vAlign w:val="center"/>
          </w:tcPr>
          <w:p w14:paraId="327F92F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4</w:t>
            </w:r>
          </w:p>
        </w:tc>
        <w:tc>
          <w:tcPr>
            <w:tcW w:w="1335" w:type="dxa"/>
            <w:shd w:val="clear" w:color="auto" w:fill="auto"/>
            <w:vAlign w:val="center"/>
          </w:tcPr>
          <w:p w14:paraId="63369F38">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自卸汽车</w:t>
            </w:r>
            <w:r>
              <w:rPr>
                <w:rFonts w:cs="Times New Roman"/>
                <w:color w:val="000000" w:themeColor="text1"/>
                <w:kern w:val="0"/>
                <w:sz w:val="18"/>
                <w:szCs w:val="18"/>
                <w14:textFill>
                  <w14:solidFill>
                    <w14:schemeClr w14:val="tx1"/>
                  </w14:solidFill>
                </w14:textFill>
              </w:rPr>
              <w:t xml:space="preserve"> 5t</w:t>
            </w:r>
          </w:p>
        </w:tc>
        <w:tc>
          <w:tcPr>
            <w:tcW w:w="807" w:type="dxa"/>
            <w:shd w:val="clear" w:color="000000" w:fill="FFFFFF"/>
            <w:vAlign w:val="center"/>
          </w:tcPr>
          <w:p w14:paraId="418700B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76.24 </w:t>
            </w:r>
          </w:p>
        </w:tc>
        <w:tc>
          <w:tcPr>
            <w:tcW w:w="1077" w:type="dxa"/>
            <w:shd w:val="clear" w:color="auto" w:fill="auto"/>
            <w:vAlign w:val="center"/>
          </w:tcPr>
          <w:p w14:paraId="7333FA85">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9.33 </w:t>
            </w:r>
          </w:p>
        </w:tc>
        <w:tc>
          <w:tcPr>
            <w:tcW w:w="1077" w:type="dxa"/>
            <w:shd w:val="clear" w:color="auto" w:fill="auto"/>
            <w:vAlign w:val="center"/>
          </w:tcPr>
          <w:p w14:paraId="2C1EB26F">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4.84 </w:t>
            </w:r>
          </w:p>
        </w:tc>
        <w:tc>
          <w:tcPr>
            <w:tcW w:w="1077" w:type="dxa"/>
            <w:shd w:val="clear" w:color="auto" w:fill="auto"/>
            <w:vAlign w:val="center"/>
          </w:tcPr>
          <w:p w14:paraId="30B01861">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w:t>
            </w:r>
          </w:p>
        </w:tc>
        <w:tc>
          <w:tcPr>
            <w:tcW w:w="1077" w:type="dxa"/>
            <w:shd w:val="clear" w:color="auto" w:fill="auto"/>
            <w:vAlign w:val="center"/>
          </w:tcPr>
          <w:p w14:paraId="6EA402B9">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34.78 </w:t>
            </w:r>
          </w:p>
        </w:tc>
        <w:tc>
          <w:tcPr>
            <w:tcW w:w="1243" w:type="dxa"/>
            <w:shd w:val="clear" w:color="auto" w:fill="auto"/>
            <w:vAlign w:val="center"/>
          </w:tcPr>
          <w:p w14:paraId="250969F8">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27.30 </w:t>
            </w:r>
          </w:p>
        </w:tc>
      </w:tr>
      <w:tr w14:paraId="73FE4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exact"/>
          <w:jc w:val="center"/>
        </w:trPr>
        <w:tc>
          <w:tcPr>
            <w:tcW w:w="624" w:type="dxa"/>
            <w:shd w:val="clear" w:color="auto" w:fill="auto"/>
            <w:vAlign w:val="center"/>
          </w:tcPr>
          <w:p w14:paraId="462670F6">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5</w:t>
            </w:r>
          </w:p>
        </w:tc>
        <w:tc>
          <w:tcPr>
            <w:tcW w:w="1335" w:type="dxa"/>
            <w:shd w:val="clear" w:color="auto" w:fill="auto"/>
            <w:vAlign w:val="center"/>
          </w:tcPr>
          <w:p w14:paraId="4BC874FE">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混凝土搅拌机</w:t>
            </w:r>
            <w:r>
              <w:rPr>
                <w:rFonts w:cs="Times New Roman"/>
                <w:color w:val="000000" w:themeColor="text1"/>
                <w:kern w:val="0"/>
                <w:sz w:val="18"/>
                <w:szCs w:val="18"/>
                <w14:textFill>
                  <w14:solidFill>
                    <w14:schemeClr w14:val="tx1"/>
                  </w14:solidFill>
                </w14:textFill>
              </w:rPr>
              <w:t>0.4m</w:t>
            </w:r>
            <w:r>
              <w:rPr>
                <w:rFonts w:cs="Times New Roman"/>
                <w:color w:val="000000" w:themeColor="text1"/>
                <w:kern w:val="0"/>
                <w:sz w:val="18"/>
                <w:szCs w:val="18"/>
                <w:vertAlign w:val="superscript"/>
                <w14:textFill>
                  <w14:solidFill>
                    <w14:schemeClr w14:val="tx1"/>
                  </w14:solidFill>
                </w14:textFill>
              </w:rPr>
              <w:t>3</w:t>
            </w:r>
          </w:p>
        </w:tc>
        <w:tc>
          <w:tcPr>
            <w:tcW w:w="807" w:type="dxa"/>
            <w:shd w:val="clear" w:color="auto" w:fill="auto"/>
            <w:vAlign w:val="center"/>
          </w:tcPr>
          <w:p w14:paraId="643D1621">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50.48 </w:t>
            </w:r>
          </w:p>
        </w:tc>
        <w:tc>
          <w:tcPr>
            <w:tcW w:w="1077" w:type="dxa"/>
            <w:shd w:val="clear" w:color="auto" w:fill="auto"/>
            <w:vAlign w:val="center"/>
          </w:tcPr>
          <w:p w14:paraId="1686D25F">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2.86 </w:t>
            </w:r>
          </w:p>
        </w:tc>
        <w:tc>
          <w:tcPr>
            <w:tcW w:w="1077" w:type="dxa"/>
            <w:shd w:val="clear" w:color="auto" w:fill="auto"/>
            <w:vAlign w:val="center"/>
          </w:tcPr>
          <w:p w14:paraId="4D414CF2">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4.81 </w:t>
            </w:r>
          </w:p>
        </w:tc>
        <w:tc>
          <w:tcPr>
            <w:tcW w:w="1077" w:type="dxa"/>
            <w:shd w:val="clear" w:color="auto" w:fill="auto"/>
            <w:vAlign w:val="center"/>
          </w:tcPr>
          <w:p w14:paraId="5D31AFD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1.07 </w:t>
            </w:r>
          </w:p>
        </w:tc>
        <w:tc>
          <w:tcPr>
            <w:tcW w:w="1077" w:type="dxa"/>
            <w:shd w:val="clear" w:color="auto" w:fill="auto"/>
            <w:vAlign w:val="center"/>
          </w:tcPr>
          <w:p w14:paraId="563483DB">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34.78 </w:t>
            </w:r>
          </w:p>
        </w:tc>
        <w:tc>
          <w:tcPr>
            <w:tcW w:w="1243" w:type="dxa"/>
            <w:shd w:val="clear" w:color="auto" w:fill="auto"/>
            <w:vAlign w:val="center"/>
          </w:tcPr>
          <w:p w14:paraId="37B348D8">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hint="eastAsia" w:eastAsia="宋体" w:cs="Times New Roman"/>
                <w:color w:val="000000" w:themeColor="text1"/>
                <w:kern w:val="0"/>
                <w:sz w:val="18"/>
                <w:szCs w:val="18"/>
                <w14:textFill>
                  <w14:solidFill>
                    <w14:schemeClr w14:val="tx1"/>
                  </w14:solidFill>
                </w14:textFill>
              </w:rPr>
              <w:t>0.95</w:t>
            </w:r>
            <w:r>
              <w:rPr>
                <w:rFonts w:eastAsia="宋体" w:cs="Times New Roman"/>
                <w:color w:val="000000" w:themeColor="text1"/>
                <w:kern w:val="0"/>
                <w:sz w:val="18"/>
                <w:szCs w:val="18"/>
                <w14:textFill>
                  <w14:solidFill>
                    <w14:schemeClr w14:val="tx1"/>
                  </w14:solidFill>
                </w14:textFill>
              </w:rPr>
              <w:t xml:space="preserve"> </w:t>
            </w:r>
          </w:p>
        </w:tc>
      </w:tr>
      <w:tr w14:paraId="19A8D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624" w:type="dxa"/>
            <w:shd w:val="clear" w:color="auto" w:fill="auto"/>
            <w:vAlign w:val="center"/>
          </w:tcPr>
          <w:p w14:paraId="7D5A8F8E">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6</w:t>
            </w:r>
          </w:p>
        </w:tc>
        <w:tc>
          <w:tcPr>
            <w:tcW w:w="1335" w:type="dxa"/>
            <w:shd w:val="clear" w:color="auto" w:fill="auto"/>
            <w:vAlign w:val="center"/>
          </w:tcPr>
          <w:p w14:paraId="1642291C">
            <w:pPr>
              <w:widowControl/>
              <w:adjustRightInd/>
              <w:snapToGrid/>
              <w:spacing w:line="240" w:lineRule="auto"/>
              <w:ind w:firstLine="0" w:firstLineChars="0"/>
              <w:jc w:val="center"/>
              <w:rPr>
                <w:rFonts w:hint="eastAsia" w:ascii="仿宋_GB2312" w:hAnsi="宋体" w:cs="宋体"/>
                <w:color w:val="000000" w:themeColor="text1"/>
                <w:kern w:val="0"/>
                <w:sz w:val="18"/>
                <w:szCs w:val="18"/>
                <w14:textFill>
                  <w14:solidFill>
                    <w14:schemeClr w14:val="tx1"/>
                  </w14:solidFill>
                </w14:textFill>
              </w:rPr>
            </w:pPr>
            <w:r>
              <w:rPr>
                <w:rFonts w:hint="eastAsia" w:ascii="仿宋_GB2312" w:hAnsi="宋体" w:cs="宋体"/>
                <w:color w:val="000000" w:themeColor="text1"/>
                <w:kern w:val="0"/>
                <w:sz w:val="18"/>
                <w:szCs w:val="18"/>
                <w14:textFill>
                  <w14:solidFill>
                    <w14:schemeClr w14:val="tx1"/>
                  </w14:solidFill>
                </w14:textFill>
              </w:rPr>
              <w:t>胶轮车</w:t>
            </w:r>
          </w:p>
        </w:tc>
        <w:tc>
          <w:tcPr>
            <w:tcW w:w="807" w:type="dxa"/>
            <w:shd w:val="clear" w:color="auto" w:fill="auto"/>
            <w:vAlign w:val="center"/>
          </w:tcPr>
          <w:p w14:paraId="032FC7A8">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0.80 </w:t>
            </w:r>
          </w:p>
        </w:tc>
        <w:tc>
          <w:tcPr>
            <w:tcW w:w="1077" w:type="dxa"/>
            <w:shd w:val="clear" w:color="auto" w:fill="auto"/>
            <w:vAlign w:val="center"/>
          </w:tcPr>
          <w:p w14:paraId="5B0B1926">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0.23 </w:t>
            </w:r>
          </w:p>
        </w:tc>
        <w:tc>
          <w:tcPr>
            <w:tcW w:w="1077" w:type="dxa"/>
            <w:shd w:val="clear" w:color="auto" w:fill="auto"/>
            <w:vAlign w:val="center"/>
          </w:tcPr>
          <w:p w14:paraId="53D0AB96">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xml:space="preserve">0.58 </w:t>
            </w:r>
          </w:p>
        </w:tc>
        <w:tc>
          <w:tcPr>
            <w:tcW w:w="1077" w:type="dxa"/>
            <w:shd w:val="clear" w:color="auto" w:fill="auto"/>
            <w:vAlign w:val="center"/>
          </w:tcPr>
          <w:p w14:paraId="07536FBD">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w:t>
            </w:r>
          </w:p>
        </w:tc>
        <w:tc>
          <w:tcPr>
            <w:tcW w:w="1077" w:type="dxa"/>
            <w:shd w:val="clear" w:color="auto" w:fill="auto"/>
            <w:vAlign w:val="center"/>
          </w:tcPr>
          <w:p w14:paraId="26F25BC3">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w:t>
            </w:r>
          </w:p>
        </w:tc>
        <w:tc>
          <w:tcPr>
            <w:tcW w:w="1243" w:type="dxa"/>
            <w:shd w:val="clear" w:color="auto" w:fill="auto"/>
            <w:vAlign w:val="center"/>
          </w:tcPr>
          <w:p w14:paraId="3AB700DC">
            <w:pPr>
              <w:widowControl/>
              <w:adjustRightInd/>
              <w:snapToGrid/>
              <w:spacing w:line="240" w:lineRule="auto"/>
              <w:ind w:firstLine="0" w:firstLineChars="0"/>
              <w:jc w:val="center"/>
              <w:rPr>
                <w:rFonts w:eastAsia="宋体" w:cs="Times New Roman"/>
                <w:color w:val="000000" w:themeColor="text1"/>
                <w:kern w:val="0"/>
                <w:sz w:val="18"/>
                <w:szCs w:val="18"/>
                <w14:textFill>
                  <w14:solidFill>
                    <w14:schemeClr w14:val="tx1"/>
                  </w14:solidFill>
                </w14:textFill>
              </w:rPr>
            </w:pPr>
            <w:r>
              <w:rPr>
                <w:rFonts w:eastAsia="宋体" w:cs="Times New Roman"/>
                <w:color w:val="000000" w:themeColor="text1"/>
                <w:kern w:val="0"/>
                <w:sz w:val="18"/>
                <w:szCs w:val="18"/>
                <w14:textFill>
                  <w14:solidFill>
                    <w14:schemeClr w14:val="tx1"/>
                  </w14:solidFill>
                </w14:textFill>
              </w:rPr>
              <w:t>　</w:t>
            </w:r>
          </w:p>
        </w:tc>
      </w:tr>
    </w:tbl>
    <w:p w14:paraId="7DD44861">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（5）定额</w:t>
      </w:r>
    </w:p>
    <w:p w14:paraId="53E99B30">
      <w:pPr>
        <w:widowControl/>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估</w:t>
      </w:r>
      <w:r>
        <w:rPr>
          <w:color w:val="000000" w:themeColor="text1"/>
          <w14:textFill>
            <w14:solidFill>
              <w14:schemeClr w14:val="tx1"/>
            </w14:solidFill>
          </w14:textFill>
        </w:rPr>
        <w:t>算定额采用《水土保持工程概（估）算编制规定和定额》（水总〔2003〕67号）。</w:t>
      </w:r>
    </w:p>
    <w:p w14:paraId="43F35448">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（6）工程费用计算标准及依据</w:t>
      </w:r>
    </w:p>
    <w:p w14:paraId="68F531CF">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措施单价由直接工程费、间接费、企业利润、税金组成，费率计取依据《水土保持工程概（估）算编制规定和定额》。</w:t>
      </w:r>
    </w:p>
    <w:p w14:paraId="2184C25E">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措施单价</w:t>
      </w:r>
    </w:p>
    <w:p w14:paraId="7D2166C3">
      <w:pPr>
        <w:widowControl/>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）直接工程费</w:t>
      </w:r>
    </w:p>
    <w:p w14:paraId="05704626">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工程措施由直接费、其他直接费、现场经费组成。</w:t>
      </w:r>
    </w:p>
    <w:p w14:paraId="3F3FC44C">
      <w:pPr>
        <w:widowControl/>
        <w:ind w:firstLine="480"/>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①</w:t>
      </w:r>
      <w:r>
        <w:rPr>
          <w:color w:val="000000" w:themeColor="text1"/>
          <w14:textFill>
            <w14:solidFill>
              <w14:schemeClr w14:val="tx1"/>
            </w14:solidFill>
          </w14:textFill>
        </w:rPr>
        <w:t>直接费</w:t>
      </w:r>
    </w:p>
    <w:p w14:paraId="0C5A5CB2">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直接费包括人工费、材料费和施工机械使用费。</w:t>
      </w:r>
    </w:p>
    <w:p w14:paraId="01A2DE47">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人工费=劳动定额量（工时）×人工预算单价（元/工时）</w:t>
      </w:r>
    </w:p>
    <w:p w14:paraId="6035F374">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材料费=定额材料用量×材料预算单价</w:t>
      </w:r>
    </w:p>
    <w:p w14:paraId="10C982AF">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机械使用费=定额机械使用量（台时）×施工机械台时费</w:t>
      </w:r>
    </w:p>
    <w:p w14:paraId="1DA734D7">
      <w:pPr>
        <w:widowControl/>
        <w:ind w:firstLine="480"/>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②</w:t>
      </w:r>
      <w:r>
        <w:rPr>
          <w:color w:val="000000" w:themeColor="text1"/>
          <w14:textFill>
            <w14:solidFill>
              <w14:schemeClr w14:val="tx1"/>
            </w14:solidFill>
          </w14:textFill>
        </w:rPr>
        <w:t>其他直接费</w:t>
      </w:r>
    </w:p>
    <w:p w14:paraId="32A2D79A">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其他直接费包括冬雨季施工增加费、夜间施工增加费、施工工具用具使用费，按直接费乘以其他直接费率计算。</w:t>
      </w:r>
    </w:p>
    <w:p w14:paraId="2C35EAF7">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2）间接费</w:t>
      </w:r>
    </w:p>
    <w:p w14:paraId="2B83CC2A">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间接费包括企业管理费、社会保障费、住房公积金、危险作业意外伤害保险，按直接工程费乘以间接费率计算。</w:t>
      </w:r>
    </w:p>
    <w:p w14:paraId="7A3C3734">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3）企业利润</w:t>
      </w:r>
    </w:p>
    <w:p w14:paraId="731EBED2">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按直接工程费与间接费之和乘以企业利润率计算。</w:t>
      </w:r>
    </w:p>
    <w:p w14:paraId="7D8B8515">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4）税金</w:t>
      </w:r>
    </w:p>
    <w:p w14:paraId="6C7D6E23">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按直接工程费、间接费、企业利润之和乘以综合税率计算</w:t>
      </w:r>
    </w:p>
    <w:p w14:paraId="22F72A21">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建筑工程单价=直接工程费+间接费+企业利润+税金</w:t>
      </w:r>
    </w:p>
    <w:p w14:paraId="7F17FFBD">
      <w:pPr>
        <w:widowControl/>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5）扩大系数</w:t>
      </w:r>
    </w:p>
    <w:p w14:paraId="56BAE800">
      <w:pPr>
        <w:widowControl/>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本项目扩大系数按1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%计列。</w:t>
      </w:r>
    </w:p>
    <w:p w14:paraId="5B632908">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6）工程单价</w:t>
      </w:r>
    </w:p>
    <w:p w14:paraId="0629FA5E">
      <w:pPr>
        <w:widowControl/>
        <w:ind w:firstLine="480"/>
        <w:rPr>
          <w:color w:val="000000" w:themeColor="text1"/>
          <w14:textFill>
            <w14:solidFill>
              <w14:schemeClr w14:val="tx1"/>
            </w14:solidFill>
          </w14:textFill>
        </w:rPr>
      </w:pPr>
      <w:r>
        <w:rPr>
          <w:color w:val="000000" w:themeColor="text1"/>
          <w14:textFill>
            <w14:solidFill>
              <w14:schemeClr w14:val="tx1"/>
            </w14:solidFill>
          </w14:textFill>
        </w:rPr>
        <w:t>工程单价=直接工程费+间接费+企业利润+税金</w:t>
      </w:r>
    </w:p>
    <w:p w14:paraId="13768F30">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color w:val="000000" w:themeColor="text1"/>
          <w:szCs w:val="28"/>
          <w14:textFill>
            <w14:solidFill>
              <w14:schemeClr w14:val="tx1"/>
            </w14:solidFill>
          </w14:textFill>
        </w:rPr>
        <w:t>四川省水利厅</w:t>
      </w:r>
      <w:r>
        <w:rPr>
          <w:rFonts w:hint="eastAsia"/>
          <w:color w:val="000000" w:themeColor="text1"/>
          <w:szCs w:val="28"/>
          <w14:textFill>
            <w14:solidFill>
              <w14:schemeClr w14:val="tx1"/>
            </w14:solidFill>
          </w14:textFill>
        </w:rPr>
        <w:t>关于印发《增值税税率调整后&lt;四川省水利水电工程设计概（估）算编制规定&gt;相应调整办法》的通知（川水函</w:t>
      </w:r>
      <w:r>
        <w:rPr>
          <w:rFonts w:hint="eastAsia"/>
          <w:color w:val="000000" w:themeColor="text1"/>
          <w14:textFill>
            <w14:solidFill>
              <w14:schemeClr w14:val="tx1"/>
            </w14:solidFill>
          </w14:textFill>
        </w:rPr>
        <w:t>〔2019〕610号</w:t>
      </w:r>
      <w:r>
        <w:rPr>
          <w:rFonts w:hint="eastAsia"/>
          <w:color w:val="000000" w:themeColor="text1"/>
          <w:szCs w:val="28"/>
          <w14:textFill>
            <w14:solidFill>
              <w14:schemeClr w14:val="tx1"/>
            </w14:solidFill>
          </w14:textFill>
        </w:rPr>
        <w:t>）</w:t>
      </w:r>
      <w:r>
        <w:rPr>
          <w:color w:val="000000" w:themeColor="text1"/>
          <w14:textFill>
            <w14:solidFill>
              <w14:schemeClr w14:val="tx1"/>
            </w14:solidFill>
          </w14:textFill>
        </w:rPr>
        <w:t>确定本项目取费费率，具体详见表</w:t>
      </w:r>
      <w:r>
        <w:rPr>
          <w:rFonts w:hint="eastAsia"/>
          <w:color w:val="000000" w:themeColor="text1"/>
          <w14:textFill>
            <w14:solidFill>
              <w14:schemeClr w14:val="tx1"/>
            </w14:solidFill>
          </w14:textFill>
        </w:rPr>
        <w:t>7.1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p>
    <w:p w14:paraId="465FF044">
      <w:pPr>
        <w:pStyle w:val="33"/>
        <w:ind w:firstLine="1476" w:firstLineChars="70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7.1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投资</w:t>
      </w:r>
      <w:r>
        <w:rPr>
          <w:rFonts w:hint="eastAsia"/>
          <w:color w:val="000000" w:themeColor="text1"/>
          <w14:textFill>
            <w14:solidFill>
              <w14:schemeClr w14:val="tx1"/>
            </w14:solidFill>
          </w14:textFill>
        </w:rPr>
        <w:t>估算</w:t>
      </w:r>
      <w:r>
        <w:rPr>
          <w:color w:val="000000" w:themeColor="text1"/>
          <w14:textFill>
            <w14:solidFill>
              <w14:schemeClr w14:val="tx1"/>
            </w14:solidFill>
          </w14:textFill>
        </w:rPr>
        <w:t xml:space="preserve">费率取值表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单位：%</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1285"/>
        <w:gridCol w:w="1250"/>
        <w:gridCol w:w="1000"/>
        <w:gridCol w:w="957"/>
        <w:gridCol w:w="1000"/>
        <w:gridCol w:w="1185"/>
        <w:gridCol w:w="989"/>
      </w:tblGrid>
      <w:tr w14:paraId="31779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dxa"/>
            <w:vAlign w:val="center"/>
          </w:tcPr>
          <w:p w14:paraId="699133A6">
            <w:pPr>
              <w:pStyle w:val="34"/>
              <w:rPr>
                <w:color w:val="000000" w:themeColor="text1"/>
                <w14:textFill>
                  <w14:solidFill>
                    <w14:schemeClr w14:val="tx1"/>
                  </w14:solidFill>
                </w14:textFill>
              </w:rPr>
            </w:pPr>
            <w:r>
              <w:rPr>
                <w:color w:val="000000" w:themeColor="text1"/>
                <w14:textFill>
                  <w14:solidFill>
                    <w14:schemeClr w14:val="tx1"/>
                  </w14:solidFill>
                </w14:textFill>
              </w:rPr>
              <w:t>编号</w:t>
            </w:r>
          </w:p>
        </w:tc>
        <w:tc>
          <w:tcPr>
            <w:tcW w:w="1285" w:type="dxa"/>
            <w:vAlign w:val="center"/>
          </w:tcPr>
          <w:p w14:paraId="02774412">
            <w:pPr>
              <w:pStyle w:val="34"/>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1250" w:type="dxa"/>
            <w:vAlign w:val="center"/>
          </w:tcPr>
          <w:p w14:paraId="347B1512">
            <w:pPr>
              <w:pStyle w:val="34"/>
              <w:rPr>
                <w:color w:val="000000" w:themeColor="text1"/>
                <w14:textFill>
                  <w14:solidFill>
                    <w14:schemeClr w14:val="tx1"/>
                  </w14:solidFill>
                </w14:textFill>
              </w:rPr>
            </w:pPr>
            <w:r>
              <w:rPr>
                <w:color w:val="000000" w:themeColor="text1"/>
                <w14:textFill>
                  <w14:solidFill>
                    <w14:schemeClr w14:val="tx1"/>
                  </w14:solidFill>
                </w14:textFill>
              </w:rPr>
              <w:t>计算基础</w:t>
            </w:r>
          </w:p>
        </w:tc>
        <w:tc>
          <w:tcPr>
            <w:tcW w:w="1000" w:type="dxa"/>
            <w:vAlign w:val="center"/>
          </w:tcPr>
          <w:p w14:paraId="70E425A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土方工程</w:t>
            </w:r>
          </w:p>
        </w:tc>
        <w:tc>
          <w:tcPr>
            <w:tcW w:w="957" w:type="dxa"/>
            <w:vAlign w:val="center"/>
          </w:tcPr>
          <w:p w14:paraId="7B85B83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石方工程</w:t>
            </w:r>
          </w:p>
        </w:tc>
        <w:tc>
          <w:tcPr>
            <w:tcW w:w="1000" w:type="dxa"/>
            <w:vAlign w:val="center"/>
          </w:tcPr>
          <w:p w14:paraId="53F9A8B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砌石工程</w:t>
            </w:r>
          </w:p>
        </w:tc>
        <w:tc>
          <w:tcPr>
            <w:tcW w:w="1185" w:type="dxa"/>
            <w:vAlign w:val="center"/>
          </w:tcPr>
          <w:p w14:paraId="2BCB5DD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混凝土浇筑工程</w:t>
            </w:r>
          </w:p>
        </w:tc>
        <w:tc>
          <w:tcPr>
            <w:tcW w:w="989" w:type="dxa"/>
            <w:vAlign w:val="center"/>
          </w:tcPr>
          <w:p w14:paraId="33DC9CC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植物措施工程</w:t>
            </w:r>
          </w:p>
        </w:tc>
      </w:tr>
      <w:tr w14:paraId="7AD91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dxa"/>
            <w:vAlign w:val="center"/>
          </w:tcPr>
          <w:p w14:paraId="54363207">
            <w:pPr>
              <w:pStyle w:val="34"/>
              <w:rPr>
                <w:color w:val="000000" w:themeColor="text1"/>
                <w14:textFill>
                  <w14:solidFill>
                    <w14:schemeClr w14:val="tx1"/>
                  </w14:solidFill>
                </w14:textFill>
              </w:rPr>
            </w:pPr>
            <w:r>
              <w:rPr>
                <w:color w:val="000000" w:themeColor="text1"/>
                <w14:textFill>
                  <w14:solidFill>
                    <w14:schemeClr w14:val="tx1"/>
                  </w14:solidFill>
                </w14:textFill>
              </w:rPr>
              <w:t>一</w:t>
            </w:r>
          </w:p>
        </w:tc>
        <w:tc>
          <w:tcPr>
            <w:tcW w:w="1285" w:type="dxa"/>
            <w:vAlign w:val="center"/>
          </w:tcPr>
          <w:p w14:paraId="3E2A0EE2">
            <w:pPr>
              <w:pStyle w:val="34"/>
              <w:rPr>
                <w:color w:val="000000" w:themeColor="text1"/>
                <w14:textFill>
                  <w14:solidFill>
                    <w14:schemeClr w14:val="tx1"/>
                  </w14:solidFill>
                </w14:textFill>
              </w:rPr>
            </w:pPr>
            <w:r>
              <w:rPr>
                <w:color w:val="000000" w:themeColor="text1"/>
                <w14:textFill>
                  <w14:solidFill>
                    <w14:schemeClr w14:val="tx1"/>
                  </w14:solidFill>
                </w14:textFill>
              </w:rPr>
              <w:t>直接工程费</w:t>
            </w:r>
          </w:p>
        </w:tc>
        <w:tc>
          <w:tcPr>
            <w:tcW w:w="1250" w:type="dxa"/>
            <w:vAlign w:val="center"/>
          </w:tcPr>
          <w:p w14:paraId="6E89D3DB">
            <w:pPr>
              <w:pStyle w:val="34"/>
              <w:rPr>
                <w:color w:val="000000" w:themeColor="text1"/>
                <w14:textFill>
                  <w14:solidFill>
                    <w14:schemeClr w14:val="tx1"/>
                  </w14:solidFill>
                </w14:textFill>
              </w:rPr>
            </w:pPr>
          </w:p>
        </w:tc>
        <w:tc>
          <w:tcPr>
            <w:tcW w:w="1000" w:type="dxa"/>
            <w:vAlign w:val="center"/>
          </w:tcPr>
          <w:p w14:paraId="38917E02">
            <w:pPr>
              <w:pStyle w:val="34"/>
              <w:rPr>
                <w:color w:val="000000" w:themeColor="text1"/>
                <w14:textFill>
                  <w14:solidFill>
                    <w14:schemeClr w14:val="tx1"/>
                  </w14:solidFill>
                </w14:textFill>
              </w:rPr>
            </w:pPr>
          </w:p>
        </w:tc>
        <w:tc>
          <w:tcPr>
            <w:tcW w:w="957" w:type="dxa"/>
            <w:vAlign w:val="center"/>
          </w:tcPr>
          <w:p w14:paraId="409BD989">
            <w:pPr>
              <w:pStyle w:val="34"/>
              <w:rPr>
                <w:color w:val="000000" w:themeColor="text1"/>
                <w14:textFill>
                  <w14:solidFill>
                    <w14:schemeClr w14:val="tx1"/>
                  </w14:solidFill>
                </w14:textFill>
              </w:rPr>
            </w:pPr>
          </w:p>
        </w:tc>
        <w:tc>
          <w:tcPr>
            <w:tcW w:w="1000" w:type="dxa"/>
            <w:vAlign w:val="center"/>
          </w:tcPr>
          <w:p w14:paraId="35F52933">
            <w:pPr>
              <w:pStyle w:val="34"/>
              <w:rPr>
                <w:color w:val="000000" w:themeColor="text1"/>
                <w14:textFill>
                  <w14:solidFill>
                    <w14:schemeClr w14:val="tx1"/>
                  </w14:solidFill>
                </w14:textFill>
              </w:rPr>
            </w:pPr>
          </w:p>
        </w:tc>
        <w:tc>
          <w:tcPr>
            <w:tcW w:w="1185" w:type="dxa"/>
            <w:vAlign w:val="center"/>
          </w:tcPr>
          <w:p w14:paraId="193A477F">
            <w:pPr>
              <w:pStyle w:val="34"/>
              <w:rPr>
                <w:color w:val="000000" w:themeColor="text1"/>
                <w14:textFill>
                  <w14:solidFill>
                    <w14:schemeClr w14:val="tx1"/>
                  </w14:solidFill>
                </w14:textFill>
              </w:rPr>
            </w:pPr>
          </w:p>
        </w:tc>
        <w:tc>
          <w:tcPr>
            <w:tcW w:w="989" w:type="dxa"/>
            <w:vAlign w:val="center"/>
          </w:tcPr>
          <w:p w14:paraId="6BD58EED">
            <w:pPr>
              <w:pStyle w:val="34"/>
              <w:rPr>
                <w:color w:val="000000" w:themeColor="text1"/>
                <w14:textFill>
                  <w14:solidFill>
                    <w14:schemeClr w14:val="tx1"/>
                  </w14:solidFill>
                </w14:textFill>
              </w:rPr>
            </w:pPr>
          </w:p>
        </w:tc>
      </w:tr>
      <w:tr w14:paraId="16371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dxa"/>
            <w:vAlign w:val="center"/>
          </w:tcPr>
          <w:p w14:paraId="75881114">
            <w:pPr>
              <w:pStyle w:val="34"/>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85" w:type="dxa"/>
            <w:vAlign w:val="center"/>
          </w:tcPr>
          <w:p w14:paraId="00042B20">
            <w:pPr>
              <w:pStyle w:val="34"/>
              <w:rPr>
                <w:color w:val="000000" w:themeColor="text1"/>
                <w14:textFill>
                  <w14:solidFill>
                    <w14:schemeClr w14:val="tx1"/>
                  </w14:solidFill>
                </w14:textFill>
              </w:rPr>
            </w:pPr>
            <w:r>
              <w:rPr>
                <w:color w:val="000000" w:themeColor="text1"/>
                <w14:textFill>
                  <w14:solidFill>
                    <w14:schemeClr w14:val="tx1"/>
                  </w14:solidFill>
                </w14:textFill>
              </w:rPr>
              <w:t>直接费</w:t>
            </w:r>
          </w:p>
        </w:tc>
        <w:tc>
          <w:tcPr>
            <w:tcW w:w="1250" w:type="dxa"/>
            <w:vAlign w:val="center"/>
          </w:tcPr>
          <w:p w14:paraId="3AF70BAB">
            <w:pPr>
              <w:pStyle w:val="34"/>
              <w:rPr>
                <w:color w:val="000000" w:themeColor="text1"/>
                <w14:textFill>
                  <w14:solidFill>
                    <w14:schemeClr w14:val="tx1"/>
                  </w14:solidFill>
                </w14:textFill>
              </w:rPr>
            </w:pPr>
          </w:p>
        </w:tc>
        <w:tc>
          <w:tcPr>
            <w:tcW w:w="1000" w:type="dxa"/>
            <w:vAlign w:val="center"/>
          </w:tcPr>
          <w:p w14:paraId="32877CEF">
            <w:pPr>
              <w:pStyle w:val="34"/>
              <w:rPr>
                <w:color w:val="000000" w:themeColor="text1"/>
                <w14:textFill>
                  <w14:solidFill>
                    <w14:schemeClr w14:val="tx1"/>
                  </w14:solidFill>
                </w14:textFill>
              </w:rPr>
            </w:pPr>
          </w:p>
        </w:tc>
        <w:tc>
          <w:tcPr>
            <w:tcW w:w="957" w:type="dxa"/>
            <w:vAlign w:val="center"/>
          </w:tcPr>
          <w:p w14:paraId="12D0AE0D">
            <w:pPr>
              <w:pStyle w:val="34"/>
              <w:rPr>
                <w:color w:val="000000" w:themeColor="text1"/>
                <w14:textFill>
                  <w14:solidFill>
                    <w14:schemeClr w14:val="tx1"/>
                  </w14:solidFill>
                </w14:textFill>
              </w:rPr>
            </w:pPr>
          </w:p>
        </w:tc>
        <w:tc>
          <w:tcPr>
            <w:tcW w:w="1000" w:type="dxa"/>
            <w:vAlign w:val="center"/>
          </w:tcPr>
          <w:p w14:paraId="6AB1D84D">
            <w:pPr>
              <w:pStyle w:val="34"/>
              <w:rPr>
                <w:color w:val="000000" w:themeColor="text1"/>
                <w14:textFill>
                  <w14:solidFill>
                    <w14:schemeClr w14:val="tx1"/>
                  </w14:solidFill>
                </w14:textFill>
              </w:rPr>
            </w:pPr>
          </w:p>
        </w:tc>
        <w:tc>
          <w:tcPr>
            <w:tcW w:w="1185" w:type="dxa"/>
            <w:vAlign w:val="center"/>
          </w:tcPr>
          <w:p w14:paraId="43C3E8ED">
            <w:pPr>
              <w:pStyle w:val="34"/>
              <w:rPr>
                <w:color w:val="000000" w:themeColor="text1"/>
                <w14:textFill>
                  <w14:solidFill>
                    <w14:schemeClr w14:val="tx1"/>
                  </w14:solidFill>
                </w14:textFill>
              </w:rPr>
            </w:pPr>
          </w:p>
        </w:tc>
        <w:tc>
          <w:tcPr>
            <w:tcW w:w="989" w:type="dxa"/>
            <w:vAlign w:val="center"/>
          </w:tcPr>
          <w:p w14:paraId="4DCB959A">
            <w:pPr>
              <w:pStyle w:val="34"/>
              <w:rPr>
                <w:color w:val="000000" w:themeColor="text1"/>
                <w14:textFill>
                  <w14:solidFill>
                    <w14:schemeClr w14:val="tx1"/>
                  </w14:solidFill>
                </w14:textFill>
              </w:rPr>
            </w:pPr>
          </w:p>
        </w:tc>
      </w:tr>
      <w:tr w14:paraId="06E45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dxa"/>
            <w:vAlign w:val="center"/>
          </w:tcPr>
          <w:p w14:paraId="5A55DA25">
            <w:pPr>
              <w:pStyle w:val="34"/>
              <w:rPr>
                <w:color w:val="000000" w:themeColor="text1"/>
                <w14:textFill>
                  <w14:solidFill>
                    <w14:schemeClr w14:val="tx1"/>
                  </w14:solidFill>
                </w14:textFill>
              </w:rPr>
            </w:pPr>
            <w:r>
              <w:rPr>
                <w:color w:val="000000" w:themeColor="text1"/>
                <w14:textFill>
                  <w14:solidFill>
                    <w14:schemeClr w14:val="tx1"/>
                  </w14:solidFill>
                </w14:textFill>
              </w:rPr>
              <w:t>2</w:t>
            </w:r>
          </w:p>
        </w:tc>
        <w:tc>
          <w:tcPr>
            <w:tcW w:w="1285" w:type="dxa"/>
            <w:vAlign w:val="center"/>
          </w:tcPr>
          <w:p w14:paraId="2A9EAD16">
            <w:pPr>
              <w:pStyle w:val="34"/>
              <w:rPr>
                <w:color w:val="000000" w:themeColor="text1"/>
                <w14:textFill>
                  <w14:solidFill>
                    <w14:schemeClr w14:val="tx1"/>
                  </w14:solidFill>
                </w14:textFill>
              </w:rPr>
            </w:pPr>
            <w:r>
              <w:rPr>
                <w:color w:val="000000" w:themeColor="text1"/>
                <w14:textFill>
                  <w14:solidFill>
                    <w14:schemeClr w14:val="tx1"/>
                  </w14:solidFill>
                </w14:textFill>
              </w:rPr>
              <w:t>其他直接费</w:t>
            </w:r>
          </w:p>
        </w:tc>
        <w:tc>
          <w:tcPr>
            <w:tcW w:w="1250" w:type="dxa"/>
            <w:vAlign w:val="center"/>
          </w:tcPr>
          <w:p w14:paraId="2462F132">
            <w:pPr>
              <w:pStyle w:val="34"/>
              <w:rPr>
                <w:color w:val="000000" w:themeColor="text1"/>
                <w14:textFill>
                  <w14:solidFill>
                    <w14:schemeClr w14:val="tx1"/>
                  </w14:solidFill>
                </w14:textFill>
              </w:rPr>
            </w:pPr>
            <w:r>
              <w:rPr>
                <w:color w:val="000000" w:themeColor="text1"/>
                <w14:textFill>
                  <w14:solidFill>
                    <w14:schemeClr w14:val="tx1"/>
                  </w14:solidFill>
                </w14:textFill>
              </w:rPr>
              <w:t>直接费</w:t>
            </w:r>
          </w:p>
        </w:tc>
        <w:tc>
          <w:tcPr>
            <w:tcW w:w="1000" w:type="dxa"/>
            <w:vAlign w:val="center"/>
          </w:tcPr>
          <w:p w14:paraId="02CBDA98">
            <w:pPr>
              <w:pStyle w:val="34"/>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957" w:type="dxa"/>
            <w:vAlign w:val="center"/>
          </w:tcPr>
          <w:p w14:paraId="618D9B02">
            <w:pPr>
              <w:pStyle w:val="34"/>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1000" w:type="dxa"/>
            <w:vAlign w:val="center"/>
          </w:tcPr>
          <w:p w14:paraId="108098D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4.2</w:t>
            </w:r>
            <w:r>
              <w:rPr>
                <w:color w:val="000000" w:themeColor="text1"/>
                <w14:textFill>
                  <w14:solidFill>
                    <w14:schemeClr w14:val="tx1"/>
                  </w14:solidFill>
                </w14:textFill>
              </w:rPr>
              <w:t>0</w:t>
            </w:r>
          </w:p>
        </w:tc>
        <w:tc>
          <w:tcPr>
            <w:tcW w:w="1185" w:type="dxa"/>
            <w:vAlign w:val="center"/>
          </w:tcPr>
          <w:p w14:paraId="3075077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4.2</w:t>
            </w:r>
            <w:r>
              <w:rPr>
                <w:color w:val="000000" w:themeColor="text1"/>
                <w14:textFill>
                  <w14:solidFill>
                    <w14:schemeClr w14:val="tx1"/>
                  </w14:solidFill>
                </w14:textFill>
              </w:rPr>
              <w:t>0</w:t>
            </w:r>
          </w:p>
        </w:tc>
        <w:tc>
          <w:tcPr>
            <w:tcW w:w="989" w:type="dxa"/>
            <w:vAlign w:val="center"/>
          </w:tcPr>
          <w:p w14:paraId="14AB338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3.55</w:t>
            </w:r>
          </w:p>
        </w:tc>
      </w:tr>
      <w:tr w14:paraId="4FA85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dxa"/>
            <w:vAlign w:val="center"/>
          </w:tcPr>
          <w:p w14:paraId="01920E21">
            <w:pPr>
              <w:pStyle w:val="34"/>
              <w:rPr>
                <w:color w:val="000000" w:themeColor="text1"/>
                <w14:textFill>
                  <w14:solidFill>
                    <w14:schemeClr w14:val="tx1"/>
                  </w14:solidFill>
                </w14:textFill>
              </w:rPr>
            </w:pPr>
            <w:r>
              <w:rPr>
                <w:color w:val="000000" w:themeColor="text1"/>
                <w14:textFill>
                  <w14:solidFill>
                    <w14:schemeClr w14:val="tx1"/>
                  </w14:solidFill>
                </w14:textFill>
              </w:rPr>
              <w:t>二</w:t>
            </w:r>
          </w:p>
        </w:tc>
        <w:tc>
          <w:tcPr>
            <w:tcW w:w="1285" w:type="dxa"/>
            <w:vAlign w:val="center"/>
          </w:tcPr>
          <w:p w14:paraId="5B34A775">
            <w:pPr>
              <w:pStyle w:val="34"/>
              <w:rPr>
                <w:color w:val="000000" w:themeColor="text1"/>
                <w14:textFill>
                  <w14:solidFill>
                    <w14:schemeClr w14:val="tx1"/>
                  </w14:solidFill>
                </w14:textFill>
              </w:rPr>
            </w:pPr>
            <w:r>
              <w:rPr>
                <w:color w:val="000000" w:themeColor="text1"/>
                <w14:textFill>
                  <w14:solidFill>
                    <w14:schemeClr w14:val="tx1"/>
                  </w14:solidFill>
                </w14:textFill>
              </w:rPr>
              <w:t>间接费</w:t>
            </w:r>
          </w:p>
        </w:tc>
        <w:tc>
          <w:tcPr>
            <w:tcW w:w="1250" w:type="dxa"/>
            <w:vAlign w:val="center"/>
          </w:tcPr>
          <w:p w14:paraId="0E091870">
            <w:pPr>
              <w:pStyle w:val="34"/>
              <w:rPr>
                <w:color w:val="000000" w:themeColor="text1"/>
                <w14:textFill>
                  <w14:solidFill>
                    <w14:schemeClr w14:val="tx1"/>
                  </w14:solidFill>
                </w14:textFill>
              </w:rPr>
            </w:pPr>
            <w:r>
              <w:rPr>
                <w:color w:val="000000" w:themeColor="text1"/>
                <w14:textFill>
                  <w14:solidFill>
                    <w14:schemeClr w14:val="tx1"/>
                  </w14:solidFill>
                </w14:textFill>
              </w:rPr>
              <w:t>直接工程费</w:t>
            </w:r>
          </w:p>
        </w:tc>
        <w:tc>
          <w:tcPr>
            <w:tcW w:w="1000" w:type="dxa"/>
            <w:vAlign w:val="center"/>
          </w:tcPr>
          <w:p w14:paraId="0DFB32F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.50</w:t>
            </w:r>
          </w:p>
        </w:tc>
        <w:tc>
          <w:tcPr>
            <w:tcW w:w="957" w:type="dxa"/>
            <w:vAlign w:val="center"/>
          </w:tcPr>
          <w:p w14:paraId="78DF02F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.50</w:t>
            </w:r>
          </w:p>
        </w:tc>
        <w:tc>
          <w:tcPr>
            <w:tcW w:w="1000" w:type="dxa"/>
            <w:vAlign w:val="center"/>
          </w:tcPr>
          <w:p w14:paraId="1E82E59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.50</w:t>
            </w:r>
          </w:p>
        </w:tc>
        <w:tc>
          <w:tcPr>
            <w:tcW w:w="1185" w:type="dxa"/>
            <w:vAlign w:val="center"/>
          </w:tcPr>
          <w:p w14:paraId="1EAF0D4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.50</w:t>
            </w:r>
          </w:p>
        </w:tc>
        <w:tc>
          <w:tcPr>
            <w:tcW w:w="989" w:type="dxa"/>
            <w:vAlign w:val="center"/>
          </w:tcPr>
          <w:p w14:paraId="3C9C34F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.50</w:t>
            </w:r>
          </w:p>
        </w:tc>
      </w:tr>
      <w:tr w14:paraId="1761C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dxa"/>
            <w:vAlign w:val="center"/>
          </w:tcPr>
          <w:p w14:paraId="078F8E15">
            <w:pPr>
              <w:pStyle w:val="34"/>
              <w:rPr>
                <w:color w:val="000000" w:themeColor="text1"/>
                <w14:textFill>
                  <w14:solidFill>
                    <w14:schemeClr w14:val="tx1"/>
                  </w14:solidFill>
                </w14:textFill>
              </w:rPr>
            </w:pPr>
            <w:r>
              <w:rPr>
                <w:color w:val="000000" w:themeColor="text1"/>
                <w14:textFill>
                  <w14:solidFill>
                    <w14:schemeClr w14:val="tx1"/>
                  </w14:solidFill>
                </w14:textFill>
              </w:rPr>
              <w:t>三</w:t>
            </w:r>
          </w:p>
        </w:tc>
        <w:tc>
          <w:tcPr>
            <w:tcW w:w="1285" w:type="dxa"/>
            <w:vAlign w:val="center"/>
          </w:tcPr>
          <w:p w14:paraId="294A7374">
            <w:pPr>
              <w:pStyle w:val="34"/>
              <w:rPr>
                <w:color w:val="000000" w:themeColor="text1"/>
                <w14:textFill>
                  <w14:solidFill>
                    <w14:schemeClr w14:val="tx1"/>
                  </w14:solidFill>
                </w14:textFill>
              </w:rPr>
            </w:pPr>
            <w:r>
              <w:rPr>
                <w:color w:val="000000" w:themeColor="text1"/>
                <w14:textFill>
                  <w14:solidFill>
                    <w14:schemeClr w14:val="tx1"/>
                  </w14:solidFill>
                </w14:textFill>
              </w:rPr>
              <w:t>企业利润</w:t>
            </w:r>
          </w:p>
        </w:tc>
        <w:tc>
          <w:tcPr>
            <w:tcW w:w="1250" w:type="dxa"/>
            <w:vAlign w:val="center"/>
          </w:tcPr>
          <w:p w14:paraId="283BE8FB">
            <w:pPr>
              <w:pStyle w:val="34"/>
              <w:rPr>
                <w:color w:val="000000" w:themeColor="text1"/>
                <w14:textFill>
                  <w14:solidFill>
                    <w14:schemeClr w14:val="tx1"/>
                  </w14:solidFill>
                </w14:textFill>
              </w:rPr>
            </w:pPr>
            <w:r>
              <w:rPr>
                <w:color w:val="000000" w:themeColor="text1"/>
                <w14:textFill>
                  <w14:solidFill>
                    <w14:schemeClr w14:val="tx1"/>
                  </w14:solidFill>
                </w14:textFill>
              </w:rPr>
              <w:t>一+二</w:t>
            </w:r>
          </w:p>
        </w:tc>
        <w:tc>
          <w:tcPr>
            <w:tcW w:w="1000" w:type="dxa"/>
            <w:vAlign w:val="center"/>
          </w:tcPr>
          <w:p w14:paraId="1D65B5BC">
            <w:pPr>
              <w:pStyle w:val="34"/>
              <w:rPr>
                <w:color w:val="000000" w:themeColor="text1"/>
                <w14:textFill>
                  <w14:solidFill>
                    <w14:schemeClr w14:val="tx1"/>
                  </w14:solidFill>
                </w14:textFill>
              </w:rPr>
            </w:pPr>
            <w:r>
              <w:rPr>
                <w:color w:val="000000" w:themeColor="text1"/>
                <w14:textFill>
                  <w14:solidFill>
                    <w14:schemeClr w14:val="tx1"/>
                  </w14:solidFill>
                </w14:textFill>
              </w:rPr>
              <w:t>7.00</w:t>
            </w:r>
          </w:p>
        </w:tc>
        <w:tc>
          <w:tcPr>
            <w:tcW w:w="957" w:type="dxa"/>
            <w:vAlign w:val="center"/>
          </w:tcPr>
          <w:p w14:paraId="61F9AAE3">
            <w:pPr>
              <w:pStyle w:val="34"/>
              <w:rPr>
                <w:color w:val="000000" w:themeColor="text1"/>
                <w14:textFill>
                  <w14:solidFill>
                    <w14:schemeClr w14:val="tx1"/>
                  </w14:solidFill>
                </w14:textFill>
              </w:rPr>
            </w:pPr>
            <w:r>
              <w:rPr>
                <w:color w:val="000000" w:themeColor="text1"/>
                <w14:textFill>
                  <w14:solidFill>
                    <w14:schemeClr w14:val="tx1"/>
                  </w14:solidFill>
                </w14:textFill>
              </w:rPr>
              <w:t>7.00</w:t>
            </w:r>
          </w:p>
        </w:tc>
        <w:tc>
          <w:tcPr>
            <w:tcW w:w="1000" w:type="dxa"/>
            <w:vAlign w:val="center"/>
          </w:tcPr>
          <w:p w14:paraId="421DAC25">
            <w:pPr>
              <w:pStyle w:val="34"/>
              <w:rPr>
                <w:color w:val="000000" w:themeColor="text1"/>
                <w14:textFill>
                  <w14:solidFill>
                    <w14:schemeClr w14:val="tx1"/>
                  </w14:solidFill>
                </w14:textFill>
              </w:rPr>
            </w:pPr>
            <w:r>
              <w:rPr>
                <w:color w:val="000000" w:themeColor="text1"/>
                <w14:textFill>
                  <w14:solidFill>
                    <w14:schemeClr w14:val="tx1"/>
                  </w14:solidFill>
                </w14:textFill>
              </w:rPr>
              <w:t>7.00</w:t>
            </w:r>
          </w:p>
        </w:tc>
        <w:tc>
          <w:tcPr>
            <w:tcW w:w="1185" w:type="dxa"/>
            <w:vAlign w:val="center"/>
          </w:tcPr>
          <w:p w14:paraId="0761CD94">
            <w:pPr>
              <w:pStyle w:val="34"/>
              <w:rPr>
                <w:color w:val="000000" w:themeColor="text1"/>
                <w14:textFill>
                  <w14:solidFill>
                    <w14:schemeClr w14:val="tx1"/>
                  </w14:solidFill>
                </w14:textFill>
              </w:rPr>
            </w:pPr>
            <w:r>
              <w:rPr>
                <w:color w:val="000000" w:themeColor="text1"/>
                <w14:textFill>
                  <w14:solidFill>
                    <w14:schemeClr w14:val="tx1"/>
                  </w14:solidFill>
                </w14:textFill>
              </w:rPr>
              <w:t>7.00</w:t>
            </w:r>
          </w:p>
        </w:tc>
        <w:tc>
          <w:tcPr>
            <w:tcW w:w="989" w:type="dxa"/>
            <w:vAlign w:val="center"/>
          </w:tcPr>
          <w:p w14:paraId="4E185AD7">
            <w:pPr>
              <w:pStyle w:val="34"/>
              <w:rPr>
                <w:color w:val="000000" w:themeColor="text1"/>
                <w14:textFill>
                  <w14:solidFill>
                    <w14:schemeClr w14:val="tx1"/>
                  </w14:solidFill>
                </w14:textFill>
              </w:rPr>
            </w:pPr>
            <w:r>
              <w:rPr>
                <w:color w:val="000000" w:themeColor="text1"/>
                <w14:textFill>
                  <w14:solidFill>
                    <w14:schemeClr w14:val="tx1"/>
                  </w14:solidFill>
                </w14:textFill>
              </w:rPr>
              <w:t>7.00</w:t>
            </w:r>
          </w:p>
        </w:tc>
      </w:tr>
      <w:tr w14:paraId="22B3F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dxa"/>
            <w:vAlign w:val="center"/>
          </w:tcPr>
          <w:p w14:paraId="1E087CAE">
            <w:pPr>
              <w:pStyle w:val="34"/>
              <w:rPr>
                <w:color w:val="000000" w:themeColor="text1"/>
                <w14:textFill>
                  <w14:solidFill>
                    <w14:schemeClr w14:val="tx1"/>
                  </w14:solidFill>
                </w14:textFill>
              </w:rPr>
            </w:pPr>
            <w:r>
              <w:rPr>
                <w:color w:val="000000" w:themeColor="text1"/>
                <w14:textFill>
                  <w14:solidFill>
                    <w14:schemeClr w14:val="tx1"/>
                  </w14:solidFill>
                </w14:textFill>
              </w:rPr>
              <w:t>四</w:t>
            </w:r>
          </w:p>
        </w:tc>
        <w:tc>
          <w:tcPr>
            <w:tcW w:w="1285" w:type="dxa"/>
            <w:vAlign w:val="center"/>
          </w:tcPr>
          <w:p w14:paraId="46A3F06F">
            <w:pPr>
              <w:pStyle w:val="34"/>
              <w:rPr>
                <w:color w:val="000000" w:themeColor="text1"/>
                <w14:textFill>
                  <w14:solidFill>
                    <w14:schemeClr w14:val="tx1"/>
                  </w14:solidFill>
                </w14:textFill>
              </w:rPr>
            </w:pPr>
            <w:r>
              <w:rPr>
                <w:color w:val="000000" w:themeColor="text1"/>
                <w14:textFill>
                  <w14:solidFill>
                    <w14:schemeClr w14:val="tx1"/>
                  </w14:solidFill>
                </w14:textFill>
              </w:rPr>
              <w:t>税金</w:t>
            </w:r>
          </w:p>
        </w:tc>
        <w:tc>
          <w:tcPr>
            <w:tcW w:w="1250" w:type="dxa"/>
            <w:vAlign w:val="center"/>
          </w:tcPr>
          <w:p w14:paraId="1A4BA845">
            <w:pPr>
              <w:pStyle w:val="34"/>
              <w:rPr>
                <w:color w:val="000000" w:themeColor="text1"/>
                <w14:textFill>
                  <w14:solidFill>
                    <w14:schemeClr w14:val="tx1"/>
                  </w14:solidFill>
                </w14:textFill>
              </w:rPr>
            </w:pPr>
            <w:r>
              <w:rPr>
                <w:color w:val="000000" w:themeColor="text1"/>
                <w14:textFill>
                  <w14:solidFill>
                    <w14:schemeClr w14:val="tx1"/>
                  </w14:solidFill>
                </w14:textFill>
              </w:rPr>
              <w:t>一+二+三</w:t>
            </w:r>
          </w:p>
        </w:tc>
        <w:tc>
          <w:tcPr>
            <w:tcW w:w="1000" w:type="dxa"/>
            <w:vAlign w:val="center"/>
          </w:tcPr>
          <w:p w14:paraId="63831FA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957" w:type="dxa"/>
            <w:vAlign w:val="center"/>
          </w:tcPr>
          <w:p w14:paraId="3862398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1000" w:type="dxa"/>
            <w:vAlign w:val="center"/>
          </w:tcPr>
          <w:p w14:paraId="2B461DE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1185" w:type="dxa"/>
            <w:vAlign w:val="center"/>
          </w:tcPr>
          <w:p w14:paraId="3BF503C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c>
          <w:tcPr>
            <w:tcW w:w="989" w:type="dxa"/>
            <w:vAlign w:val="center"/>
          </w:tcPr>
          <w:p w14:paraId="419F98C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9.00</w:t>
            </w:r>
          </w:p>
        </w:tc>
      </w:tr>
      <w:tr w14:paraId="30179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dxa"/>
            <w:vAlign w:val="center"/>
          </w:tcPr>
          <w:p w14:paraId="6C1722D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五</w:t>
            </w:r>
          </w:p>
        </w:tc>
        <w:tc>
          <w:tcPr>
            <w:tcW w:w="1285" w:type="dxa"/>
            <w:vAlign w:val="center"/>
          </w:tcPr>
          <w:p w14:paraId="4EA0CD5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扩大系数</w:t>
            </w:r>
          </w:p>
        </w:tc>
        <w:tc>
          <w:tcPr>
            <w:tcW w:w="1250" w:type="dxa"/>
            <w:vAlign w:val="center"/>
          </w:tcPr>
          <w:p w14:paraId="09F2CC8A">
            <w:pPr>
              <w:pStyle w:val="34"/>
              <w:rPr>
                <w:color w:val="000000" w:themeColor="text1"/>
                <w14:textFill>
                  <w14:solidFill>
                    <w14:schemeClr w14:val="tx1"/>
                  </w14:solidFill>
                </w14:textFill>
              </w:rPr>
            </w:pPr>
          </w:p>
        </w:tc>
        <w:tc>
          <w:tcPr>
            <w:tcW w:w="1000" w:type="dxa"/>
            <w:vAlign w:val="center"/>
          </w:tcPr>
          <w:p w14:paraId="429D919D">
            <w:pPr>
              <w:pStyle w:val="34"/>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00</w:t>
            </w:r>
          </w:p>
        </w:tc>
        <w:tc>
          <w:tcPr>
            <w:tcW w:w="957" w:type="dxa"/>
            <w:vAlign w:val="center"/>
          </w:tcPr>
          <w:p w14:paraId="31E818D1">
            <w:pPr>
              <w:pStyle w:val="34"/>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00</w:t>
            </w:r>
          </w:p>
        </w:tc>
        <w:tc>
          <w:tcPr>
            <w:tcW w:w="1000" w:type="dxa"/>
            <w:vAlign w:val="center"/>
          </w:tcPr>
          <w:p w14:paraId="300CC92B">
            <w:pPr>
              <w:pStyle w:val="34"/>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00</w:t>
            </w:r>
          </w:p>
        </w:tc>
        <w:tc>
          <w:tcPr>
            <w:tcW w:w="1185" w:type="dxa"/>
            <w:vAlign w:val="center"/>
          </w:tcPr>
          <w:p w14:paraId="758E35C8">
            <w:pPr>
              <w:pStyle w:val="34"/>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00</w:t>
            </w:r>
          </w:p>
        </w:tc>
        <w:tc>
          <w:tcPr>
            <w:tcW w:w="989" w:type="dxa"/>
            <w:vAlign w:val="center"/>
          </w:tcPr>
          <w:p w14:paraId="6BB23E94">
            <w:pPr>
              <w:pStyle w:val="34"/>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0</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00</w:t>
            </w:r>
          </w:p>
        </w:tc>
      </w:tr>
    </w:tbl>
    <w:p w14:paraId="13F9358A">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6</w:t>
      </w:r>
      <w:r>
        <w:rPr>
          <w:rFonts w:cs="Times New Roman"/>
          <w:color w:val="000000" w:themeColor="text1"/>
          <w14:textFill>
            <w14:solidFill>
              <w14:schemeClr w14:val="tx1"/>
            </w14:solidFill>
          </w14:textFill>
        </w:rPr>
        <w:t>）独立费用</w:t>
      </w:r>
    </w:p>
    <w:p w14:paraId="5A87AD52">
      <w:pPr>
        <w:ind w:firstLine="480"/>
        <w:rPr>
          <w:color w:val="000000" w:themeColor="text1"/>
          <w14:textFill>
            <w14:solidFill>
              <w14:schemeClr w14:val="tx1"/>
            </w14:solidFill>
          </w14:textFill>
        </w:rPr>
      </w:pPr>
      <w:r>
        <w:rPr>
          <w:color w:val="000000" w:themeColor="text1"/>
          <w14:textFill>
            <w14:solidFill>
              <w14:schemeClr w14:val="tx1"/>
            </w14:solidFill>
          </w14:textFill>
        </w:rPr>
        <w:t>1）建设管理费：根据《水土保持工程概（估）算编制规定》，按一至第</w:t>
      </w:r>
      <w:r>
        <w:rPr>
          <w:rFonts w:hint="eastAsia"/>
          <w:color w:val="000000" w:themeColor="text1"/>
          <w14:textFill>
            <w14:solidFill>
              <w14:schemeClr w14:val="tx1"/>
            </w14:solidFill>
          </w14:textFill>
        </w:rPr>
        <w:t>四</w:t>
      </w:r>
      <w:r>
        <w:rPr>
          <w:color w:val="000000" w:themeColor="text1"/>
          <w14:textFill>
            <w14:solidFill>
              <w14:schemeClr w14:val="tx1"/>
            </w14:solidFill>
          </w14:textFill>
        </w:rPr>
        <w:t>部分之和的</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%计取。</w:t>
      </w:r>
    </w:p>
    <w:p w14:paraId="221119DA">
      <w:pPr>
        <w:ind w:firstLine="480"/>
        <w:rPr>
          <w:color w:val="000000" w:themeColor="text1"/>
          <w14:textFill>
            <w14:solidFill>
              <w14:schemeClr w14:val="tx1"/>
            </w14:solidFill>
          </w14:textFill>
        </w:rPr>
      </w:pPr>
      <w:r>
        <w:rPr>
          <w:color w:val="000000" w:themeColor="text1"/>
          <w14:textFill>
            <w14:solidFill>
              <w14:schemeClr w14:val="tx1"/>
            </w14:solidFill>
          </w14:textFill>
        </w:rPr>
        <w:t>2）科研勘测设计费：根据《四川省水利水电工程设计估算编制规定》计取（其中包括工程科学研究试验费、勘测设计费、方案编制费）。</w:t>
      </w:r>
      <w:r>
        <w:rPr>
          <w:rFonts w:hint="eastAsia"/>
          <w:color w:val="000000" w:themeColor="text1"/>
          <w14:textFill>
            <w14:solidFill>
              <w14:schemeClr w14:val="tx1"/>
            </w14:solidFill>
          </w14:textFill>
        </w:rPr>
        <w:t>本项目科研勘测设计费主要指方案编制费，根据项目实际本项目科研勘测设计费计列为</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.00万元。</w:t>
      </w:r>
    </w:p>
    <w:p w14:paraId="05198BBA">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竣工验收报告编制费</w:t>
      </w:r>
      <w:r>
        <w:rPr>
          <w:color w:val="000000" w:themeColor="text1"/>
          <w14:textFill>
            <w14:solidFill>
              <w14:schemeClr w14:val="tx1"/>
            </w14:solidFill>
          </w14:textFill>
        </w:rPr>
        <w:t>：参照《四川省水利水电工程设计估算编制规定》</w:t>
      </w:r>
      <w:r>
        <w:rPr>
          <w:rFonts w:hint="eastAsia"/>
          <w:color w:val="000000" w:themeColor="text1"/>
          <w14:textFill>
            <w14:solidFill>
              <w14:schemeClr w14:val="tx1"/>
            </w14:solidFill>
          </w14:textFill>
        </w:rPr>
        <w:t>并根据市场价格</w:t>
      </w:r>
      <w:r>
        <w:rPr>
          <w:color w:val="000000" w:themeColor="text1"/>
          <w14:textFill>
            <w14:solidFill>
              <w14:schemeClr w14:val="tx1"/>
            </w14:solidFill>
          </w14:textFill>
        </w:rPr>
        <w:t>计取</w:t>
      </w:r>
      <w:r>
        <w:rPr>
          <w:rFonts w:hint="eastAsia"/>
          <w:color w:val="000000" w:themeColor="text1"/>
          <w14:textFill>
            <w14:solidFill>
              <w14:schemeClr w14:val="tx1"/>
            </w14:solidFill>
          </w14:textFill>
        </w:rPr>
        <w:t>，本项目计列为</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.00万元。</w:t>
      </w:r>
    </w:p>
    <w:p w14:paraId="10D521D4">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）基本预备费</w:t>
      </w:r>
    </w:p>
    <w:p w14:paraId="5B7F6F0C">
      <w:pPr>
        <w:ind w:firstLine="480"/>
        <w:rPr>
          <w:color w:val="000000" w:themeColor="text1"/>
          <w14:textFill>
            <w14:solidFill>
              <w14:schemeClr w14:val="tx1"/>
            </w14:solidFill>
          </w14:textFill>
        </w:rPr>
      </w:pPr>
      <w:r>
        <w:rPr>
          <w:color w:val="000000" w:themeColor="text1"/>
          <w14:textFill>
            <w14:solidFill>
              <w14:schemeClr w14:val="tx1"/>
            </w14:solidFill>
          </w14:textFill>
        </w:rPr>
        <w:t>基本预备费按新增投资第一部分～第</w:t>
      </w:r>
      <w:r>
        <w:rPr>
          <w:rFonts w:hint="eastAsia"/>
          <w:color w:val="000000" w:themeColor="text1"/>
          <w14:textFill>
            <w14:solidFill>
              <w14:schemeClr w14:val="tx1"/>
            </w14:solidFill>
          </w14:textFill>
        </w:rPr>
        <w:t>四</w:t>
      </w:r>
      <w:r>
        <w:rPr>
          <w:color w:val="000000" w:themeColor="text1"/>
          <w14:textFill>
            <w14:solidFill>
              <w14:schemeClr w14:val="tx1"/>
            </w14:solidFill>
          </w14:textFill>
        </w:rPr>
        <w:t>部分之和的10%计取</w:t>
      </w:r>
      <w:r>
        <w:rPr>
          <w:rFonts w:hint="eastAsia"/>
          <w:color w:val="000000" w:themeColor="text1"/>
          <w14:textFill>
            <w14:solidFill>
              <w14:schemeClr w14:val="tx1"/>
            </w14:solidFill>
          </w14:textFill>
        </w:rPr>
        <w:t>。</w:t>
      </w:r>
    </w:p>
    <w:p w14:paraId="42D3FF91">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）水土保持补偿费</w:t>
      </w:r>
    </w:p>
    <w:p w14:paraId="5A004035">
      <w:pPr>
        <w:ind w:firstLine="480"/>
        <w:rPr>
          <w:color w:val="000000" w:themeColor="text1"/>
          <w14:textFill>
            <w14:solidFill>
              <w14:schemeClr w14:val="tx1"/>
            </w14:solidFill>
          </w14:textFill>
        </w:rPr>
      </w:pPr>
      <w:r>
        <w:rPr>
          <w:color w:val="000000" w:themeColor="text1"/>
          <w14:textFill>
            <w14:solidFill>
              <w14:schemeClr w14:val="tx1"/>
            </w14:solidFill>
          </w14:textFill>
        </w:rPr>
        <w:t>根据四川省发展和改革委员会、四川省财政厅、四川省水利厅《关于制定水土保持补偿费收费标准的通知》（川发改价格[2017]347号）文的规定，本工程的水土保持补偿费按1.3元/m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计</w:t>
      </w:r>
      <w:r>
        <w:rPr>
          <w:rFonts w:hint="eastAsia"/>
          <w:color w:val="000000" w:themeColor="text1"/>
          <w14:textFill>
            <w14:solidFill>
              <w14:schemeClr w14:val="tx1"/>
            </w14:solidFill>
          </w14:textFill>
        </w:rPr>
        <w:t>，本项目水土保持补偿费计征面积为0.95hm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（9521m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）水土保持补偿费为1.24万元（12377.3元）。</w:t>
      </w:r>
    </w:p>
    <w:p w14:paraId="56AC059F">
      <w:pPr>
        <w:pStyle w:val="5"/>
        <w:spacing w:before="78"/>
        <w:rPr>
          <w:color w:val="000000" w:themeColor="text1"/>
          <w14:textFill>
            <w14:solidFill>
              <w14:schemeClr w14:val="tx1"/>
            </w14:solidFill>
          </w14:textFill>
        </w:rPr>
      </w:pPr>
      <w:r>
        <w:rPr>
          <w:rFonts w:hint="eastAsia"/>
          <w:color w:val="000000" w:themeColor="text1"/>
          <w14:textFill>
            <w14:solidFill>
              <w14:schemeClr w14:val="tx1"/>
            </w14:solidFill>
          </w14:textFill>
        </w:rPr>
        <w:t>7.1.2.2水土保持投资估算成果</w:t>
      </w:r>
    </w:p>
    <w:p w14:paraId="206092D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本项目水土保持总投资为</w:t>
      </w:r>
      <w:r>
        <w:rPr>
          <w:rFonts w:hint="eastAsia"/>
          <w:color w:val="000000" w:themeColor="text1"/>
          <w:lang w:eastAsia="zh-CN"/>
          <w14:textFill>
            <w14:solidFill>
              <w14:schemeClr w14:val="tx1"/>
            </w14:solidFill>
          </w14:textFill>
        </w:rPr>
        <w:t>96.62</w:t>
      </w:r>
      <w:r>
        <w:rPr>
          <w:rFonts w:hint="eastAsia"/>
          <w:color w:val="000000" w:themeColor="text1"/>
          <w14:textFill>
            <w14:solidFill>
              <w14:schemeClr w14:val="tx1"/>
            </w14:solidFill>
          </w14:textFill>
        </w:rPr>
        <w:t>万元，其中主体已有水土保持投资83.03万元，方案新增水土保持投资13.59万元。水土保持总投资中，工程措施费</w:t>
      </w:r>
      <w:r>
        <w:rPr>
          <w:rFonts w:hint="eastAsia"/>
          <w:color w:val="000000" w:themeColor="text1"/>
          <w:lang w:eastAsia="zh-CN"/>
          <w14:textFill>
            <w14:solidFill>
              <w14:schemeClr w14:val="tx1"/>
            </w14:solidFill>
          </w14:textFill>
        </w:rPr>
        <w:t>23.33</w:t>
      </w:r>
      <w:r>
        <w:rPr>
          <w:rFonts w:hint="eastAsia"/>
          <w:color w:val="000000" w:themeColor="text1"/>
          <w14:textFill>
            <w14:solidFill>
              <w14:schemeClr w14:val="tx1"/>
            </w14:solidFill>
          </w14:textFill>
        </w:rPr>
        <w:t>万元，植物措施费49.49万元，临时措施费11.36万元，独立费用9.37万元（其中建设管理费0.37万元，科研勘测设计费5.00万元，竣工验收报告编制费4.00万元），基本预备费1.84万元，水土保持补偿费为1.24万元（12377.3元）。</w:t>
      </w:r>
    </w:p>
    <w:p w14:paraId="33EDC8B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具体投资详见下表7.1-4~7.1-</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w:t>
      </w:r>
    </w:p>
    <w:p w14:paraId="44395444">
      <w:pPr>
        <w:pStyle w:val="33"/>
        <w:ind w:firstLine="843" w:firstLineChars="40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表7.1-4                     水土保持措施投资估算总表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单位：万元</w:t>
      </w:r>
    </w:p>
    <w:tbl>
      <w:tblPr>
        <w:tblStyle w:val="26"/>
        <w:tblW w:w="9025" w:type="dxa"/>
        <w:tblInd w:w="-24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1160"/>
        <w:gridCol w:w="1011"/>
        <w:gridCol w:w="765"/>
        <w:gridCol w:w="1011"/>
        <w:gridCol w:w="1047"/>
        <w:gridCol w:w="1101"/>
        <w:gridCol w:w="1028"/>
        <w:gridCol w:w="1050"/>
      </w:tblGrid>
      <w:tr w14:paraId="1110B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852" w:type="dxa"/>
            <w:vMerge w:val="restart"/>
            <w:shd w:val="clear" w:color="auto" w:fill="auto"/>
            <w:vAlign w:val="center"/>
          </w:tcPr>
          <w:p w14:paraId="66629B5A">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序号</w:t>
            </w:r>
          </w:p>
        </w:tc>
        <w:tc>
          <w:tcPr>
            <w:tcW w:w="1160" w:type="dxa"/>
            <w:vMerge w:val="restart"/>
            <w:shd w:val="clear" w:color="auto" w:fill="auto"/>
            <w:vAlign w:val="center"/>
          </w:tcPr>
          <w:p w14:paraId="6FEEC60D">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工程及费用名称</w:t>
            </w:r>
          </w:p>
        </w:tc>
        <w:tc>
          <w:tcPr>
            <w:tcW w:w="4935" w:type="dxa"/>
            <w:gridSpan w:val="5"/>
            <w:shd w:val="clear" w:color="auto" w:fill="auto"/>
            <w:vAlign w:val="center"/>
          </w:tcPr>
          <w:p w14:paraId="3630D251">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方案新增水土保持投资</w:t>
            </w:r>
          </w:p>
        </w:tc>
        <w:tc>
          <w:tcPr>
            <w:tcW w:w="1028" w:type="dxa"/>
            <w:vMerge w:val="restart"/>
            <w:shd w:val="clear" w:color="auto" w:fill="auto"/>
            <w:vAlign w:val="center"/>
          </w:tcPr>
          <w:p w14:paraId="0A012EFE">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主体已有水土保持投资</w:t>
            </w:r>
          </w:p>
        </w:tc>
        <w:tc>
          <w:tcPr>
            <w:tcW w:w="1050" w:type="dxa"/>
            <w:vMerge w:val="restart"/>
            <w:shd w:val="clear" w:color="auto" w:fill="auto"/>
            <w:vAlign w:val="center"/>
          </w:tcPr>
          <w:p w14:paraId="6A747746">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合计</w:t>
            </w:r>
          </w:p>
        </w:tc>
      </w:tr>
      <w:tr w14:paraId="4B3AC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vMerge w:val="continue"/>
            <w:vAlign w:val="center"/>
          </w:tcPr>
          <w:p w14:paraId="48573E3B">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p>
        </w:tc>
        <w:tc>
          <w:tcPr>
            <w:tcW w:w="1160" w:type="dxa"/>
            <w:vMerge w:val="continue"/>
            <w:vAlign w:val="center"/>
          </w:tcPr>
          <w:p w14:paraId="55FB45A8">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p>
        </w:tc>
        <w:tc>
          <w:tcPr>
            <w:tcW w:w="1011" w:type="dxa"/>
            <w:shd w:val="clear" w:color="auto" w:fill="auto"/>
            <w:vAlign w:val="center"/>
          </w:tcPr>
          <w:p w14:paraId="23AC3146">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建安工程费</w:t>
            </w:r>
          </w:p>
        </w:tc>
        <w:tc>
          <w:tcPr>
            <w:tcW w:w="765" w:type="dxa"/>
            <w:shd w:val="clear" w:color="auto" w:fill="auto"/>
            <w:vAlign w:val="center"/>
          </w:tcPr>
          <w:p w14:paraId="1FEB0BD8">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设备费</w:t>
            </w:r>
          </w:p>
        </w:tc>
        <w:tc>
          <w:tcPr>
            <w:tcW w:w="1011" w:type="dxa"/>
            <w:shd w:val="clear" w:color="auto" w:fill="auto"/>
            <w:vAlign w:val="center"/>
          </w:tcPr>
          <w:p w14:paraId="173226E7">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植物措施费</w:t>
            </w:r>
          </w:p>
        </w:tc>
        <w:tc>
          <w:tcPr>
            <w:tcW w:w="1047" w:type="dxa"/>
            <w:shd w:val="clear" w:color="auto" w:fill="auto"/>
            <w:vAlign w:val="center"/>
          </w:tcPr>
          <w:p w14:paraId="7A0B1FB1">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独立费用</w:t>
            </w:r>
          </w:p>
        </w:tc>
        <w:tc>
          <w:tcPr>
            <w:tcW w:w="1101" w:type="dxa"/>
            <w:shd w:val="clear" w:color="auto" w:fill="auto"/>
            <w:vAlign w:val="center"/>
          </w:tcPr>
          <w:p w14:paraId="17CBB6D9">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小计</w:t>
            </w:r>
          </w:p>
        </w:tc>
        <w:tc>
          <w:tcPr>
            <w:tcW w:w="1028" w:type="dxa"/>
            <w:vMerge w:val="continue"/>
            <w:vAlign w:val="center"/>
          </w:tcPr>
          <w:p w14:paraId="7D326BE2">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p>
        </w:tc>
        <w:tc>
          <w:tcPr>
            <w:tcW w:w="1050" w:type="dxa"/>
            <w:vMerge w:val="continue"/>
            <w:vAlign w:val="center"/>
          </w:tcPr>
          <w:p w14:paraId="1261C121">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p>
        </w:tc>
      </w:tr>
      <w:tr w14:paraId="1E98A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28939D48">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一</w:t>
            </w:r>
          </w:p>
        </w:tc>
        <w:tc>
          <w:tcPr>
            <w:tcW w:w="1160" w:type="dxa"/>
            <w:shd w:val="clear" w:color="auto" w:fill="auto"/>
            <w:vAlign w:val="center"/>
          </w:tcPr>
          <w:p w14:paraId="4205AC3F">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第一部分工程措施</w:t>
            </w:r>
          </w:p>
        </w:tc>
        <w:tc>
          <w:tcPr>
            <w:tcW w:w="1011" w:type="dxa"/>
            <w:shd w:val="clear" w:color="auto" w:fill="auto"/>
            <w:vAlign w:val="center"/>
          </w:tcPr>
          <w:p w14:paraId="6EADC599">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1B82812F">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78A2B2A0">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14AB9A11">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16422E0F">
            <w:pPr>
              <w:widowControl/>
              <w:ind w:firstLine="360"/>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0.02</w:t>
            </w:r>
          </w:p>
        </w:tc>
        <w:tc>
          <w:tcPr>
            <w:tcW w:w="1028" w:type="dxa"/>
            <w:shd w:val="clear" w:color="auto" w:fill="auto"/>
            <w:vAlign w:val="center"/>
          </w:tcPr>
          <w:p w14:paraId="03EDAB8D">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21.87</w:t>
            </w:r>
          </w:p>
        </w:tc>
        <w:tc>
          <w:tcPr>
            <w:tcW w:w="1050" w:type="dxa"/>
            <w:shd w:val="clear" w:color="auto" w:fill="auto"/>
            <w:vAlign w:val="center"/>
          </w:tcPr>
          <w:p w14:paraId="4FDAF93E">
            <w:pPr>
              <w:widowControl/>
              <w:ind w:firstLine="361"/>
              <w:textAlignment w:val="center"/>
              <w:rPr>
                <w:rFonts w:hint="eastAsia" w:eastAsia="等线" w:cs="Times New Roman"/>
                <w:b/>
                <w:bCs/>
                <w:color w:val="000000" w:themeColor="text1"/>
                <w:kern w:val="0"/>
                <w:sz w:val="18"/>
                <w:szCs w:val="18"/>
                <w:lang w:eastAsia="zh-CN"/>
                <w14:textFill>
                  <w14:solidFill>
                    <w14:schemeClr w14:val="tx1"/>
                  </w14:solidFill>
                </w14:textFill>
              </w:rPr>
            </w:pPr>
            <w:r>
              <w:rPr>
                <w:rFonts w:hint="eastAsia" w:eastAsia="宋体" w:cs="Times New Roman"/>
                <w:b/>
                <w:bCs/>
                <w:color w:val="000000"/>
                <w:kern w:val="0"/>
                <w:sz w:val="18"/>
                <w:szCs w:val="18"/>
                <w:lang w:eastAsia="zh-CN" w:bidi="ar"/>
              </w:rPr>
              <w:t>23.33</w:t>
            </w:r>
          </w:p>
        </w:tc>
      </w:tr>
      <w:tr w14:paraId="377D2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852" w:type="dxa"/>
            <w:shd w:val="clear" w:color="auto" w:fill="auto"/>
            <w:vAlign w:val="center"/>
          </w:tcPr>
          <w:p w14:paraId="6090A75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1160" w:type="dxa"/>
            <w:shd w:val="clear" w:color="auto" w:fill="auto"/>
            <w:vAlign w:val="center"/>
          </w:tcPr>
          <w:p w14:paraId="2870051A">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场内道路及硬化工程区</w:t>
            </w:r>
          </w:p>
        </w:tc>
        <w:tc>
          <w:tcPr>
            <w:tcW w:w="1011" w:type="dxa"/>
            <w:shd w:val="clear" w:color="auto" w:fill="auto"/>
            <w:vAlign w:val="center"/>
          </w:tcPr>
          <w:p w14:paraId="6C808A23">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1A405CCC">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3234D028">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2F226467">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55727D09">
            <w:pPr>
              <w:ind w:firstLine="360"/>
              <w:rPr>
                <w:rFonts w:eastAsia="等线" w:cs="Times New Roman"/>
                <w:color w:val="000000" w:themeColor="text1"/>
                <w:kern w:val="0"/>
                <w:sz w:val="18"/>
                <w:szCs w:val="18"/>
                <w14:textFill>
                  <w14:solidFill>
                    <w14:schemeClr w14:val="tx1"/>
                  </w14:solidFill>
                </w14:textFill>
              </w:rPr>
            </w:pPr>
          </w:p>
        </w:tc>
        <w:tc>
          <w:tcPr>
            <w:tcW w:w="1028" w:type="dxa"/>
            <w:shd w:val="clear" w:color="auto" w:fill="auto"/>
            <w:vAlign w:val="center"/>
          </w:tcPr>
          <w:p w14:paraId="2433B643">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21.87</w:t>
            </w:r>
          </w:p>
        </w:tc>
        <w:tc>
          <w:tcPr>
            <w:tcW w:w="1050" w:type="dxa"/>
            <w:shd w:val="clear" w:color="auto" w:fill="auto"/>
            <w:vAlign w:val="center"/>
          </w:tcPr>
          <w:p w14:paraId="6EE3E2B5">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21.87</w:t>
            </w:r>
          </w:p>
        </w:tc>
      </w:tr>
      <w:tr w14:paraId="76A6D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57427F1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w:t>
            </w:r>
          </w:p>
        </w:tc>
        <w:tc>
          <w:tcPr>
            <w:tcW w:w="1160" w:type="dxa"/>
            <w:shd w:val="clear" w:color="auto" w:fill="auto"/>
            <w:vAlign w:val="center"/>
          </w:tcPr>
          <w:p w14:paraId="2D116114">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景观绿化工程区</w:t>
            </w:r>
          </w:p>
        </w:tc>
        <w:tc>
          <w:tcPr>
            <w:tcW w:w="1011" w:type="dxa"/>
            <w:shd w:val="clear" w:color="auto" w:fill="auto"/>
            <w:vAlign w:val="center"/>
          </w:tcPr>
          <w:p w14:paraId="0EC6150F">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0.02</w:t>
            </w:r>
          </w:p>
        </w:tc>
        <w:tc>
          <w:tcPr>
            <w:tcW w:w="765" w:type="dxa"/>
            <w:shd w:val="clear" w:color="auto" w:fill="auto"/>
            <w:vAlign w:val="center"/>
          </w:tcPr>
          <w:p w14:paraId="60229D4A">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2AF90C9B">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2F655F4A">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5F057093">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0.02</w:t>
            </w:r>
          </w:p>
        </w:tc>
        <w:tc>
          <w:tcPr>
            <w:tcW w:w="1028" w:type="dxa"/>
            <w:shd w:val="clear" w:color="auto" w:fill="auto"/>
            <w:vAlign w:val="center"/>
          </w:tcPr>
          <w:p w14:paraId="6EBC974F">
            <w:pPr>
              <w:ind w:firstLine="360"/>
              <w:rPr>
                <w:rFonts w:eastAsia="等线" w:cs="Times New Roman"/>
                <w:color w:val="000000" w:themeColor="text1"/>
                <w:kern w:val="0"/>
                <w:sz w:val="18"/>
                <w:szCs w:val="18"/>
                <w14:textFill>
                  <w14:solidFill>
                    <w14:schemeClr w14:val="tx1"/>
                  </w14:solidFill>
                </w14:textFill>
              </w:rPr>
            </w:pPr>
          </w:p>
        </w:tc>
        <w:tc>
          <w:tcPr>
            <w:tcW w:w="1050" w:type="dxa"/>
            <w:shd w:val="clear" w:color="auto" w:fill="auto"/>
            <w:vAlign w:val="center"/>
          </w:tcPr>
          <w:p w14:paraId="54059EB8">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0.02</w:t>
            </w:r>
          </w:p>
        </w:tc>
      </w:tr>
      <w:tr w14:paraId="25B60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7A96C21A">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二</w:t>
            </w:r>
          </w:p>
        </w:tc>
        <w:tc>
          <w:tcPr>
            <w:tcW w:w="1160" w:type="dxa"/>
            <w:shd w:val="clear" w:color="auto" w:fill="auto"/>
            <w:vAlign w:val="center"/>
          </w:tcPr>
          <w:p w14:paraId="04A16340">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第二部分植物措施</w:t>
            </w:r>
          </w:p>
        </w:tc>
        <w:tc>
          <w:tcPr>
            <w:tcW w:w="1011" w:type="dxa"/>
            <w:shd w:val="clear" w:color="auto" w:fill="auto"/>
            <w:vAlign w:val="center"/>
          </w:tcPr>
          <w:p w14:paraId="3E692ED8">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6436EED5">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2A753D78">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6EC3E122">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6BA0CC8F">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0.06</w:t>
            </w:r>
          </w:p>
        </w:tc>
        <w:tc>
          <w:tcPr>
            <w:tcW w:w="1028" w:type="dxa"/>
            <w:shd w:val="clear" w:color="auto" w:fill="auto"/>
            <w:vAlign w:val="center"/>
          </w:tcPr>
          <w:p w14:paraId="12D489DB">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49.42</w:t>
            </w:r>
          </w:p>
        </w:tc>
        <w:tc>
          <w:tcPr>
            <w:tcW w:w="1050" w:type="dxa"/>
            <w:shd w:val="clear" w:color="auto" w:fill="auto"/>
            <w:vAlign w:val="center"/>
          </w:tcPr>
          <w:p w14:paraId="7EB94C6E">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49.49</w:t>
            </w:r>
          </w:p>
        </w:tc>
      </w:tr>
      <w:tr w14:paraId="39E83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537C8F9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1160" w:type="dxa"/>
            <w:shd w:val="clear" w:color="auto" w:fill="auto"/>
            <w:vAlign w:val="center"/>
          </w:tcPr>
          <w:p w14:paraId="6C9D7C01">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景观绿化工程区</w:t>
            </w:r>
          </w:p>
        </w:tc>
        <w:tc>
          <w:tcPr>
            <w:tcW w:w="1011" w:type="dxa"/>
            <w:shd w:val="clear" w:color="auto" w:fill="auto"/>
            <w:vAlign w:val="center"/>
          </w:tcPr>
          <w:p w14:paraId="70AB1EA2">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6FC318D2">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2A9C26C1">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0.06</w:t>
            </w:r>
          </w:p>
        </w:tc>
        <w:tc>
          <w:tcPr>
            <w:tcW w:w="1047" w:type="dxa"/>
            <w:shd w:val="clear" w:color="auto" w:fill="auto"/>
            <w:vAlign w:val="center"/>
          </w:tcPr>
          <w:p w14:paraId="43877455">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3E86BFE3">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0.06</w:t>
            </w:r>
          </w:p>
        </w:tc>
        <w:tc>
          <w:tcPr>
            <w:tcW w:w="1028" w:type="dxa"/>
            <w:shd w:val="clear" w:color="auto" w:fill="auto"/>
            <w:vAlign w:val="center"/>
          </w:tcPr>
          <w:p w14:paraId="527C4D97">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49.42</w:t>
            </w:r>
          </w:p>
        </w:tc>
        <w:tc>
          <w:tcPr>
            <w:tcW w:w="1050" w:type="dxa"/>
            <w:shd w:val="clear" w:color="auto" w:fill="auto"/>
            <w:vAlign w:val="center"/>
          </w:tcPr>
          <w:p w14:paraId="05B989CD">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49.49</w:t>
            </w:r>
          </w:p>
        </w:tc>
      </w:tr>
      <w:tr w14:paraId="60BA1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1DCCD361">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三</w:t>
            </w:r>
          </w:p>
        </w:tc>
        <w:tc>
          <w:tcPr>
            <w:tcW w:w="1160" w:type="dxa"/>
            <w:shd w:val="clear" w:color="auto" w:fill="auto"/>
            <w:vAlign w:val="center"/>
          </w:tcPr>
          <w:p w14:paraId="55D5F9E4">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第三部分临时措施</w:t>
            </w:r>
          </w:p>
        </w:tc>
        <w:tc>
          <w:tcPr>
            <w:tcW w:w="1011" w:type="dxa"/>
            <w:shd w:val="clear" w:color="auto" w:fill="auto"/>
            <w:vAlign w:val="center"/>
          </w:tcPr>
          <w:p w14:paraId="0CE08EE0">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1DD5E232">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31536232">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66EADD52">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5B3985BA">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1.06</w:t>
            </w:r>
          </w:p>
        </w:tc>
        <w:tc>
          <w:tcPr>
            <w:tcW w:w="1028" w:type="dxa"/>
            <w:shd w:val="clear" w:color="auto" w:fill="auto"/>
            <w:vAlign w:val="center"/>
          </w:tcPr>
          <w:p w14:paraId="48CC22D6">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10.3</w:t>
            </w:r>
          </w:p>
        </w:tc>
        <w:tc>
          <w:tcPr>
            <w:tcW w:w="1050" w:type="dxa"/>
            <w:shd w:val="clear" w:color="auto" w:fill="auto"/>
            <w:vAlign w:val="center"/>
          </w:tcPr>
          <w:p w14:paraId="5A6145A8">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11.36</w:t>
            </w:r>
          </w:p>
        </w:tc>
      </w:tr>
      <w:tr w14:paraId="4FD23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5E0499C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1160" w:type="dxa"/>
            <w:shd w:val="clear" w:color="auto" w:fill="auto"/>
            <w:vAlign w:val="center"/>
          </w:tcPr>
          <w:p w14:paraId="718B4FB6">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地下建筑工程区</w:t>
            </w:r>
          </w:p>
        </w:tc>
        <w:tc>
          <w:tcPr>
            <w:tcW w:w="1011" w:type="dxa"/>
            <w:shd w:val="clear" w:color="auto" w:fill="auto"/>
            <w:vAlign w:val="center"/>
          </w:tcPr>
          <w:p w14:paraId="087DE7B7">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612F0EDA">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6559A3F3">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3AF38A8D">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2C1724EE">
            <w:pPr>
              <w:ind w:firstLine="360"/>
              <w:rPr>
                <w:rFonts w:eastAsia="等线" w:cs="Times New Roman"/>
                <w:color w:val="000000" w:themeColor="text1"/>
                <w:kern w:val="0"/>
                <w:sz w:val="18"/>
                <w:szCs w:val="18"/>
                <w14:textFill>
                  <w14:solidFill>
                    <w14:schemeClr w14:val="tx1"/>
                  </w14:solidFill>
                </w14:textFill>
              </w:rPr>
            </w:pPr>
          </w:p>
        </w:tc>
        <w:tc>
          <w:tcPr>
            <w:tcW w:w="1028" w:type="dxa"/>
            <w:shd w:val="clear" w:color="auto" w:fill="auto"/>
            <w:vAlign w:val="center"/>
          </w:tcPr>
          <w:p w14:paraId="0EF092E9">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3.43</w:t>
            </w:r>
          </w:p>
        </w:tc>
        <w:tc>
          <w:tcPr>
            <w:tcW w:w="1050" w:type="dxa"/>
            <w:shd w:val="clear" w:color="auto" w:fill="auto"/>
            <w:vAlign w:val="center"/>
          </w:tcPr>
          <w:p w14:paraId="3E409CF5">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3.43</w:t>
            </w:r>
          </w:p>
        </w:tc>
      </w:tr>
      <w:tr w14:paraId="7363E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4DDCCE8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w:t>
            </w:r>
          </w:p>
        </w:tc>
        <w:tc>
          <w:tcPr>
            <w:tcW w:w="1160" w:type="dxa"/>
            <w:shd w:val="clear" w:color="auto" w:fill="auto"/>
            <w:vAlign w:val="center"/>
          </w:tcPr>
          <w:p w14:paraId="2AEB0DFF">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建构筑物工程区</w:t>
            </w:r>
          </w:p>
        </w:tc>
        <w:tc>
          <w:tcPr>
            <w:tcW w:w="1011" w:type="dxa"/>
            <w:shd w:val="clear" w:color="000000" w:fill="FFFFFF"/>
            <w:vAlign w:val="center"/>
          </w:tcPr>
          <w:p w14:paraId="1684AF07">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7B3B6CA4">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31C3CC43">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3F7FE368">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2843E80C">
            <w:pPr>
              <w:ind w:firstLine="360"/>
              <w:rPr>
                <w:rFonts w:eastAsia="等线" w:cs="Times New Roman"/>
                <w:color w:val="000000" w:themeColor="text1"/>
                <w:kern w:val="0"/>
                <w:sz w:val="18"/>
                <w:szCs w:val="18"/>
                <w14:textFill>
                  <w14:solidFill>
                    <w14:schemeClr w14:val="tx1"/>
                  </w14:solidFill>
                </w14:textFill>
              </w:rPr>
            </w:pPr>
          </w:p>
        </w:tc>
        <w:tc>
          <w:tcPr>
            <w:tcW w:w="1028" w:type="dxa"/>
            <w:shd w:val="clear" w:color="auto" w:fill="auto"/>
            <w:vAlign w:val="center"/>
          </w:tcPr>
          <w:p w14:paraId="5029D0FA">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5.77</w:t>
            </w:r>
          </w:p>
        </w:tc>
        <w:tc>
          <w:tcPr>
            <w:tcW w:w="1050" w:type="dxa"/>
            <w:shd w:val="clear" w:color="auto" w:fill="auto"/>
            <w:vAlign w:val="center"/>
          </w:tcPr>
          <w:p w14:paraId="6F42DEA2">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5.77</w:t>
            </w:r>
          </w:p>
        </w:tc>
      </w:tr>
      <w:tr w14:paraId="25D5D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852" w:type="dxa"/>
            <w:shd w:val="clear" w:color="auto" w:fill="auto"/>
            <w:vAlign w:val="center"/>
          </w:tcPr>
          <w:p w14:paraId="5ADD8B9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3</w:t>
            </w:r>
          </w:p>
        </w:tc>
        <w:tc>
          <w:tcPr>
            <w:tcW w:w="1160" w:type="dxa"/>
            <w:shd w:val="clear" w:color="auto" w:fill="auto"/>
            <w:vAlign w:val="center"/>
          </w:tcPr>
          <w:p w14:paraId="00411160">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场内道路及硬化工程区</w:t>
            </w:r>
          </w:p>
        </w:tc>
        <w:tc>
          <w:tcPr>
            <w:tcW w:w="1011" w:type="dxa"/>
            <w:shd w:val="clear" w:color="auto" w:fill="auto"/>
            <w:vAlign w:val="center"/>
          </w:tcPr>
          <w:p w14:paraId="5B444A78">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1.58</w:t>
            </w:r>
          </w:p>
        </w:tc>
        <w:tc>
          <w:tcPr>
            <w:tcW w:w="765" w:type="dxa"/>
            <w:shd w:val="clear" w:color="auto" w:fill="auto"/>
            <w:vAlign w:val="center"/>
          </w:tcPr>
          <w:p w14:paraId="65E9B915">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526E3A89">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69C886CA">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4CE7D83C">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0.58</w:t>
            </w:r>
          </w:p>
        </w:tc>
        <w:tc>
          <w:tcPr>
            <w:tcW w:w="1028" w:type="dxa"/>
            <w:shd w:val="clear" w:color="auto" w:fill="auto"/>
            <w:vAlign w:val="center"/>
          </w:tcPr>
          <w:p w14:paraId="755F625D">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1.1</w:t>
            </w:r>
          </w:p>
        </w:tc>
        <w:tc>
          <w:tcPr>
            <w:tcW w:w="1050" w:type="dxa"/>
            <w:shd w:val="clear" w:color="auto" w:fill="auto"/>
            <w:vAlign w:val="center"/>
          </w:tcPr>
          <w:p w14:paraId="674D918E">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1.68</w:t>
            </w:r>
          </w:p>
        </w:tc>
      </w:tr>
      <w:tr w14:paraId="39A21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1720747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4</w:t>
            </w:r>
          </w:p>
        </w:tc>
        <w:tc>
          <w:tcPr>
            <w:tcW w:w="1160" w:type="dxa"/>
            <w:shd w:val="clear" w:color="auto" w:fill="auto"/>
            <w:vAlign w:val="center"/>
          </w:tcPr>
          <w:p w14:paraId="53213A05">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景观绿化工程区</w:t>
            </w:r>
          </w:p>
        </w:tc>
        <w:tc>
          <w:tcPr>
            <w:tcW w:w="1011" w:type="dxa"/>
            <w:shd w:val="clear" w:color="auto" w:fill="auto"/>
            <w:vAlign w:val="center"/>
          </w:tcPr>
          <w:p w14:paraId="3CBBB985">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4.2</w:t>
            </w:r>
          </w:p>
        </w:tc>
        <w:tc>
          <w:tcPr>
            <w:tcW w:w="765" w:type="dxa"/>
            <w:shd w:val="clear" w:color="auto" w:fill="auto"/>
            <w:vAlign w:val="center"/>
          </w:tcPr>
          <w:p w14:paraId="08C8E5C8">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1E23E18E">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6190CB64">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0AD7AE1F">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0.48</w:t>
            </w:r>
          </w:p>
        </w:tc>
        <w:tc>
          <w:tcPr>
            <w:tcW w:w="1028" w:type="dxa"/>
            <w:shd w:val="clear" w:color="auto" w:fill="auto"/>
            <w:vAlign w:val="center"/>
          </w:tcPr>
          <w:p w14:paraId="0F3F993B">
            <w:pPr>
              <w:ind w:firstLine="360"/>
              <w:rPr>
                <w:rFonts w:eastAsia="等线" w:cs="Times New Roman"/>
                <w:color w:val="000000" w:themeColor="text1"/>
                <w:kern w:val="0"/>
                <w:sz w:val="18"/>
                <w:szCs w:val="18"/>
                <w14:textFill>
                  <w14:solidFill>
                    <w14:schemeClr w14:val="tx1"/>
                  </w14:solidFill>
                </w14:textFill>
              </w:rPr>
            </w:pPr>
          </w:p>
        </w:tc>
        <w:tc>
          <w:tcPr>
            <w:tcW w:w="1050" w:type="dxa"/>
            <w:shd w:val="clear" w:color="auto" w:fill="auto"/>
            <w:vAlign w:val="center"/>
          </w:tcPr>
          <w:p w14:paraId="15E6283B">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0.48</w:t>
            </w:r>
          </w:p>
        </w:tc>
      </w:tr>
      <w:tr w14:paraId="02BE0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197189AE">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p>
        </w:tc>
        <w:tc>
          <w:tcPr>
            <w:tcW w:w="1160" w:type="dxa"/>
            <w:shd w:val="clear" w:color="auto" w:fill="auto"/>
            <w:vAlign w:val="center"/>
          </w:tcPr>
          <w:p w14:paraId="33BBA9A9">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一至三部分合计</w:t>
            </w:r>
          </w:p>
        </w:tc>
        <w:tc>
          <w:tcPr>
            <w:tcW w:w="1011" w:type="dxa"/>
            <w:shd w:val="clear" w:color="auto" w:fill="auto"/>
            <w:vAlign w:val="center"/>
          </w:tcPr>
          <w:p w14:paraId="41687CE1">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608B9E53">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6745C724">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7AF5ACFB">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3DFA1185">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1.14</w:t>
            </w:r>
          </w:p>
        </w:tc>
        <w:tc>
          <w:tcPr>
            <w:tcW w:w="1028" w:type="dxa"/>
            <w:shd w:val="clear" w:color="auto" w:fill="auto"/>
            <w:vAlign w:val="center"/>
          </w:tcPr>
          <w:p w14:paraId="3D7EEA5E">
            <w:pPr>
              <w:widowControl/>
              <w:ind w:firstLine="361"/>
              <w:textAlignment w:val="center"/>
              <w:rPr>
                <w:rFonts w:hint="eastAsia" w:eastAsia="等线" w:cs="Times New Roman"/>
                <w:b/>
                <w:bCs/>
                <w:color w:val="000000" w:themeColor="text1"/>
                <w:kern w:val="0"/>
                <w:sz w:val="18"/>
                <w:szCs w:val="18"/>
                <w:lang w:eastAsia="zh-CN"/>
                <w14:textFill>
                  <w14:solidFill>
                    <w14:schemeClr w14:val="tx1"/>
                  </w14:solidFill>
                </w14:textFill>
              </w:rPr>
            </w:pPr>
            <w:r>
              <w:rPr>
                <w:rFonts w:hint="eastAsia" w:eastAsia="宋体" w:cs="Times New Roman"/>
                <w:b/>
                <w:bCs/>
                <w:color w:val="000000"/>
                <w:kern w:val="0"/>
                <w:sz w:val="18"/>
                <w:szCs w:val="18"/>
                <w:lang w:eastAsia="zh-CN" w:bidi="ar"/>
              </w:rPr>
              <w:t>83.03</w:t>
            </w:r>
          </w:p>
        </w:tc>
        <w:tc>
          <w:tcPr>
            <w:tcW w:w="1050" w:type="dxa"/>
            <w:shd w:val="clear" w:color="auto" w:fill="auto"/>
            <w:vAlign w:val="center"/>
          </w:tcPr>
          <w:p w14:paraId="48F1E3D3">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82.74</w:t>
            </w:r>
          </w:p>
        </w:tc>
      </w:tr>
      <w:tr w14:paraId="646AD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4E3A282F">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四</w:t>
            </w:r>
          </w:p>
        </w:tc>
        <w:tc>
          <w:tcPr>
            <w:tcW w:w="1160" w:type="dxa"/>
            <w:shd w:val="clear" w:color="auto" w:fill="auto"/>
            <w:vAlign w:val="center"/>
          </w:tcPr>
          <w:p w14:paraId="28246739">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第四部分独立费用</w:t>
            </w:r>
          </w:p>
        </w:tc>
        <w:tc>
          <w:tcPr>
            <w:tcW w:w="1011" w:type="dxa"/>
            <w:shd w:val="clear" w:color="auto" w:fill="auto"/>
            <w:vAlign w:val="center"/>
          </w:tcPr>
          <w:p w14:paraId="1798BF84">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59F7DB35">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14A15932">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0CE79DF2">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2CA30B08">
            <w:pPr>
              <w:widowControl/>
              <w:ind w:firstLine="361"/>
              <w:textAlignment w:val="center"/>
              <w:rPr>
                <w:rFonts w:hint="default" w:eastAsia="等线"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kern w:val="0"/>
                <w:sz w:val="18"/>
                <w:szCs w:val="18"/>
                <w:lang w:val="en-US" w:eastAsia="zh-CN" w:bidi="ar"/>
              </w:rPr>
              <w:t>9.37</w:t>
            </w:r>
          </w:p>
        </w:tc>
        <w:tc>
          <w:tcPr>
            <w:tcW w:w="1028" w:type="dxa"/>
            <w:shd w:val="clear" w:color="auto" w:fill="auto"/>
            <w:vAlign w:val="center"/>
          </w:tcPr>
          <w:p w14:paraId="05EAFBA4">
            <w:pPr>
              <w:ind w:firstLine="360"/>
              <w:rPr>
                <w:rFonts w:eastAsia="等线" w:cs="Times New Roman"/>
                <w:b/>
                <w:bCs/>
                <w:color w:val="000000" w:themeColor="text1"/>
                <w:kern w:val="0"/>
                <w:sz w:val="18"/>
                <w:szCs w:val="18"/>
                <w14:textFill>
                  <w14:solidFill>
                    <w14:schemeClr w14:val="tx1"/>
                  </w14:solidFill>
                </w14:textFill>
              </w:rPr>
            </w:pPr>
          </w:p>
        </w:tc>
        <w:tc>
          <w:tcPr>
            <w:tcW w:w="1050" w:type="dxa"/>
            <w:shd w:val="clear" w:color="auto" w:fill="auto"/>
            <w:vAlign w:val="center"/>
          </w:tcPr>
          <w:p w14:paraId="22C46BDE">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hint="eastAsia" w:eastAsia="宋体" w:cs="Times New Roman"/>
                <w:b/>
                <w:bCs/>
                <w:color w:val="000000"/>
                <w:kern w:val="0"/>
                <w:sz w:val="18"/>
                <w:szCs w:val="18"/>
                <w:lang w:val="en-US" w:eastAsia="zh-CN" w:bidi="ar"/>
              </w:rPr>
              <w:t>9.37</w:t>
            </w:r>
          </w:p>
        </w:tc>
      </w:tr>
      <w:tr w14:paraId="2748D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852" w:type="dxa"/>
            <w:shd w:val="clear" w:color="auto" w:fill="auto"/>
            <w:vAlign w:val="center"/>
          </w:tcPr>
          <w:p w14:paraId="724752B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1160" w:type="dxa"/>
            <w:shd w:val="clear" w:color="auto" w:fill="auto"/>
            <w:vAlign w:val="center"/>
          </w:tcPr>
          <w:p w14:paraId="353DDE4C">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建设管理费</w:t>
            </w:r>
          </w:p>
        </w:tc>
        <w:tc>
          <w:tcPr>
            <w:tcW w:w="1011" w:type="dxa"/>
            <w:shd w:val="clear" w:color="auto" w:fill="auto"/>
            <w:vAlign w:val="center"/>
          </w:tcPr>
          <w:p w14:paraId="2185E7F2">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291FFCB1">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4B2DDA9B">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39285103">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0.3</w:t>
            </w:r>
            <w:r>
              <w:rPr>
                <w:rFonts w:hint="eastAsia" w:eastAsia="宋体" w:cs="Times New Roman"/>
                <w:color w:val="000000"/>
                <w:kern w:val="0"/>
                <w:sz w:val="18"/>
                <w:szCs w:val="18"/>
                <w:lang w:bidi="ar"/>
              </w:rPr>
              <w:t>7</w:t>
            </w:r>
          </w:p>
        </w:tc>
        <w:tc>
          <w:tcPr>
            <w:tcW w:w="1101" w:type="dxa"/>
            <w:shd w:val="clear" w:color="auto" w:fill="auto"/>
            <w:vAlign w:val="center"/>
          </w:tcPr>
          <w:p w14:paraId="5AB8BEB9">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0.37</w:t>
            </w:r>
          </w:p>
        </w:tc>
        <w:tc>
          <w:tcPr>
            <w:tcW w:w="1028" w:type="dxa"/>
            <w:shd w:val="clear" w:color="auto" w:fill="auto"/>
            <w:vAlign w:val="center"/>
          </w:tcPr>
          <w:p w14:paraId="7C79A8DA">
            <w:pPr>
              <w:ind w:firstLine="360"/>
              <w:rPr>
                <w:rFonts w:eastAsia="等线" w:cs="Times New Roman"/>
                <w:color w:val="000000" w:themeColor="text1"/>
                <w:kern w:val="0"/>
                <w:sz w:val="18"/>
                <w:szCs w:val="18"/>
                <w14:textFill>
                  <w14:solidFill>
                    <w14:schemeClr w14:val="tx1"/>
                  </w14:solidFill>
                </w14:textFill>
              </w:rPr>
            </w:pPr>
          </w:p>
        </w:tc>
        <w:tc>
          <w:tcPr>
            <w:tcW w:w="1050" w:type="dxa"/>
            <w:shd w:val="clear" w:color="auto" w:fill="auto"/>
            <w:vAlign w:val="center"/>
          </w:tcPr>
          <w:p w14:paraId="624FB7BE">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0.37</w:t>
            </w:r>
          </w:p>
        </w:tc>
      </w:tr>
      <w:tr w14:paraId="366C3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30EB937D">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w:t>
            </w:r>
          </w:p>
        </w:tc>
        <w:tc>
          <w:tcPr>
            <w:tcW w:w="1160" w:type="dxa"/>
            <w:shd w:val="clear" w:color="auto" w:fill="auto"/>
            <w:vAlign w:val="center"/>
          </w:tcPr>
          <w:p w14:paraId="5886023E">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科研勘测设计费</w:t>
            </w:r>
          </w:p>
        </w:tc>
        <w:tc>
          <w:tcPr>
            <w:tcW w:w="1011" w:type="dxa"/>
            <w:shd w:val="clear" w:color="auto" w:fill="auto"/>
            <w:vAlign w:val="center"/>
          </w:tcPr>
          <w:p w14:paraId="2810EA94">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2C03F261">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2E763913">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08784C79">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w:t>
            </w:r>
          </w:p>
        </w:tc>
        <w:tc>
          <w:tcPr>
            <w:tcW w:w="1101" w:type="dxa"/>
            <w:shd w:val="clear" w:color="auto" w:fill="auto"/>
            <w:vAlign w:val="center"/>
          </w:tcPr>
          <w:p w14:paraId="0A1A64C6">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w:t>
            </w:r>
          </w:p>
        </w:tc>
        <w:tc>
          <w:tcPr>
            <w:tcW w:w="1028" w:type="dxa"/>
            <w:shd w:val="clear" w:color="auto" w:fill="auto"/>
            <w:vAlign w:val="center"/>
          </w:tcPr>
          <w:p w14:paraId="3198B6DA">
            <w:pPr>
              <w:ind w:firstLine="360"/>
              <w:rPr>
                <w:rFonts w:eastAsia="等线" w:cs="Times New Roman"/>
                <w:color w:val="000000" w:themeColor="text1"/>
                <w:kern w:val="0"/>
                <w:sz w:val="18"/>
                <w:szCs w:val="18"/>
                <w14:textFill>
                  <w14:solidFill>
                    <w14:schemeClr w14:val="tx1"/>
                  </w14:solidFill>
                </w14:textFill>
              </w:rPr>
            </w:pPr>
          </w:p>
        </w:tc>
        <w:tc>
          <w:tcPr>
            <w:tcW w:w="1050" w:type="dxa"/>
            <w:shd w:val="clear" w:color="auto" w:fill="auto"/>
            <w:vAlign w:val="center"/>
          </w:tcPr>
          <w:p w14:paraId="4AABA881">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w:t>
            </w:r>
          </w:p>
        </w:tc>
      </w:tr>
      <w:tr w14:paraId="05B29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trPr>
        <w:tc>
          <w:tcPr>
            <w:tcW w:w="852" w:type="dxa"/>
            <w:shd w:val="clear" w:color="auto" w:fill="auto"/>
            <w:vAlign w:val="center"/>
          </w:tcPr>
          <w:p w14:paraId="70C065F5">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3</w:t>
            </w:r>
          </w:p>
        </w:tc>
        <w:tc>
          <w:tcPr>
            <w:tcW w:w="1160" w:type="dxa"/>
            <w:shd w:val="clear" w:color="auto" w:fill="auto"/>
            <w:vAlign w:val="center"/>
          </w:tcPr>
          <w:p w14:paraId="20145195">
            <w:pPr>
              <w:widowControl/>
              <w:adjustRightInd/>
              <w:snapToGrid/>
              <w:spacing w:line="240" w:lineRule="auto"/>
              <w:ind w:firstLine="0" w:firstLineChars="0"/>
              <w:jc w:val="center"/>
              <w:rPr>
                <w:rFonts w:cs="Times New Roman"/>
                <w:color w:val="000000" w:themeColor="text1"/>
                <w:kern w:val="0"/>
                <w:sz w:val="18"/>
                <w:szCs w:val="18"/>
                <w14:textFill>
                  <w14:solidFill>
                    <w14:schemeClr w14:val="tx1"/>
                  </w14:solidFill>
                </w14:textFill>
              </w:rPr>
            </w:pPr>
            <w:r>
              <w:rPr>
                <w:rFonts w:cs="Times New Roman"/>
                <w:color w:val="000000" w:themeColor="text1"/>
                <w:kern w:val="0"/>
                <w:sz w:val="18"/>
                <w:szCs w:val="18"/>
                <w14:textFill>
                  <w14:solidFill>
                    <w14:schemeClr w14:val="tx1"/>
                  </w14:solidFill>
                </w14:textFill>
              </w:rPr>
              <w:t>水保设施竣工验收编制费报告编制费</w:t>
            </w:r>
          </w:p>
        </w:tc>
        <w:tc>
          <w:tcPr>
            <w:tcW w:w="1011" w:type="dxa"/>
            <w:shd w:val="clear" w:color="auto" w:fill="auto"/>
            <w:vAlign w:val="center"/>
          </w:tcPr>
          <w:p w14:paraId="468A720F">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48467461">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51EB794A">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5198F3BC">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w:t>
            </w:r>
          </w:p>
        </w:tc>
        <w:tc>
          <w:tcPr>
            <w:tcW w:w="1101" w:type="dxa"/>
            <w:shd w:val="clear" w:color="auto" w:fill="auto"/>
            <w:vAlign w:val="center"/>
          </w:tcPr>
          <w:p w14:paraId="73CB43B1">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w:t>
            </w:r>
          </w:p>
        </w:tc>
        <w:tc>
          <w:tcPr>
            <w:tcW w:w="1028" w:type="dxa"/>
            <w:shd w:val="clear" w:color="auto" w:fill="auto"/>
            <w:vAlign w:val="center"/>
          </w:tcPr>
          <w:p w14:paraId="57F0D9AE">
            <w:pPr>
              <w:ind w:firstLine="360"/>
              <w:rPr>
                <w:rFonts w:eastAsia="等线" w:cs="Times New Roman"/>
                <w:color w:val="000000" w:themeColor="text1"/>
                <w:kern w:val="0"/>
                <w:sz w:val="18"/>
                <w:szCs w:val="18"/>
                <w14:textFill>
                  <w14:solidFill>
                    <w14:schemeClr w14:val="tx1"/>
                  </w14:solidFill>
                </w14:textFill>
              </w:rPr>
            </w:pPr>
          </w:p>
        </w:tc>
        <w:tc>
          <w:tcPr>
            <w:tcW w:w="1050" w:type="dxa"/>
            <w:shd w:val="clear" w:color="auto" w:fill="auto"/>
            <w:vAlign w:val="center"/>
          </w:tcPr>
          <w:p w14:paraId="4DDBD621">
            <w:pPr>
              <w:widowControl/>
              <w:ind w:firstLine="360"/>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w:t>
            </w:r>
          </w:p>
        </w:tc>
      </w:tr>
      <w:tr w14:paraId="140CB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6A2BC5C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160" w:type="dxa"/>
            <w:shd w:val="clear" w:color="auto" w:fill="auto"/>
            <w:vAlign w:val="center"/>
          </w:tcPr>
          <w:p w14:paraId="2C4EBA89">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一至四部分合计</w:t>
            </w:r>
          </w:p>
        </w:tc>
        <w:tc>
          <w:tcPr>
            <w:tcW w:w="1011" w:type="dxa"/>
            <w:shd w:val="clear" w:color="auto" w:fill="auto"/>
            <w:vAlign w:val="center"/>
          </w:tcPr>
          <w:p w14:paraId="6356D470">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1520AF25">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21EBEBD8">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72C3894B">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5276FB8E">
            <w:pPr>
              <w:widowControl/>
              <w:ind w:firstLine="361"/>
              <w:textAlignment w:val="center"/>
              <w:rPr>
                <w:rFonts w:hint="default" w:eastAsia="等线"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kern w:val="0"/>
                <w:sz w:val="18"/>
                <w:szCs w:val="18"/>
                <w:lang w:val="en-US" w:eastAsia="zh-CN" w:bidi="ar"/>
              </w:rPr>
              <w:t>10.51</w:t>
            </w:r>
          </w:p>
        </w:tc>
        <w:tc>
          <w:tcPr>
            <w:tcW w:w="1028" w:type="dxa"/>
            <w:shd w:val="clear" w:color="auto" w:fill="auto"/>
            <w:vAlign w:val="center"/>
          </w:tcPr>
          <w:p w14:paraId="399D536C">
            <w:pPr>
              <w:widowControl/>
              <w:ind w:firstLine="361"/>
              <w:textAlignment w:val="center"/>
              <w:rPr>
                <w:rFonts w:hint="eastAsia" w:eastAsia="等线" w:cs="Times New Roman"/>
                <w:b/>
                <w:bCs/>
                <w:color w:val="000000" w:themeColor="text1"/>
                <w:kern w:val="0"/>
                <w:sz w:val="18"/>
                <w:szCs w:val="18"/>
                <w:lang w:eastAsia="zh-CN"/>
                <w14:textFill>
                  <w14:solidFill>
                    <w14:schemeClr w14:val="tx1"/>
                  </w14:solidFill>
                </w14:textFill>
              </w:rPr>
            </w:pPr>
            <w:r>
              <w:rPr>
                <w:rFonts w:hint="eastAsia" w:eastAsia="宋体" w:cs="Times New Roman"/>
                <w:b/>
                <w:bCs/>
                <w:color w:val="000000"/>
                <w:kern w:val="0"/>
                <w:sz w:val="18"/>
                <w:szCs w:val="18"/>
                <w:lang w:eastAsia="zh-CN" w:bidi="ar"/>
              </w:rPr>
              <w:t>83.03</w:t>
            </w:r>
          </w:p>
        </w:tc>
        <w:tc>
          <w:tcPr>
            <w:tcW w:w="1050" w:type="dxa"/>
            <w:shd w:val="clear" w:color="auto" w:fill="auto"/>
            <w:vAlign w:val="center"/>
          </w:tcPr>
          <w:p w14:paraId="63963218">
            <w:pPr>
              <w:widowControl/>
              <w:ind w:firstLine="361"/>
              <w:textAlignment w:val="center"/>
              <w:rPr>
                <w:rFonts w:hint="default" w:eastAsia="等线"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kern w:val="0"/>
                <w:sz w:val="18"/>
                <w:szCs w:val="18"/>
                <w:lang w:val="en-US" w:eastAsia="zh-CN" w:bidi="ar"/>
              </w:rPr>
              <w:t>92.10</w:t>
            </w:r>
          </w:p>
        </w:tc>
      </w:tr>
      <w:tr w14:paraId="74BF8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52" w:type="dxa"/>
            <w:shd w:val="clear" w:color="auto" w:fill="auto"/>
            <w:vAlign w:val="center"/>
          </w:tcPr>
          <w:p w14:paraId="46D87DD7">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五</w:t>
            </w:r>
          </w:p>
        </w:tc>
        <w:tc>
          <w:tcPr>
            <w:tcW w:w="1160" w:type="dxa"/>
            <w:shd w:val="clear" w:color="auto" w:fill="auto"/>
            <w:vAlign w:val="center"/>
          </w:tcPr>
          <w:p w14:paraId="7A607971">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第五部分基本预备费</w:t>
            </w:r>
          </w:p>
        </w:tc>
        <w:tc>
          <w:tcPr>
            <w:tcW w:w="1011" w:type="dxa"/>
            <w:shd w:val="clear" w:color="auto" w:fill="auto"/>
            <w:vAlign w:val="center"/>
          </w:tcPr>
          <w:p w14:paraId="621FEA2C">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7D677937">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05A22E04">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39CC0CD2">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kern w:val="0"/>
                <w:sz w:val="18"/>
                <w:szCs w:val="18"/>
                <w:lang w:bidi="ar"/>
              </w:rPr>
              <w:t>1.84</w:t>
            </w:r>
          </w:p>
        </w:tc>
        <w:tc>
          <w:tcPr>
            <w:tcW w:w="1101" w:type="dxa"/>
            <w:shd w:val="clear" w:color="auto" w:fill="auto"/>
            <w:vAlign w:val="center"/>
          </w:tcPr>
          <w:p w14:paraId="6414A50F">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1.84</w:t>
            </w:r>
          </w:p>
        </w:tc>
        <w:tc>
          <w:tcPr>
            <w:tcW w:w="1028" w:type="dxa"/>
            <w:shd w:val="clear" w:color="auto" w:fill="auto"/>
            <w:vAlign w:val="center"/>
          </w:tcPr>
          <w:p w14:paraId="070D2950">
            <w:pPr>
              <w:ind w:firstLine="360"/>
              <w:rPr>
                <w:rFonts w:eastAsia="等线" w:cs="Times New Roman"/>
                <w:b/>
                <w:bCs/>
                <w:color w:val="000000" w:themeColor="text1"/>
                <w:kern w:val="0"/>
                <w:sz w:val="18"/>
                <w:szCs w:val="18"/>
                <w14:textFill>
                  <w14:solidFill>
                    <w14:schemeClr w14:val="tx1"/>
                  </w14:solidFill>
                </w14:textFill>
              </w:rPr>
            </w:pPr>
          </w:p>
        </w:tc>
        <w:tc>
          <w:tcPr>
            <w:tcW w:w="1050" w:type="dxa"/>
            <w:shd w:val="clear" w:color="auto" w:fill="auto"/>
            <w:vAlign w:val="center"/>
          </w:tcPr>
          <w:p w14:paraId="1EF69504">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1.84</w:t>
            </w:r>
          </w:p>
        </w:tc>
      </w:tr>
      <w:tr w14:paraId="448D8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852" w:type="dxa"/>
            <w:shd w:val="clear" w:color="auto" w:fill="auto"/>
            <w:vAlign w:val="center"/>
          </w:tcPr>
          <w:p w14:paraId="71DFF2FD">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六</w:t>
            </w:r>
          </w:p>
        </w:tc>
        <w:tc>
          <w:tcPr>
            <w:tcW w:w="1160" w:type="dxa"/>
            <w:shd w:val="clear" w:color="auto" w:fill="auto"/>
            <w:vAlign w:val="center"/>
          </w:tcPr>
          <w:p w14:paraId="3779C607">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第六部份：水土保持补偿费</w:t>
            </w:r>
          </w:p>
        </w:tc>
        <w:tc>
          <w:tcPr>
            <w:tcW w:w="1011" w:type="dxa"/>
            <w:shd w:val="clear" w:color="auto" w:fill="auto"/>
            <w:vAlign w:val="center"/>
          </w:tcPr>
          <w:p w14:paraId="55AEC698">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shd w:val="clear" w:color="auto" w:fill="auto"/>
            <w:vAlign w:val="center"/>
          </w:tcPr>
          <w:p w14:paraId="2D059D12">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shd w:val="clear" w:color="auto" w:fill="auto"/>
            <w:vAlign w:val="center"/>
          </w:tcPr>
          <w:p w14:paraId="4B678BF0">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shd w:val="clear" w:color="auto" w:fill="auto"/>
            <w:vAlign w:val="center"/>
          </w:tcPr>
          <w:p w14:paraId="5E704C34">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shd w:val="clear" w:color="auto" w:fill="auto"/>
            <w:vAlign w:val="center"/>
          </w:tcPr>
          <w:p w14:paraId="152854D0">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1.24</w:t>
            </w:r>
          </w:p>
        </w:tc>
        <w:tc>
          <w:tcPr>
            <w:tcW w:w="1028" w:type="dxa"/>
            <w:shd w:val="clear" w:color="auto" w:fill="auto"/>
            <w:vAlign w:val="center"/>
          </w:tcPr>
          <w:p w14:paraId="474A74F2">
            <w:pPr>
              <w:ind w:firstLine="360"/>
              <w:rPr>
                <w:rFonts w:eastAsia="等线" w:cs="Times New Roman"/>
                <w:b/>
                <w:bCs/>
                <w:color w:val="000000" w:themeColor="text1"/>
                <w:kern w:val="0"/>
                <w:sz w:val="18"/>
                <w:szCs w:val="18"/>
                <w14:textFill>
                  <w14:solidFill>
                    <w14:schemeClr w14:val="tx1"/>
                  </w14:solidFill>
                </w14:textFill>
              </w:rPr>
            </w:pPr>
          </w:p>
        </w:tc>
        <w:tc>
          <w:tcPr>
            <w:tcW w:w="1050" w:type="dxa"/>
            <w:shd w:val="clear" w:color="auto" w:fill="auto"/>
            <w:vAlign w:val="center"/>
          </w:tcPr>
          <w:p w14:paraId="0E754966">
            <w:pPr>
              <w:widowControl/>
              <w:ind w:firstLine="361"/>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1.24</w:t>
            </w:r>
          </w:p>
        </w:tc>
      </w:tr>
      <w:tr w14:paraId="14AC7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52" w:type="dxa"/>
            <w:vMerge w:val="restart"/>
            <w:shd w:val="clear" w:color="auto" w:fill="auto"/>
            <w:vAlign w:val="center"/>
          </w:tcPr>
          <w:p w14:paraId="057DDB4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160" w:type="dxa"/>
            <w:vMerge w:val="restart"/>
            <w:shd w:val="clear" w:color="auto" w:fill="auto"/>
            <w:vAlign w:val="center"/>
          </w:tcPr>
          <w:p w14:paraId="4851410D">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r>
              <w:rPr>
                <w:rFonts w:cs="Times New Roman"/>
                <w:b/>
                <w:bCs/>
                <w:color w:val="000000" w:themeColor="text1"/>
                <w:kern w:val="0"/>
                <w:sz w:val="18"/>
                <w:szCs w:val="18"/>
                <w14:textFill>
                  <w14:solidFill>
                    <w14:schemeClr w14:val="tx1"/>
                  </w14:solidFill>
                </w14:textFill>
              </w:rPr>
              <w:t>水土保持措施总投资</w:t>
            </w:r>
          </w:p>
        </w:tc>
        <w:tc>
          <w:tcPr>
            <w:tcW w:w="1011" w:type="dxa"/>
            <w:vMerge w:val="restart"/>
            <w:shd w:val="clear" w:color="auto" w:fill="auto"/>
            <w:vAlign w:val="center"/>
          </w:tcPr>
          <w:p w14:paraId="703973E6">
            <w:pPr>
              <w:ind w:firstLine="360"/>
              <w:jc w:val="center"/>
              <w:rPr>
                <w:rFonts w:eastAsia="等线" w:cs="Times New Roman"/>
                <w:color w:val="000000" w:themeColor="text1"/>
                <w:kern w:val="0"/>
                <w:sz w:val="18"/>
                <w:szCs w:val="18"/>
                <w14:textFill>
                  <w14:solidFill>
                    <w14:schemeClr w14:val="tx1"/>
                  </w14:solidFill>
                </w14:textFill>
              </w:rPr>
            </w:pPr>
          </w:p>
        </w:tc>
        <w:tc>
          <w:tcPr>
            <w:tcW w:w="765" w:type="dxa"/>
            <w:vMerge w:val="restart"/>
            <w:shd w:val="clear" w:color="auto" w:fill="auto"/>
            <w:vAlign w:val="center"/>
          </w:tcPr>
          <w:p w14:paraId="67203923">
            <w:pPr>
              <w:ind w:firstLine="360"/>
              <w:jc w:val="center"/>
              <w:rPr>
                <w:rFonts w:eastAsia="等线" w:cs="Times New Roman"/>
                <w:color w:val="000000" w:themeColor="text1"/>
                <w:kern w:val="0"/>
                <w:sz w:val="18"/>
                <w:szCs w:val="18"/>
                <w14:textFill>
                  <w14:solidFill>
                    <w14:schemeClr w14:val="tx1"/>
                  </w14:solidFill>
                </w14:textFill>
              </w:rPr>
            </w:pPr>
          </w:p>
        </w:tc>
        <w:tc>
          <w:tcPr>
            <w:tcW w:w="1011" w:type="dxa"/>
            <w:vMerge w:val="restart"/>
            <w:shd w:val="clear" w:color="auto" w:fill="auto"/>
            <w:vAlign w:val="center"/>
          </w:tcPr>
          <w:p w14:paraId="5A3CD3D9">
            <w:pPr>
              <w:ind w:firstLine="360"/>
              <w:jc w:val="center"/>
              <w:rPr>
                <w:rFonts w:eastAsia="等线" w:cs="Times New Roman"/>
                <w:color w:val="000000" w:themeColor="text1"/>
                <w:kern w:val="0"/>
                <w:sz w:val="18"/>
                <w:szCs w:val="18"/>
                <w14:textFill>
                  <w14:solidFill>
                    <w14:schemeClr w14:val="tx1"/>
                  </w14:solidFill>
                </w14:textFill>
              </w:rPr>
            </w:pPr>
          </w:p>
        </w:tc>
        <w:tc>
          <w:tcPr>
            <w:tcW w:w="1047" w:type="dxa"/>
            <w:vMerge w:val="restart"/>
            <w:shd w:val="clear" w:color="auto" w:fill="auto"/>
            <w:vAlign w:val="center"/>
          </w:tcPr>
          <w:p w14:paraId="6A980764">
            <w:pPr>
              <w:ind w:firstLine="360"/>
              <w:jc w:val="center"/>
              <w:rPr>
                <w:rFonts w:eastAsia="等线" w:cs="Times New Roman"/>
                <w:color w:val="000000" w:themeColor="text1"/>
                <w:kern w:val="0"/>
                <w:sz w:val="18"/>
                <w:szCs w:val="18"/>
                <w14:textFill>
                  <w14:solidFill>
                    <w14:schemeClr w14:val="tx1"/>
                  </w14:solidFill>
                </w14:textFill>
              </w:rPr>
            </w:pPr>
          </w:p>
        </w:tc>
        <w:tc>
          <w:tcPr>
            <w:tcW w:w="1101" w:type="dxa"/>
            <w:vMerge w:val="restart"/>
            <w:shd w:val="clear" w:color="auto" w:fill="auto"/>
            <w:vAlign w:val="center"/>
          </w:tcPr>
          <w:p w14:paraId="6560862E">
            <w:pPr>
              <w:widowControl/>
              <w:ind w:firstLine="361"/>
              <w:textAlignment w:val="center"/>
              <w:rPr>
                <w:rFonts w:hint="default" w:eastAsia="等线"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kern w:val="0"/>
                <w:sz w:val="18"/>
                <w:szCs w:val="18"/>
                <w:lang w:val="en-US" w:eastAsia="zh-CN" w:bidi="ar"/>
              </w:rPr>
              <w:t>13.59</w:t>
            </w:r>
          </w:p>
        </w:tc>
        <w:tc>
          <w:tcPr>
            <w:tcW w:w="1028" w:type="dxa"/>
            <w:vMerge w:val="restart"/>
            <w:shd w:val="clear" w:color="auto" w:fill="auto"/>
            <w:vAlign w:val="center"/>
          </w:tcPr>
          <w:p w14:paraId="43088068">
            <w:pPr>
              <w:widowControl/>
              <w:ind w:firstLine="361"/>
              <w:textAlignment w:val="center"/>
              <w:rPr>
                <w:rFonts w:hint="eastAsia" w:eastAsia="等线" w:cs="Times New Roman"/>
                <w:b/>
                <w:bCs/>
                <w:color w:val="000000" w:themeColor="text1"/>
                <w:kern w:val="0"/>
                <w:sz w:val="18"/>
                <w:szCs w:val="18"/>
                <w:lang w:eastAsia="zh-CN"/>
                <w14:textFill>
                  <w14:solidFill>
                    <w14:schemeClr w14:val="tx1"/>
                  </w14:solidFill>
                </w14:textFill>
              </w:rPr>
            </w:pPr>
            <w:r>
              <w:rPr>
                <w:rFonts w:hint="eastAsia" w:eastAsia="宋体" w:cs="Times New Roman"/>
                <w:b/>
                <w:bCs/>
                <w:color w:val="000000"/>
                <w:kern w:val="0"/>
                <w:sz w:val="18"/>
                <w:szCs w:val="18"/>
                <w:lang w:eastAsia="zh-CN" w:bidi="ar"/>
              </w:rPr>
              <w:t>83.03</w:t>
            </w:r>
          </w:p>
        </w:tc>
        <w:tc>
          <w:tcPr>
            <w:tcW w:w="1050" w:type="dxa"/>
            <w:vMerge w:val="restart"/>
            <w:shd w:val="clear" w:color="auto" w:fill="auto"/>
            <w:vAlign w:val="center"/>
          </w:tcPr>
          <w:p w14:paraId="3832ECA0">
            <w:pPr>
              <w:widowControl/>
              <w:ind w:firstLine="361"/>
              <w:textAlignment w:val="center"/>
              <w:rPr>
                <w:rFonts w:hint="default" w:eastAsia="等线"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kern w:val="0"/>
                <w:sz w:val="18"/>
                <w:szCs w:val="18"/>
                <w:lang w:val="en-US" w:eastAsia="zh-CN" w:bidi="ar"/>
              </w:rPr>
              <w:t>96.62</w:t>
            </w:r>
          </w:p>
        </w:tc>
      </w:tr>
      <w:tr w14:paraId="6A06A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852" w:type="dxa"/>
            <w:vMerge w:val="continue"/>
            <w:vAlign w:val="center"/>
          </w:tcPr>
          <w:p w14:paraId="385B881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160" w:type="dxa"/>
            <w:vMerge w:val="continue"/>
            <w:vAlign w:val="center"/>
          </w:tcPr>
          <w:p w14:paraId="2A809999">
            <w:pPr>
              <w:widowControl/>
              <w:adjustRightInd/>
              <w:snapToGrid/>
              <w:spacing w:line="240" w:lineRule="auto"/>
              <w:ind w:firstLine="0" w:firstLineChars="0"/>
              <w:jc w:val="center"/>
              <w:rPr>
                <w:rFonts w:cs="Times New Roman"/>
                <w:b/>
                <w:bCs/>
                <w:color w:val="000000" w:themeColor="text1"/>
                <w:kern w:val="0"/>
                <w:sz w:val="18"/>
                <w:szCs w:val="18"/>
                <w14:textFill>
                  <w14:solidFill>
                    <w14:schemeClr w14:val="tx1"/>
                  </w14:solidFill>
                </w14:textFill>
              </w:rPr>
            </w:pPr>
          </w:p>
        </w:tc>
        <w:tc>
          <w:tcPr>
            <w:tcW w:w="1011" w:type="dxa"/>
            <w:vMerge w:val="continue"/>
            <w:vAlign w:val="center"/>
          </w:tcPr>
          <w:p w14:paraId="229141C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765" w:type="dxa"/>
            <w:vMerge w:val="continue"/>
            <w:vAlign w:val="center"/>
          </w:tcPr>
          <w:p w14:paraId="39941AF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011" w:type="dxa"/>
            <w:vMerge w:val="continue"/>
            <w:vAlign w:val="center"/>
          </w:tcPr>
          <w:p w14:paraId="01DA9899">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047" w:type="dxa"/>
            <w:vMerge w:val="continue"/>
            <w:vAlign w:val="center"/>
          </w:tcPr>
          <w:p w14:paraId="3A1CE18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101" w:type="dxa"/>
            <w:vMerge w:val="continue"/>
            <w:vAlign w:val="center"/>
          </w:tcPr>
          <w:p w14:paraId="0104B784">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p>
        </w:tc>
        <w:tc>
          <w:tcPr>
            <w:tcW w:w="1028" w:type="dxa"/>
            <w:vMerge w:val="continue"/>
            <w:vAlign w:val="center"/>
          </w:tcPr>
          <w:p w14:paraId="2D00E14D">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p>
        </w:tc>
        <w:tc>
          <w:tcPr>
            <w:tcW w:w="1050" w:type="dxa"/>
            <w:vMerge w:val="continue"/>
            <w:vAlign w:val="center"/>
          </w:tcPr>
          <w:p w14:paraId="15D0101B">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p>
        </w:tc>
      </w:tr>
    </w:tbl>
    <w:p w14:paraId="1C0ADEB8">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表7.1-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 xml:space="preserve">   水土保持工程措施投资估算表</w:t>
      </w:r>
    </w:p>
    <w:tbl>
      <w:tblPr>
        <w:tblStyle w:val="26"/>
        <w:tblpPr w:leftFromText="180" w:rightFromText="180" w:vertAnchor="text" w:horzAnchor="page" w:tblpX="1548" w:tblpY="98"/>
        <w:tblOverlap w:val="never"/>
        <w:tblW w:w="9020" w:type="dxa"/>
        <w:tblInd w:w="0" w:type="dxa"/>
        <w:tblLayout w:type="autofit"/>
        <w:tblCellMar>
          <w:top w:w="0" w:type="dxa"/>
          <w:left w:w="108" w:type="dxa"/>
          <w:bottom w:w="0" w:type="dxa"/>
          <w:right w:w="108" w:type="dxa"/>
        </w:tblCellMar>
      </w:tblPr>
      <w:tblGrid>
        <w:gridCol w:w="814"/>
        <w:gridCol w:w="2324"/>
        <w:gridCol w:w="1042"/>
        <w:gridCol w:w="1080"/>
        <w:gridCol w:w="1067"/>
        <w:gridCol w:w="1346"/>
        <w:gridCol w:w="1347"/>
      </w:tblGrid>
      <w:tr w14:paraId="3EB1CC2A">
        <w:tblPrEx>
          <w:tblCellMar>
            <w:top w:w="0" w:type="dxa"/>
            <w:left w:w="108" w:type="dxa"/>
            <w:bottom w:w="0" w:type="dxa"/>
            <w:right w:w="108" w:type="dxa"/>
          </w:tblCellMar>
        </w:tblPrEx>
        <w:trPr>
          <w:trHeight w:val="289" w:hRule="atLeast"/>
        </w:trPr>
        <w:tc>
          <w:tcPr>
            <w:tcW w:w="81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80F009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ascii="仿宋_GB2312" w:cs="Times New Roman"/>
                <w:color w:val="000000" w:themeColor="text1"/>
                <w:kern w:val="0"/>
                <w:sz w:val="18"/>
                <w:szCs w:val="18"/>
                <w14:textFill>
                  <w14:solidFill>
                    <w14:schemeClr w14:val="tx1"/>
                  </w14:solidFill>
                </w14:textFill>
              </w:rPr>
              <w:t>序号</w:t>
            </w:r>
          </w:p>
        </w:tc>
        <w:tc>
          <w:tcPr>
            <w:tcW w:w="232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297D46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工程及费用名称</w:t>
            </w:r>
          </w:p>
        </w:tc>
        <w:tc>
          <w:tcPr>
            <w:tcW w:w="104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5BCBBA1">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单位</w:t>
            </w:r>
          </w:p>
        </w:tc>
        <w:tc>
          <w:tcPr>
            <w:tcW w:w="108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476D027">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数量</w:t>
            </w:r>
          </w:p>
        </w:tc>
        <w:tc>
          <w:tcPr>
            <w:tcW w:w="106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D1C38A3">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单价（元）</w:t>
            </w:r>
          </w:p>
        </w:tc>
        <w:tc>
          <w:tcPr>
            <w:tcW w:w="134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EB5C891">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合计（万元）</w:t>
            </w:r>
          </w:p>
        </w:tc>
        <w:tc>
          <w:tcPr>
            <w:tcW w:w="134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EDC262F">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备注</w:t>
            </w:r>
          </w:p>
        </w:tc>
      </w:tr>
      <w:tr w14:paraId="6D0712D3">
        <w:tblPrEx>
          <w:tblCellMar>
            <w:top w:w="0" w:type="dxa"/>
            <w:left w:w="108" w:type="dxa"/>
            <w:bottom w:w="0" w:type="dxa"/>
            <w:right w:w="108" w:type="dxa"/>
          </w:tblCellMar>
        </w:tblPrEx>
        <w:trPr>
          <w:trHeight w:val="289" w:hRule="atLeast"/>
        </w:trPr>
        <w:tc>
          <w:tcPr>
            <w:tcW w:w="814" w:type="dxa"/>
            <w:vMerge w:val="continue"/>
            <w:tcBorders>
              <w:top w:val="single" w:color="auto" w:sz="4" w:space="0"/>
              <w:left w:val="single" w:color="auto" w:sz="4" w:space="0"/>
              <w:bottom w:val="single" w:color="auto" w:sz="4" w:space="0"/>
              <w:right w:val="single" w:color="auto" w:sz="4" w:space="0"/>
            </w:tcBorders>
            <w:vAlign w:val="center"/>
          </w:tcPr>
          <w:p w14:paraId="45F24119">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2324" w:type="dxa"/>
            <w:vMerge w:val="continue"/>
            <w:tcBorders>
              <w:top w:val="single" w:color="auto" w:sz="4" w:space="0"/>
              <w:left w:val="single" w:color="auto" w:sz="4" w:space="0"/>
              <w:bottom w:val="single" w:color="auto" w:sz="4" w:space="0"/>
              <w:right w:val="single" w:color="auto" w:sz="4" w:space="0"/>
            </w:tcBorders>
            <w:vAlign w:val="center"/>
          </w:tcPr>
          <w:p w14:paraId="79B82DC0">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p>
        </w:tc>
        <w:tc>
          <w:tcPr>
            <w:tcW w:w="1042" w:type="dxa"/>
            <w:vMerge w:val="continue"/>
            <w:tcBorders>
              <w:top w:val="single" w:color="auto" w:sz="4" w:space="0"/>
              <w:left w:val="single" w:color="auto" w:sz="4" w:space="0"/>
              <w:bottom w:val="single" w:color="auto" w:sz="4" w:space="0"/>
              <w:right w:val="single" w:color="auto" w:sz="4" w:space="0"/>
            </w:tcBorders>
            <w:vAlign w:val="center"/>
          </w:tcPr>
          <w:p w14:paraId="29C01E81">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p>
        </w:tc>
        <w:tc>
          <w:tcPr>
            <w:tcW w:w="1080" w:type="dxa"/>
            <w:vMerge w:val="continue"/>
            <w:tcBorders>
              <w:top w:val="single" w:color="auto" w:sz="4" w:space="0"/>
              <w:left w:val="single" w:color="auto" w:sz="4" w:space="0"/>
              <w:bottom w:val="single" w:color="auto" w:sz="4" w:space="0"/>
              <w:right w:val="single" w:color="auto" w:sz="4" w:space="0"/>
            </w:tcBorders>
            <w:vAlign w:val="center"/>
          </w:tcPr>
          <w:p w14:paraId="4A5F092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p>
        </w:tc>
        <w:tc>
          <w:tcPr>
            <w:tcW w:w="1067" w:type="dxa"/>
            <w:vMerge w:val="continue"/>
            <w:tcBorders>
              <w:top w:val="single" w:color="auto" w:sz="4" w:space="0"/>
              <w:left w:val="single" w:color="auto" w:sz="4" w:space="0"/>
              <w:bottom w:val="single" w:color="auto" w:sz="4" w:space="0"/>
              <w:right w:val="single" w:color="auto" w:sz="4" w:space="0"/>
            </w:tcBorders>
            <w:vAlign w:val="center"/>
          </w:tcPr>
          <w:p w14:paraId="3AEF62F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p>
        </w:tc>
        <w:tc>
          <w:tcPr>
            <w:tcW w:w="1346" w:type="dxa"/>
            <w:vMerge w:val="continue"/>
            <w:tcBorders>
              <w:top w:val="single" w:color="auto" w:sz="4" w:space="0"/>
              <w:left w:val="single" w:color="auto" w:sz="4" w:space="0"/>
              <w:bottom w:val="single" w:color="auto" w:sz="4" w:space="0"/>
              <w:right w:val="single" w:color="auto" w:sz="4" w:space="0"/>
            </w:tcBorders>
            <w:vAlign w:val="center"/>
          </w:tcPr>
          <w:p w14:paraId="0CB4FF0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p>
        </w:tc>
        <w:tc>
          <w:tcPr>
            <w:tcW w:w="1347" w:type="dxa"/>
            <w:vMerge w:val="continue"/>
            <w:tcBorders>
              <w:top w:val="single" w:color="auto" w:sz="4" w:space="0"/>
              <w:left w:val="single" w:color="auto" w:sz="4" w:space="0"/>
              <w:bottom w:val="single" w:color="auto" w:sz="4" w:space="0"/>
              <w:right w:val="single" w:color="auto" w:sz="4" w:space="0"/>
            </w:tcBorders>
            <w:vAlign w:val="center"/>
          </w:tcPr>
          <w:p w14:paraId="16A903E5">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p>
        </w:tc>
      </w:tr>
      <w:tr w14:paraId="177C86D4">
        <w:tblPrEx>
          <w:tblCellMar>
            <w:top w:w="0" w:type="dxa"/>
            <w:left w:w="108" w:type="dxa"/>
            <w:bottom w:w="0" w:type="dxa"/>
            <w:right w:w="108" w:type="dxa"/>
          </w:tblCellMar>
        </w:tblPrEx>
        <w:trPr>
          <w:trHeight w:val="454" w:hRule="atLeast"/>
        </w:trPr>
        <w:tc>
          <w:tcPr>
            <w:tcW w:w="814" w:type="dxa"/>
            <w:tcBorders>
              <w:top w:val="nil"/>
              <w:left w:val="single" w:color="auto" w:sz="4" w:space="0"/>
              <w:bottom w:val="single" w:color="auto" w:sz="4" w:space="0"/>
              <w:right w:val="single" w:color="auto" w:sz="4" w:space="0"/>
            </w:tcBorders>
            <w:shd w:val="clear" w:color="auto" w:fill="auto"/>
            <w:vAlign w:val="center"/>
          </w:tcPr>
          <w:p w14:paraId="436A100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w:t>
            </w:r>
            <w:r>
              <w:rPr>
                <w:rFonts w:hint="eastAsia" w:ascii="宋体" w:hAnsi="宋体" w:eastAsia="宋体" w:cs="Times New Roman"/>
                <w:color w:val="000000" w:themeColor="text1"/>
                <w:kern w:val="0"/>
                <w:sz w:val="18"/>
                <w:szCs w:val="18"/>
                <w14:textFill>
                  <w14:solidFill>
                    <w14:schemeClr w14:val="tx1"/>
                  </w14:solidFill>
                </w14:textFill>
              </w:rPr>
              <w:t>一</w:t>
            </w:r>
            <w:r>
              <w:rPr>
                <w:rFonts w:eastAsia="等线" w:cs="Times New Roman"/>
                <w:color w:val="000000" w:themeColor="text1"/>
                <w:kern w:val="0"/>
                <w:sz w:val="18"/>
                <w:szCs w:val="18"/>
                <w14:textFill>
                  <w14:solidFill>
                    <w14:schemeClr w14:val="tx1"/>
                  </w14:solidFill>
                </w14:textFill>
              </w:rPr>
              <w:t>)</w:t>
            </w:r>
          </w:p>
        </w:tc>
        <w:tc>
          <w:tcPr>
            <w:tcW w:w="2324" w:type="dxa"/>
            <w:tcBorders>
              <w:top w:val="nil"/>
              <w:left w:val="nil"/>
              <w:bottom w:val="single" w:color="auto" w:sz="4" w:space="0"/>
              <w:right w:val="single" w:color="auto" w:sz="4" w:space="0"/>
            </w:tcBorders>
            <w:shd w:val="clear" w:color="auto" w:fill="auto"/>
            <w:vAlign w:val="center"/>
          </w:tcPr>
          <w:p w14:paraId="56F6B609">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场内道路及硬化工程区</w:t>
            </w:r>
          </w:p>
        </w:tc>
        <w:tc>
          <w:tcPr>
            <w:tcW w:w="1042" w:type="dxa"/>
            <w:tcBorders>
              <w:top w:val="nil"/>
              <w:left w:val="nil"/>
              <w:bottom w:val="single" w:color="auto" w:sz="4" w:space="0"/>
              <w:right w:val="single" w:color="auto" w:sz="4" w:space="0"/>
            </w:tcBorders>
            <w:shd w:val="clear" w:color="auto" w:fill="auto"/>
            <w:vAlign w:val="center"/>
          </w:tcPr>
          <w:p w14:paraId="51B2660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080" w:type="dxa"/>
            <w:tcBorders>
              <w:top w:val="nil"/>
              <w:left w:val="nil"/>
              <w:bottom w:val="single" w:color="auto" w:sz="4" w:space="0"/>
              <w:right w:val="single" w:color="auto" w:sz="4" w:space="0"/>
            </w:tcBorders>
            <w:shd w:val="clear" w:color="auto" w:fill="auto"/>
            <w:vAlign w:val="center"/>
          </w:tcPr>
          <w:p w14:paraId="44006CC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067" w:type="dxa"/>
            <w:tcBorders>
              <w:top w:val="nil"/>
              <w:left w:val="nil"/>
              <w:bottom w:val="single" w:color="auto" w:sz="4" w:space="0"/>
              <w:right w:val="single" w:color="auto" w:sz="4" w:space="0"/>
            </w:tcBorders>
            <w:shd w:val="clear" w:color="auto" w:fill="auto"/>
            <w:vAlign w:val="center"/>
          </w:tcPr>
          <w:p w14:paraId="5F594F5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346" w:type="dxa"/>
            <w:tcBorders>
              <w:top w:val="nil"/>
              <w:left w:val="nil"/>
              <w:bottom w:val="single" w:color="auto" w:sz="4" w:space="0"/>
              <w:right w:val="single" w:color="auto" w:sz="4" w:space="0"/>
            </w:tcBorders>
            <w:shd w:val="clear" w:color="auto" w:fill="auto"/>
            <w:vAlign w:val="center"/>
          </w:tcPr>
          <w:p w14:paraId="004619B9">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21.87</w:t>
            </w:r>
          </w:p>
        </w:tc>
        <w:tc>
          <w:tcPr>
            <w:tcW w:w="1347" w:type="dxa"/>
            <w:tcBorders>
              <w:top w:val="nil"/>
              <w:left w:val="nil"/>
              <w:bottom w:val="single" w:color="auto" w:sz="4" w:space="0"/>
              <w:right w:val="single" w:color="auto" w:sz="4" w:space="0"/>
            </w:tcBorders>
            <w:shd w:val="clear" w:color="auto" w:fill="auto"/>
            <w:noWrap/>
            <w:vAlign w:val="center"/>
          </w:tcPr>
          <w:p w14:paraId="1C558282">
            <w:pPr>
              <w:widowControl/>
              <w:adjustRightInd/>
              <w:snapToGrid/>
              <w:spacing w:line="240" w:lineRule="auto"/>
              <w:ind w:firstLine="0" w:firstLineChars="0"/>
              <w:jc w:val="center"/>
              <w:rPr>
                <w:rFonts w:hint="eastAsia" w:ascii="等线" w:hAnsi="等线" w:eastAsia="等线" w:cs="宋体"/>
                <w:color w:val="000000" w:themeColor="text1"/>
                <w:kern w:val="0"/>
                <w:sz w:val="22"/>
                <w:szCs w:val="22"/>
                <w14:textFill>
                  <w14:solidFill>
                    <w14:schemeClr w14:val="tx1"/>
                  </w14:solidFill>
                </w14:textFill>
              </w:rPr>
            </w:pPr>
          </w:p>
        </w:tc>
      </w:tr>
      <w:tr w14:paraId="7918C630">
        <w:tblPrEx>
          <w:tblCellMar>
            <w:top w:w="0" w:type="dxa"/>
            <w:left w:w="108" w:type="dxa"/>
            <w:bottom w:w="0" w:type="dxa"/>
            <w:right w:w="108" w:type="dxa"/>
          </w:tblCellMar>
        </w:tblPrEx>
        <w:trPr>
          <w:trHeight w:val="289" w:hRule="atLeast"/>
        </w:trPr>
        <w:tc>
          <w:tcPr>
            <w:tcW w:w="814" w:type="dxa"/>
            <w:tcBorders>
              <w:top w:val="nil"/>
              <w:left w:val="single" w:color="auto" w:sz="4" w:space="0"/>
              <w:bottom w:val="single" w:color="auto" w:sz="4" w:space="0"/>
              <w:right w:val="single" w:color="auto" w:sz="4" w:space="0"/>
            </w:tcBorders>
            <w:shd w:val="clear" w:color="auto" w:fill="auto"/>
            <w:vAlign w:val="center"/>
          </w:tcPr>
          <w:p w14:paraId="1F4D2D7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2324" w:type="dxa"/>
            <w:tcBorders>
              <w:top w:val="nil"/>
              <w:left w:val="nil"/>
              <w:bottom w:val="single" w:color="auto" w:sz="4" w:space="0"/>
              <w:right w:val="single" w:color="auto" w:sz="4" w:space="0"/>
            </w:tcBorders>
            <w:shd w:val="clear" w:color="auto" w:fill="auto"/>
            <w:vAlign w:val="center"/>
          </w:tcPr>
          <w:p w14:paraId="6ED5D56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DN150雨水管</w:t>
            </w:r>
          </w:p>
        </w:tc>
        <w:tc>
          <w:tcPr>
            <w:tcW w:w="1042" w:type="dxa"/>
            <w:tcBorders>
              <w:top w:val="nil"/>
              <w:left w:val="nil"/>
              <w:bottom w:val="single" w:color="auto" w:sz="4" w:space="0"/>
              <w:right w:val="single" w:color="auto" w:sz="4" w:space="0"/>
            </w:tcBorders>
            <w:shd w:val="clear" w:color="auto" w:fill="auto"/>
            <w:vAlign w:val="center"/>
          </w:tcPr>
          <w:p w14:paraId="1C6943A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p>
        </w:tc>
        <w:tc>
          <w:tcPr>
            <w:tcW w:w="1080" w:type="dxa"/>
            <w:tcBorders>
              <w:top w:val="nil"/>
              <w:left w:val="nil"/>
              <w:bottom w:val="single" w:color="auto" w:sz="4" w:space="0"/>
              <w:right w:val="single" w:color="auto" w:sz="4" w:space="0"/>
            </w:tcBorders>
            <w:shd w:val="clear" w:color="auto" w:fill="auto"/>
            <w:vAlign w:val="center"/>
          </w:tcPr>
          <w:p w14:paraId="0D548F1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25.04</w:t>
            </w:r>
          </w:p>
        </w:tc>
        <w:tc>
          <w:tcPr>
            <w:tcW w:w="1067" w:type="dxa"/>
            <w:tcBorders>
              <w:top w:val="nil"/>
              <w:left w:val="nil"/>
              <w:bottom w:val="single" w:color="auto" w:sz="4" w:space="0"/>
              <w:right w:val="single" w:color="auto" w:sz="4" w:space="0"/>
            </w:tcBorders>
            <w:shd w:val="clear" w:color="auto" w:fill="auto"/>
            <w:vAlign w:val="center"/>
          </w:tcPr>
          <w:p w14:paraId="00016AA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150</w:t>
            </w:r>
          </w:p>
        </w:tc>
        <w:tc>
          <w:tcPr>
            <w:tcW w:w="1346" w:type="dxa"/>
            <w:tcBorders>
              <w:top w:val="nil"/>
              <w:left w:val="nil"/>
              <w:bottom w:val="single" w:color="auto" w:sz="4" w:space="0"/>
              <w:right w:val="single" w:color="auto" w:sz="4" w:space="0"/>
            </w:tcBorders>
            <w:shd w:val="clear" w:color="auto" w:fill="auto"/>
            <w:vAlign w:val="center"/>
          </w:tcPr>
          <w:p w14:paraId="516441BC">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0.38</w:t>
            </w:r>
          </w:p>
        </w:tc>
        <w:tc>
          <w:tcPr>
            <w:tcW w:w="1347" w:type="dxa"/>
            <w:tcBorders>
              <w:top w:val="nil"/>
              <w:left w:val="nil"/>
              <w:bottom w:val="single" w:color="auto" w:sz="4" w:space="0"/>
              <w:right w:val="single" w:color="auto" w:sz="4" w:space="0"/>
            </w:tcBorders>
            <w:shd w:val="clear" w:color="auto" w:fill="auto"/>
            <w:vAlign w:val="center"/>
          </w:tcPr>
          <w:p w14:paraId="0E3A9953">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主体未实施</w:t>
            </w:r>
          </w:p>
        </w:tc>
      </w:tr>
      <w:tr w14:paraId="561AF33D">
        <w:tblPrEx>
          <w:tblCellMar>
            <w:top w:w="0" w:type="dxa"/>
            <w:left w:w="108" w:type="dxa"/>
            <w:bottom w:w="0" w:type="dxa"/>
            <w:right w:w="108" w:type="dxa"/>
          </w:tblCellMar>
        </w:tblPrEx>
        <w:trPr>
          <w:trHeight w:val="289" w:hRule="atLeast"/>
        </w:trPr>
        <w:tc>
          <w:tcPr>
            <w:tcW w:w="814" w:type="dxa"/>
            <w:tcBorders>
              <w:top w:val="nil"/>
              <w:left w:val="single" w:color="auto" w:sz="4" w:space="0"/>
              <w:bottom w:val="single" w:color="auto" w:sz="4" w:space="0"/>
              <w:right w:val="single" w:color="auto" w:sz="4" w:space="0"/>
            </w:tcBorders>
            <w:shd w:val="clear" w:color="auto" w:fill="auto"/>
            <w:vAlign w:val="center"/>
          </w:tcPr>
          <w:p w14:paraId="467812C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w:t>
            </w:r>
          </w:p>
        </w:tc>
        <w:tc>
          <w:tcPr>
            <w:tcW w:w="2324" w:type="dxa"/>
            <w:tcBorders>
              <w:top w:val="nil"/>
              <w:left w:val="nil"/>
              <w:bottom w:val="single" w:color="auto" w:sz="4" w:space="0"/>
              <w:right w:val="single" w:color="auto" w:sz="4" w:space="0"/>
            </w:tcBorders>
            <w:shd w:val="clear" w:color="auto" w:fill="auto"/>
            <w:vAlign w:val="center"/>
          </w:tcPr>
          <w:p w14:paraId="07743E93">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DN300雨水管</w:t>
            </w:r>
          </w:p>
        </w:tc>
        <w:tc>
          <w:tcPr>
            <w:tcW w:w="1042" w:type="dxa"/>
            <w:tcBorders>
              <w:top w:val="nil"/>
              <w:left w:val="nil"/>
              <w:bottom w:val="single" w:color="auto" w:sz="4" w:space="0"/>
              <w:right w:val="single" w:color="auto" w:sz="4" w:space="0"/>
            </w:tcBorders>
            <w:shd w:val="clear" w:color="auto" w:fill="auto"/>
            <w:vAlign w:val="center"/>
          </w:tcPr>
          <w:p w14:paraId="1191335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p>
        </w:tc>
        <w:tc>
          <w:tcPr>
            <w:tcW w:w="1080" w:type="dxa"/>
            <w:tcBorders>
              <w:top w:val="nil"/>
              <w:left w:val="nil"/>
              <w:bottom w:val="single" w:color="auto" w:sz="4" w:space="0"/>
              <w:right w:val="single" w:color="auto" w:sz="4" w:space="0"/>
            </w:tcBorders>
            <w:shd w:val="clear" w:color="auto" w:fill="auto"/>
            <w:vAlign w:val="center"/>
          </w:tcPr>
          <w:p w14:paraId="0A6A80D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494.51</w:t>
            </w:r>
          </w:p>
        </w:tc>
        <w:tc>
          <w:tcPr>
            <w:tcW w:w="1067" w:type="dxa"/>
            <w:tcBorders>
              <w:top w:val="nil"/>
              <w:left w:val="nil"/>
              <w:bottom w:val="single" w:color="auto" w:sz="4" w:space="0"/>
              <w:right w:val="single" w:color="auto" w:sz="4" w:space="0"/>
            </w:tcBorders>
            <w:shd w:val="clear" w:color="auto" w:fill="auto"/>
            <w:vAlign w:val="center"/>
          </w:tcPr>
          <w:p w14:paraId="32DCBC5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380</w:t>
            </w:r>
          </w:p>
        </w:tc>
        <w:tc>
          <w:tcPr>
            <w:tcW w:w="1346" w:type="dxa"/>
            <w:tcBorders>
              <w:top w:val="nil"/>
              <w:left w:val="nil"/>
              <w:bottom w:val="single" w:color="auto" w:sz="4" w:space="0"/>
              <w:right w:val="single" w:color="auto" w:sz="4" w:space="0"/>
            </w:tcBorders>
            <w:shd w:val="clear" w:color="auto" w:fill="auto"/>
            <w:vAlign w:val="center"/>
          </w:tcPr>
          <w:p w14:paraId="5931934B">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18.79</w:t>
            </w:r>
          </w:p>
        </w:tc>
        <w:tc>
          <w:tcPr>
            <w:tcW w:w="1347" w:type="dxa"/>
            <w:tcBorders>
              <w:top w:val="nil"/>
              <w:left w:val="nil"/>
              <w:bottom w:val="single" w:color="auto" w:sz="4" w:space="0"/>
              <w:right w:val="single" w:color="auto" w:sz="4" w:space="0"/>
            </w:tcBorders>
            <w:shd w:val="clear" w:color="auto" w:fill="auto"/>
            <w:vAlign w:val="center"/>
          </w:tcPr>
          <w:p w14:paraId="5DEC8799">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主体未实施</w:t>
            </w:r>
          </w:p>
        </w:tc>
      </w:tr>
      <w:tr w14:paraId="20F165CC">
        <w:tblPrEx>
          <w:tblCellMar>
            <w:top w:w="0" w:type="dxa"/>
            <w:left w:w="108" w:type="dxa"/>
            <w:bottom w:w="0" w:type="dxa"/>
            <w:right w:w="108" w:type="dxa"/>
          </w:tblCellMar>
        </w:tblPrEx>
        <w:trPr>
          <w:trHeight w:val="289" w:hRule="atLeast"/>
        </w:trPr>
        <w:tc>
          <w:tcPr>
            <w:tcW w:w="814" w:type="dxa"/>
            <w:tcBorders>
              <w:top w:val="nil"/>
              <w:left w:val="single" w:color="auto" w:sz="4" w:space="0"/>
              <w:bottom w:val="single" w:color="auto" w:sz="4" w:space="0"/>
              <w:right w:val="single" w:color="auto" w:sz="4" w:space="0"/>
            </w:tcBorders>
            <w:shd w:val="clear" w:color="auto" w:fill="auto"/>
            <w:vAlign w:val="center"/>
          </w:tcPr>
          <w:p w14:paraId="62F2524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5</w:t>
            </w:r>
          </w:p>
        </w:tc>
        <w:tc>
          <w:tcPr>
            <w:tcW w:w="2324" w:type="dxa"/>
            <w:tcBorders>
              <w:top w:val="nil"/>
              <w:left w:val="nil"/>
              <w:bottom w:val="single" w:color="auto" w:sz="4" w:space="0"/>
              <w:right w:val="single" w:color="auto" w:sz="4" w:space="0"/>
            </w:tcBorders>
            <w:shd w:val="clear" w:color="auto" w:fill="auto"/>
            <w:vAlign w:val="center"/>
          </w:tcPr>
          <w:p w14:paraId="054AABC9">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雨水口</w:t>
            </w:r>
          </w:p>
        </w:tc>
        <w:tc>
          <w:tcPr>
            <w:tcW w:w="1042" w:type="dxa"/>
            <w:tcBorders>
              <w:top w:val="nil"/>
              <w:left w:val="nil"/>
              <w:bottom w:val="single" w:color="auto" w:sz="4" w:space="0"/>
              <w:right w:val="single" w:color="auto" w:sz="4" w:space="0"/>
            </w:tcBorders>
            <w:shd w:val="clear" w:color="auto" w:fill="auto"/>
            <w:vAlign w:val="center"/>
          </w:tcPr>
          <w:p w14:paraId="1CACF086">
            <w:pPr>
              <w:widowControl/>
              <w:adjustRightInd/>
              <w:snapToGrid/>
              <w:spacing w:line="240" w:lineRule="auto"/>
              <w:ind w:firstLine="0" w:firstLineChars="0"/>
              <w:jc w:val="center"/>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个</w:t>
            </w:r>
          </w:p>
        </w:tc>
        <w:tc>
          <w:tcPr>
            <w:tcW w:w="1080" w:type="dxa"/>
            <w:tcBorders>
              <w:top w:val="nil"/>
              <w:left w:val="nil"/>
              <w:bottom w:val="single" w:color="auto" w:sz="4" w:space="0"/>
              <w:right w:val="single" w:color="auto" w:sz="4" w:space="0"/>
            </w:tcBorders>
            <w:shd w:val="clear" w:color="auto" w:fill="auto"/>
            <w:vAlign w:val="center"/>
          </w:tcPr>
          <w:p w14:paraId="3194087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17</w:t>
            </w:r>
          </w:p>
        </w:tc>
        <w:tc>
          <w:tcPr>
            <w:tcW w:w="1067" w:type="dxa"/>
            <w:tcBorders>
              <w:top w:val="nil"/>
              <w:left w:val="nil"/>
              <w:bottom w:val="single" w:color="auto" w:sz="4" w:space="0"/>
              <w:right w:val="single" w:color="auto" w:sz="4" w:space="0"/>
            </w:tcBorders>
            <w:shd w:val="clear" w:color="auto" w:fill="auto"/>
            <w:vAlign w:val="center"/>
          </w:tcPr>
          <w:p w14:paraId="17168C0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650</w:t>
            </w:r>
          </w:p>
        </w:tc>
        <w:tc>
          <w:tcPr>
            <w:tcW w:w="1346" w:type="dxa"/>
            <w:tcBorders>
              <w:top w:val="nil"/>
              <w:left w:val="nil"/>
              <w:bottom w:val="single" w:color="auto" w:sz="4" w:space="0"/>
              <w:right w:val="single" w:color="auto" w:sz="4" w:space="0"/>
            </w:tcBorders>
            <w:shd w:val="clear" w:color="auto" w:fill="auto"/>
            <w:vAlign w:val="center"/>
          </w:tcPr>
          <w:p w14:paraId="57061872">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1.11</w:t>
            </w:r>
          </w:p>
        </w:tc>
        <w:tc>
          <w:tcPr>
            <w:tcW w:w="1347" w:type="dxa"/>
            <w:tcBorders>
              <w:top w:val="nil"/>
              <w:left w:val="nil"/>
              <w:bottom w:val="single" w:color="auto" w:sz="4" w:space="0"/>
              <w:right w:val="single" w:color="auto" w:sz="4" w:space="0"/>
            </w:tcBorders>
            <w:shd w:val="clear" w:color="auto" w:fill="auto"/>
            <w:vAlign w:val="center"/>
          </w:tcPr>
          <w:p w14:paraId="1FE4A096">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主体未实施</w:t>
            </w:r>
          </w:p>
        </w:tc>
      </w:tr>
      <w:tr w14:paraId="297FD162">
        <w:tblPrEx>
          <w:tblCellMar>
            <w:top w:w="0" w:type="dxa"/>
            <w:left w:w="108" w:type="dxa"/>
            <w:bottom w:w="0" w:type="dxa"/>
            <w:right w:w="108" w:type="dxa"/>
          </w:tblCellMar>
        </w:tblPrEx>
        <w:trPr>
          <w:trHeight w:val="289" w:hRule="atLeast"/>
        </w:trPr>
        <w:tc>
          <w:tcPr>
            <w:tcW w:w="814" w:type="dxa"/>
            <w:tcBorders>
              <w:top w:val="nil"/>
              <w:left w:val="single" w:color="auto" w:sz="4" w:space="0"/>
              <w:bottom w:val="single" w:color="auto" w:sz="4" w:space="0"/>
              <w:right w:val="single" w:color="auto" w:sz="4" w:space="0"/>
            </w:tcBorders>
            <w:shd w:val="clear" w:color="auto" w:fill="auto"/>
            <w:vAlign w:val="center"/>
          </w:tcPr>
          <w:p w14:paraId="67DB0BA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6</w:t>
            </w:r>
          </w:p>
        </w:tc>
        <w:tc>
          <w:tcPr>
            <w:tcW w:w="2324" w:type="dxa"/>
            <w:tcBorders>
              <w:top w:val="nil"/>
              <w:left w:val="nil"/>
              <w:bottom w:val="single" w:color="auto" w:sz="4" w:space="0"/>
              <w:right w:val="single" w:color="auto" w:sz="4" w:space="0"/>
            </w:tcBorders>
            <w:shd w:val="clear" w:color="auto" w:fill="auto"/>
            <w:vAlign w:val="center"/>
          </w:tcPr>
          <w:p w14:paraId="595A65D2">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雨水蓄水池</w:t>
            </w:r>
          </w:p>
        </w:tc>
        <w:tc>
          <w:tcPr>
            <w:tcW w:w="1042" w:type="dxa"/>
            <w:tcBorders>
              <w:top w:val="nil"/>
              <w:left w:val="nil"/>
              <w:bottom w:val="single" w:color="auto" w:sz="4" w:space="0"/>
              <w:right w:val="single" w:color="auto" w:sz="4" w:space="0"/>
            </w:tcBorders>
            <w:shd w:val="clear" w:color="auto" w:fill="auto"/>
            <w:vAlign w:val="center"/>
          </w:tcPr>
          <w:p w14:paraId="7C0121EC">
            <w:pPr>
              <w:widowControl/>
              <w:adjustRightInd/>
              <w:snapToGrid/>
              <w:spacing w:line="240" w:lineRule="auto"/>
              <w:ind w:firstLine="0" w:firstLineChars="0"/>
              <w:jc w:val="center"/>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座</w:t>
            </w:r>
          </w:p>
        </w:tc>
        <w:tc>
          <w:tcPr>
            <w:tcW w:w="1080" w:type="dxa"/>
            <w:tcBorders>
              <w:top w:val="nil"/>
              <w:left w:val="nil"/>
              <w:bottom w:val="single" w:color="auto" w:sz="4" w:space="0"/>
              <w:right w:val="single" w:color="auto" w:sz="4" w:space="0"/>
            </w:tcBorders>
            <w:shd w:val="clear" w:color="auto" w:fill="auto"/>
            <w:vAlign w:val="center"/>
          </w:tcPr>
          <w:p w14:paraId="527F458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1</w:t>
            </w:r>
          </w:p>
        </w:tc>
        <w:tc>
          <w:tcPr>
            <w:tcW w:w="1067" w:type="dxa"/>
            <w:tcBorders>
              <w:top w:val="nil"/>
              <w:left w:val="nil"/>
              <w:bottom w:val="single" w:color="auto" w:sz="4" w:space="0"/>
              <w:right w:val="single" w:color="auto" w:sz="4" w:space="0"/>
            </w:tcBorders>
            <w:shd w:val="clear" w:color="auto" w:fill="auto"/>
            <w:vAlign w:val="center"/>
          </w:tcPr>
          <w:p w14:paraId="779A5FEB">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16000</w:t>
            </w:r>
          </w:p>
        </w:tc>
        <w:tc>
          <w:tcPr>
            <w:tcW w:w="1346" w:type="dxa"/>
            <w:tcBorders>
              <w:top w:val="nil"/>
              <w:left w:val="nil"/>
              <w:bottom w:val="single" w:color="auto" w:sz="4" w:space="0"/>
              <w:right w:val="single" w:color="auto" w:sz="4" w:space="0"/>
            </w:tcBorders>
            <w:shd w:val="clear" w:color="auto" w:fill="auto"/>
            <w:vAlign w:val="center"/>
          </w:tcPr>
          <w:p w14:paraId="785EB673">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1.60</w:t>
            </w:r>
          </w:p>
        </w:tc>
        <w:tc>
          <w:tcPr>
            <w:tcW w:w="1347" w:type="dxa"/>
            <w:tcBorders>
              <w:top w:val="nil"/>
              <w:left w:val="nil"/>
              <w:bottom w:val="single" w:color="auto" w:sz="4" w:space="0"/>
              <w:right w:val="single" w:color="auto" w:sz="4" w:space="0"/>
            </w:tcBorders>
            <w:shd w:val="clear" w:color="auto" w:fill="auto"/>
            <w:vAlign w:val="center"/>
          </w:tcPr>
          <w:p w14:paraId="648A522F">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主体未实施</w:t>
            </w:r>
          </w:p>
        </w:tc>
      </w:tr>
      <w:tr w14:paraId="3286309C">
        <w:tblPrEx>
          <w:tblCellMar>
            <w:top w:w="0" w:type="dxa"/>
            <w:left w:w="108" w:type="dxa"/>
            <w:bottom w:w="0" w:type="dxa"/>
            <w:right w:w="108" w:type="dxa"/>
          </w:tblCellMar>
        </w:tblPrEx>
        <w:trPr>
          <w:trHeight w:val="289" w:hRule="atLeast"/>
        </w:trPr>
        <w:tc>
          <w:tcPr>
            <w:tcW w:w="814" w:type="dxa"/>
            <w:tcBorders>
              <w:top w:val="nil"/>
              <w:left w:val="single" w:color="auto" w:sz="4" w:space="0"/>
              <w:bottom w:val="single" w:color="auto" w:sz="4" w:space="0"/>
              <w:right w:val="single" w:color="auto" w:sz="4" w:space="0"/>
            </w:tcBorders>
            <w:shd w:val="clear" w:color="auto" w:fill="auto"/>
            <w:vAlign w:val="center"/>
          </w:tcPr>
          <w:p w14:paraId="27905D3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w:t>
            </w:r>
            <w:r>
              <w:rPr>
                <w:rFonts w:hint="eastAsia" w:ascii="宋体" w:hAnsi="宋体" w:eastAsia="宋体" w:cs="Times New Roman"/>
                <w:color w:val="000000" w:themeColor="text1"/>
                <w:kern w:val="0"/>
                <w:sz w:val="18"/>
                <w:szCs w:val="18"/>
                <w14:textFill>
                  <w14:solidFill>
                    <w14:schemeClr w14:val="tx1"/>
                  </w14:solidFill>
                </w14:textFill>
              </w:rPr>
              <w:t>二</w:t>
            </w:r>
            <w:r>
              <w:rPr>
                <w:rFonts w:eastAsia="等线" w:cs="Times New Roman"/>
                <w:color w:val="000000" w:themeColor="text1"/>
                <w:kern w:val="0"/>
                <w:sz w:val="18"/>
                <w:szCs w:val="18"/>
                <w14:textFill>
                  <w14:solidFill>
                    <w14:schemeClr w14:val="tx1"/>
                  </w14:solidFill>
                </w14:textFill>
              </w:rPr>
              <w:t>)</w:t>
            </w:r>
          </w:p>
        </w:tc>
        <w:tc>
          <w:tcPr>
            <w:tcW w:w="2324" w:type="dxa"/>
            <w:tcBorders>
              <w:top w:val="nil"/>
              <w:left w:val="nil"/>
              <w:bottom w:val="single" w:color="auto" w:sz="4" w:space="0"/>
              <w:right w:val="single" w:color="auto" w:sz="4" w:space="0"/>
            </w:tcBorders>
            <w:shd w:val="clear" w:color="auto" w:fill="auto"/>
            <w:vAlign w:val="center"/>
          </w:tcPr>
          <w:p w14:paraId="6853EA4E">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景观绿化工程区</w:t>
            </w:r>
          </w:p>
        </w:tc>
        <w:tc>
          <w:tcPr>
            <w:tcW w:w="1042" w:type="dxa"/>
            <w:tcBorders>
              <w:top w:val="nil"/>
              <w:left w:val="nil"/>
              <w:bottom w:val="single" w:color="auto" w:sz="4" w:space="0"/>
              <w:right w:val="single" w:color="auto" w:sz="4" w:space="0"/>
            </w:tcBorders>
            <w:shd w:val="clear" w:color="auto" w:fill="auto"/>
            <w:vAlign w:val="center"/>
          </w:tcPr>
          <w:p w14:paraId="7650937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080" w:type="dxa"/>
            <w:tcBorders>
              <w:top w:val="nil"/>
              <w:left w:val="nil"/>
              <w:bottom w:val="single" w:color="auto" w:sz="4" w:space="0"/>
              <w:right w:val="single" w:color="auto" w:sz="4" w:space="0"/>
            </w:tcBorders>
            <w:shd w:val="clear" w:color="auto" w:fill="auto"/>
            <w:vAlign w:val="center"/>
          </w:tcPr>
          <w:p w14:paraId="0C353F7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067" w:type="dxa"/>
            <w:tcBorders>
              <w:top w:val="nil"/>
              <w:left w:val="nil"/>
              <w:bottom w:val="single" w:color="auto" w:sz="4" w:space="0"/>
              <w:right w:val="single" w:color="auto" w:sz="4" w:space="0"/>
            </w:tcBorders>
            <w:shd w:val="clear" w:color="auto" w:fill="auto"/>
            <w:vAlign w:val="center"/>
          </w:tcPr>
          <w:p w14:paraId="71D0F4A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346" w:type="dxa"/>
            <w:tcBorders>
              <w:top w:val="nil"/>
              <w:left w:val="nil"/>
              <w:bottom w:val="single" w:color="auto" w:sz="4" w:space="0"/>
              <w:right w:val="single" w:color="auto" w:sz="4" w:space="0"/>
            </w:tcBorders>
            <w:shd w:val="clear" w:color="auto" w:fill="auto"/>
            <w:vAlign w:val="center"/>
          </w:tcPr>
          <w:p w14:paraId="78476404">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hint="eastAsia" w:eastAsia="宋体" w:cs="Times New Roman"/>
                <w:color w:val="000000"/>
                <w:kern w:val="0"/>
                <w:sz w:val="18"/>
                <w:szCs w:val="18"/>
                <w:lang w:bidi="ar"/>
              </w:rPr>
              <w:t>0.02</w:t>
            </w:r>
          </w:p>
        </w:tc>
        <w:tc>
          <w:tcPr>
            <w:tcW w:w="1347" w:type="dxa"/>
            <w:tcBorders>
              <w:top w:val="nil"/>
              <w:left w:val="nil"/>
              <w:bottom w:val="single" w:color="auto" w:sz="4" w:space="0"/>
              <w:right w:val="single" w:color="auto" w:sz="4" w:space="0"/>
            </w:tcBorders>
            <w:shd w:val="clear" w:color="auto" w:fill="auto"/>
            <w:noWrap/>
            <w:vAlign w:val="center"/>
          </w:tcPr>
          <w:p w14:paraId="65D4DF44">
            <w:pPr>
              <w:widowControl/>
              <w:adjustRightInd/>
              <w:snapToGrid/>
              <w:spacing w:line="240" w:lineRule="auto"/>
              <w:ind w:firstLine="0" w:firstLineChars="0"/>
              <w:jc w:val="center"/>
              <w:rPr>
                <w:rFonts w:hint="eastAsia" w:ascii="等线" w:hAnsi="等线" w:eastAsia="等线" w:cs="宋体"/>
                <w:color w:val="000000" w:themeColor="text1"/>
                <w:kern w:val="0"/>
                <w:sz w:val="22"/>
                <w:szCs w:val="22"/>
                <w14:textFill>
                  <w14:solidFill>
                    <w14:schemeClr w14:val="tx1"/>
                  </w14:solidFill>
                </w14:textFill>
              </w:rPr>
            </w:pPr>
          </w:p>
        </w:tc>
      </w:tr>
      <w:tr w14:paraId="407D5DE1">
        <w:tblPrEx>
          <w:tblCellMar>
            <w:top w:w="0" w:type="dxa"/>
            <w:left w:w="108" w:type="dxa"/>
            <w:bottom w:w="0" w:type="dxa"/>
            <w:right w:w="108" w:type="dxa"/>
          </w:tblCellMar>
        </w:tblPrEx>
        <w:trPr>
          <w:trHeight w:val="302" w:hRule="atLeast"/>
        </w:trPr>
        <w:tc>
          <w:tcPr>
            <w:tcW w:w="814" w:type="dxa"/>
            <w:tcBorders>
              <w:top w:val="nil"/>
              <w:left w:val="single" w:color="auto" w:sz="4" w:space="0"/>
              <w:bottom w:val="single" w:color="auto" w:sz="4" w:space="0"/>
              <w:right w:val="single" w:color="auto" w:sz="4" w:space="0"/>
            </w:tcBorders>
            <w:shd w:val="clear" w:color="auto" w:fill="auto"/>
            <w:vAlign w:val="center"/>
          </w:tcPr>
          <w:p w14:paraId="6103A2A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2324" w:type="dxa"/>
            <w:tcBorders>
              <w:top w:val="nil"/>
              <w:left w:val="nil"/>
              <w:bottom w:val="single" w:color="auto" w:sz="4" w:space="0"/>
              <w:right w:val="single" w:color="auto" w:sz="4" w:space="0"/>
            </w:tcBorders>
            <w:shd w:val="clear" w:color="auto" w:fill="auto"/>
            <w:vAlign w:val="center"/>
          </w:tcPr>
          <w:p w14:paraId="638362D7">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土地整治</w:t>
            </w:r>
          </w:p>
        </w:tc>
        <w:tc>
          <w:tcPr>
            <w:tcW w:w="1042" w:type="dxa"/>
            <w:tcBorders>
              <w:top w:val="nil"/>
              <w:left w:val="nil"/>
              <w:bottom w:val="single" w:color="auto" w:sz="4" w:space="0"/>
              <w:right w:val="single" w:color="auto" w:sz="4" w:space="0"/>
            </w:tcBorders>
            <w:shd w:val="clear" w:color="auto" w:fill="auto"/>
            <w:vAlign w:val="center"/>
          </w:tcPr>
          <w:p w14:paraId="4273B63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hm</w:t>
            </w:r>
            <w:r>
              <w:rPr>
                <w:rFonts w:eastAsia="等线" w:cs="Times New Roman"/>
                <w:color w:val="000000" w:themeColor="text1"/>
                <w:kern w:val="0"/>
                <w:sz w:val="18"/>
                <w:szCs w:val="18"/>
                <w:vertAlign w:val="superscript"/>
                <w14:textFill>
                  <w14:solidFill>
                    <w14:schemeClr w14:val="tx1"/>
                  </w14:solidFill>
                </w14:textFill>
              </w:rPr>
              <w:t>2</w:t>
            </w:r>
          </w:p>
        </w:tc>
        <w:tc>
          <w:tcPr>
            <w:tcW w:w="1080" w:type="dxa"/>
            <w:tcBorders>
              <w:top w:val="nil"/>
              <w:left w:val="nil"/>
              <w:bottom w:val="single" w:color="auto" w:sz="4" w:space="0"/>
              <w:right w:val="single" w:color="auto" w:sz="4" w:space="0"/>
            </w:tcBorders>
            <w:shd w:val="clear" w:color="auto" w:fill="auto"/>
            <w:vAlign w:val="center"/>
          </w:tcPr>
          <w:p w14:paraId="6C2202D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0.12</w:t>
            </w:r>
          </w:p>
        </w:tc>
        <w:tc>
          <w:tcPr>
            <w:tcW w:w="1067" w:type="dxa"/>
            <w:tcBorders>
              <w:top w:val="nil"/>
              <w:left w:val="nil"/>
              <w:bottom w:val="single" w:color="auto" w:sz="4" w:space="0"/>
              <w:right w:val="single" w:color="auto" w:sz="4" w:space="0"/>
            </w:tcBorders>
            <w:shd w:val="clear" w:color="auto" w:fill="auto"/>
            <w:vAlign w:val="center"/>
          </w:tcPr>
          <w:p w14:paraId="6FD4E2E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1712.08</w:t>
            </w:r>
          </w:p>
        </w:tc>
        <w:tc>
          <w:tcPr>
            <w:tcW w:w="1346" w:type="dxa"/>
            <w:tcBorders>
              <w:top w:val="nil"/>
              <w:left w:val="nil"/>
              <w:bottom w:val="single" w:color="auto" w:sz="4" w:space="0"/>
              <w:right w:val="single" w:color="auto" w:sz="4" w:space="0"/>
            </w:tcBorders>
            <w:shd w:val="clear" w:color="auto" w:fill="auto"/>
            <w:vAlign w:val="center"/>
          </w:tcPr>
          <w:p w14:paraId="55119341">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hint="eastAsia" w:eastAsia="宋体" w:cs="Times New Roman"/>
                <w:color w:val="000000"/>
                <w:kern w:val="0"/>
                <w:sz w:val="18"/>
                <w:szCs w:val="18"/>
                <w:lang w:bidi="ar"/>
              </w:rPr>
              <w:t>0.02</w:t>
            </w:r>
          </w:p>
        </w:tc>
        <w:tc>
          <w:tcPr>
            <w:tcW w:w="1347" w:type="dxa"/>
            <w:tcBorders>
              <w:top w:val="nil"/>
              <w:left w:val="nil"/>
              <w:bottom w:val="single" w:color="auto" w:sz="4" w:space="0"/>
              <w:right w:val="single" w:color="auto" w:sz="4" w:space="0"/>
            </w:tcBorders>
            <w:shd w:val="clear" w:color="auto" w:fill="auto"/>
            <w:vAlign w:val="center"/>
          </w:tcPr>
          <w:p w14:paraId="1E4B0EA4">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方案新增</w:t>
            </w:r>
          </w:p>
        </w:tc>
      </w:tr>
      <w:tr w14:paraId="3E6FA528">
        <w:tblPrEx>
          <w:tblCellMar>
            <w:top w:w="0" w:type="dxa"/>
            <w:left w:w="108" w:type="dxa"/>
            <w:bottom w:w="0" w:type="dxa"/>
            <w:right w:w="108" w:type="dxa"/>
          </w:tblCellMar>
        </w:tblPrEx>
        <w:trPr>
          <w:trHeight w:val="289" w:hRule="atLeast"/>
        </w:trPr>
        <w:tc>
          <w:tcPr>
            <w:tcW w:w="814" w:type="dxa"/>
            <w:tcBorders>
              <w:top w:val="nil"/>
              <w:left w:val="single" w:color="auto" w:sz="4" w:space="0"/>
              <w:bottom w:val="single" w:color="auto" w:sz="4" w:space="0"/>
              <w:right w:val="single" w:color="auto" w:sz="4" w:space="0"/>
            </w:tcBorders>
            <w:shd w:val="clear" w:color="auto" w:fill="auto"/>
            <w:vAlign w:val="center"/>
          </w:tcPr>
          <w:p w14:paraId="2487525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2324" w:type="dxa"/>
            <w:tcBorders>
              <w:top w:val="nil"/>
              <w:left w:val="nil"/>
              <w:bottom w:val="single" w:color="auto" w:sz="4" w:space="0"/>
              <w:right w:val="single" w:color="auto" w:sz="4" w:space="0"/>
            </w:tcBorders>
            <w:shd w:val="clear" w:color="auto" w:fill="auto"/>
            <w:vAlign w:val="center"/>
          </w:tcPr>
          <w:p w14:paraId="766E7FA9">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合计</w:t>
            </w:r>
          </w:p>
        </w:tc>
        <w:tc>
          <w:tcPr>
            <w:tcW w:w="1042" w:type="dxa"/>
            <w:tcBorders>
              <w:top w:val="nil"/>
              <w:left w:val="nil"/>
              <w:bottom w:val="single" w:color="auto" w:sz="4" w:space="0"/>
              <w:right w:val="single" w:color="auto" w:sz="4" w:space="0"/>
            </w:tcBorders>
            <w:shd w:val="clear" w:color="auto" w:fill="auto"/>
            <w:vAlign w:val="center"/>
          </w:tcPr>
          <w:p w14:paraId="08246F1C">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p>
        </w:tc>
        <w:tc>
          <w:tcPr>
            <w:tcW w:w="1080" w:type="dxa"/>
            <w:tcBorders>
              <w:top w:val="nil"/>
              <w:left w:val="nil"/>
              <w:bottom w:val="single" w:color="auto" w:sz="4" w:space="0"/>
              <w:right w:val="single" w:color="auto" w:sz="4" w:space="0"/>
            </w:tcBorders>
            <w:shd w:val="clear" w:color="auto" w:fill="auto"/>
            <w:vAlign w:val="center"/>
          </w:tcPr>
          <w:p w14:paraId="78C72A42">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p>
        </w:tc>
        <w:tc>
          <w:tcPr>
            <w:tcW w:w="1067" w:type="dxa"/>
            <w:tcBorders>
              <w:top w:val="nil"/>
              <w:left w:val="nil"/>
              <w:bottom w:val="single" w:color="auto" w:sz="4" w:space="0"/>
              <w:right w:val="single" w:color="auto" w:sz="4" w:space="0"/>
            </w:tcBorders>
            <w:shd w:val="clear" w:color="auto" w:fill="auto"/>
            <w:vAlign w:val="center"/>
          </w:tcPr>
          <w:p w14:paraId="0BAD22D0">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p>
        </w:tc>
        <w:tc>
          <w:tcPr>
            <w:tcW w:w="1346" w:type="dxa"/>
            <w:tcBorders>
              <w:top w:val="nil"/>
              <w:left w:val="nil"/>
              <w:bottom w:val="single" w:color="auto" w:sz="4" w:space="0"/>
              <w:right w:val="single" w:color="auto" w:sz="4" w:space="0"/>
            </w:tcBorders>
            <w:shd w:val="clear" w:color="auto" w:fill="auto"/>
            <w:vAlign w:val="center"/>
          </w:tcPr>
          <w:p w14:paraId="0C1D2A5B">
            <w:pPr>
              <w:widowControl/>
              <w:ind w:firstLine="0" w:firstLineChars="0"/>
              <w:jc w:val="center"/>
              <w:textAlignment w:val="center"/>
              <w:rPr>
                <w:rFonts w:hint="eastAsia" w:eastAsia="等线" w:cs="Times New Roman"/>
                <w:b/>
                <w:bCs/>
                <w:color w:val="000000" w:themeColor="text1"/>
                <w:kern w:val="0"/>
                <w:sz w:val="18"/>
                <w:szCs w:val="18"/>
                <w:lang w:eastAsia="zh-CN"/>
                <w14:textFill>
                  <w14:solidFill>
                    <w14:schemeClr w14:val="tx1"/>
                  </w14:solidFill>
                </w14:textFill>
              </w:rPr>
            </w:pPr>
            <w:r>
              <w:rPr>
                <w:rFonts w:hint="eastAsia" w:eastAsia="宋体" w:cs="Times New Roman"/>
                <w:b/>
                <w:bCs/>
                <w:color w:val="000000"/>
                <w:kern w:val="0"/>
                <w:sz w:val="18"/>
                <w:szCs w:val="18"/>
                <w:lang w:eastAsia="zh-CN" w:bidi="ar"/>
              </w:rPr>
              <w:t>23.33</w:t>
            </w:r>
          </w:p>
        </w:tc>
        <w:tc>
          <w:tcPr>
            <w:tcW w:w="1347" w:type="dxa"/>
            <w:tcBorders>
              <w:top w:val="nil"/>
              <w:left w:val="nil"/>
              <w:bottom w:val="single" w:color="auto" w:sz="4" w:space="0"/>
              <w:right w:val="single" w:color="auto" w:sz="4" w:space="0"/>
            </w:tcBorders>
            <w:shd w:val="clear" w:color="auto" w:fill="auto"/>
            <w:noWrap/>
            <w:vAlign w:val="center"/>
          </w:tcPr>
          <w:p w14:paraId="55EE9FA7">
            <w:pPr>
              <w:widowControl/>
              <w:adjustRightInd/>
              <w:snapToGrid/>
              <w:spacing w:line="240" w:lineRule="auto"/>
              <w:ind w:firstLine="0" w:firstLineChars="0"/>
              <w:jc w:val="center"/>
              <w:rPr>
                <w:rFonts w:hint="eastAsia" w:ascii="等线" w:hAnsi="等线" w:eastAsia="等线" w:cs="宋体"/>
                <w:color w:val="000000" w:themeColor="text1"/>
                <w:kern w:val="0"/>
                <w:sz w:val="22"/>
                <w:szCs w:val="22"/>
                <w14:textFill>
                  <w14:solidFill>
                    <w14:schemeClr w14:val="tx1"/>
                  </w14:solidFill>
                </w14:textFill>
              </w:rPr>
            </w:pPr>
          </w:p>
        </w:tc>
      </w:tr>
    </w:tbl>
    <w:p w14:paraId="5C1FC10D">
      <w:pPr>
        <w:pStyle w:val="33"/>
        <w:jc w:val="center"/>
        <w:rPr>
          <w:color w:val="000000" w:themeColor="text1"/>
          <w14:textFill>
            <w14:solidFill>
              <w14:schemeClr w14:val="tx1"/>
            </w14:solidFill>
          </w14:textFill>
        </w:rPr>
      </w:pPr>
    </w:p>
    <w:p w14:paraId="493E018A">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表7.1-</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 xml:space="preserve">   水土保持植物措施投资估算表</w:t>
      </w:r>
    </w:p>
    <w:tbl>
      <w:tblPr>
        <w:tblStyle w:val="26"/>
        <w:tblW w:w="88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2370"/>
        <w:gridCol w:w="1073"/>
        <w:gridCol w:w="1105"/>
        <w:gridCol w:w="1096"/>
        <w:gridCol w:w="1089"/>
        <w:gridCol w:w="1295"/>
      </w:tblGrid>
      <w:tr w14:paraId="21428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1" w:type="dxa"/>
            <w:vMerge w:val="restart"/>
            <w:shd w:val="clear" w:color="auto" w:fill="auto"/>
            <w:vAlign w:val="center"/>
          </w:tcPr>
          <w:p w14:paraId="6ACDE199">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ascii="仿宋_GB2312" w:cs="Times New Roman"/>
                <w:color w:val="000000" w:themeColor="text1"/>
                <w:kern w:val="0"/>
                <w:sz w:val="18"/>
                <w:szCs w:val="18"/>
                <w14:textFill>
                  <w14:solidFill>
                    <w14:schemeClr w14:val="tx1"/>
                  </w14:solidFill>
                </w14:textFill>
              </w:rPr>
              <w:t>序号</w:t>
            </w:r>
          </w:p>
        </w:tc>
        <w:tc>
          <w:tcPr>
            <w:tcW w:w="2370" w:type="dxa"/>
            <w:vMerge w:val="restart"/>
            <w:shd w:val="clear" w:color="auto" w:fill="auto"/>
            <w:vAlign w:val="center"/>
          </w:tcPr>
          <w:p w14:paraId="77549BF2">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工程及费用名称</w:t>
            </w:r>
          </w:p>
        </w:tc>
        <w:tc>
          <w:tcPr>
            <w:tcW w:w="1073" w:type="dxa"/>
            <w:vMerge w:val="restart"/>
            <w:shd w:val="clear" w:color="auto" w:fill="auto"/>
            <w:vAlign w:val="center"/>
          </w:tcPr>
          <w:p w14:paraId="03EF8C60">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单位</w:t>
            </w:r>
          </w:p>
        </w:tc>
        <w:tc>
          <w:tcPr>
            <w:tcW w:w="1105" w:type="dxa"/>
            <w:vMerge w:val="restart"/>
            <w:shd w:val="clear" w:color="auto" w:fill="auto"/>
            <w:vAlign w:val="center"/>
          </w:tcPr>
          <w:p w14:paraId="17E9034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数量</w:t>
            </w:r>
          </w:p>
        </w:tc>
        <w:tc>
          <w:tcPr>
            <w:tcW w:w="1096" w:type="dxa"/>
            <w:vMerge w:val="restart"/>
            <w:shd w:val="clear" w:color="auto" w:fill="auto"/>
            <w:vAlign w:val="center"/>
          </w:tcPr>
          <w:p w14:paraId="612FDB23">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单价（元）</w:t>
            </w:r>
          </w:p>
        </w:tc>
        <w:tc>
          <w:tcPr>
            <w:tcW w:w="1089" w:type="dxa"/>
            <w:vMerge w:val="restart"/>
            <w:shd w:val="clear" w:color="auto" w:fill="auto"/>
            <w:vAlign w:val="center"/>
          </w:tcPr>
          <w:p w14:paraId="03F6C2D5">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合计（万元）</w:t>
            </w:r>
          </w:p>
        </w:tc>
        <w:tc>
          <w:tcPr>
            <w:tcW w:w="1295" w:type="dxa"/>
            <w:vMerge w:val="restart"/>
            <w:shd w:val="clear" w:color="auto" w:fill="auto"/>
            <w:vAlign w:val="center"/>
          </w:tcPr>
          <w:p w14:paraId="2C9D152F">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备注</w:t>
            </w:r>
          </w:p>
        </w:tc>
      </w:tr>
      <w:tr w14:paraId="592C5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1" w:type="dxa"/>
            <w:vMerge w:val="continue"/>
            <w:vAlign w:val="center"/>
          </w:tcPr>
          <w:p w14:paraId="0F717B2F">
            <w:pPr>
              <w:widowControl/>
              <w:adjustRightInd/>
              <w:snapToGrid/>
              <w:spacing w:line="240" w:lineRule="auto"/>
              <w:ind w:firstLine="0" w:firstLineChars="0"/>
              <w:jc w:val="left"/>
              <w:rPr>
                <w:rFonts w:eastAsia="等线" w:cs="Times New Roman"/>
                <w:color w:val="000000" w:themeColor="text1"/>
                <w:kern w:val="0"/>
                <w:sz w:val="18"/>
                <w:szCs w:val="18"/>
                <w14:textFill>
                  <w14:solidFill>
                    <w14:schemeClr w14:val="tx1"/>
                  </w14:solidFill>
                </w14:textFill>
              </w:rPr>
            </w:pPr>
          </w:p>
        </w:tc>
        <w:tc>
          <w:tcPr>
            <w:tcW w:w="2370" w:type="dxa"/>
            <w:vMerge w:val="continue"/>
            <w:vAlign w:val="center"/>
          </w:tcPr>
          <w:p w14:paraId="0F8F75F2">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073" w:type="dxa"/>
            <w:vMerge w:val="continue"/>
            <w:vAlign w:val="center"/>
          </w:tcPr>
          <w:p w14:paraId="0DAC7D6A">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105" w:type="dxa"/>
            <w:vMerge w:val="continue"/>
            <w:vAlign w:val="center"/>
          </w:tcPr>
          <w:p w14:paraId="2D53FD56">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096" w:type="dxa"/>
            <w:vMerge w:val="continue"/>
            <w:vAlign w:val="center"/>
          </w:tcPr>
          <w:p w14:paraId="0A2A9E11">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089" w:type="dxa"/>
            <w:vMerge w:val="continue"/>
            <w:vAlign w:val="center"/>
          </w:tcPr>
          <w:p w14:paraId="1FFEB324">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295" w:type="dxa"/>
            <w:vMerge w:val="continue"/>
            <w:vAlign w:val="center"/>
          </w:tcPr>
          <w:p w14:paraId="092B3211">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r>
      <w:tr w14:paraId="7F955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1" w:type="dxa"/>
            <w:shd w:val="clear" w:color="auto" w:fill="auto"/>
            <w:vAlign w:val="center"/>
          </w:tcPr>
          <w:p w14:paraId="15DE545D">
            <w:pPr>
              <w:widowControl/>
              <w:adjustRightInd/>
              <w:snapToGrid/>
              <w:spacing w:line="240" w:lineRule="auto"/>
              <w:ind w:firstLine="0" w:firstLineChars="0"/>
              <w:jc w:val="center"/>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(一)</w:t>
            </w:r>
          </w:p>
        </w:tc>
        <w:tc>
          <w:tcPr>
            <w:tcW w:w="2370" w:type="dxa"/>
            <w:shd w:val="clear" w:color="auto" w:fill="auto"/>
            <w:vAlign w:val="center"/>
          </w:tcPr>
          <w:p w14:paraId="0D572B76">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景观绿化工程区</w:t>
            </w:r>
          </w:p>
        </w:tc>
        <w:tc>
          <w:tcPr>
            <w:tcW w:w="1073" w:type="dxa"/>
            <w:shd w:val="clear" w:color="auto" w:fill="auto"/>
            <w:vAlign w:val="center"/>
          </w:tcPr>
          <w:p w14:paraId="642AFFC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05" w:type="dxa"/>
            <w:shd w:val="clear" w:color="auto" w:fill="auto"/>
            <w:vAlign w:val="center"/>
          </w:tcPr>
          <w:p w14:paraId="60A3015B">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96" w:type="dxa"/>
            <w:shd w:val="clear" w:color="auto" w:fill="auto"/>
            <w:vAlign w:val="center"/>
          </w:tcPr>
          <w:p w14:paraId="6877E34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9" w:type="dxa"/>
            <w:shd w:val="clear" w:color="auto" w:fill="auto"/>
            <w:vAlign w:val="center"/>
          </w:tcPr>
          <w:p w14:paraId="5A566E0F">
            <w:pPr>
              <w:widowControl/>
              <w:ind w:firstLine="0" w:firstLineChars="0"/>
              <w:jc w:val="center"/>
              <w:textAlignment w:val="center"/>
              <w:rPr>
                <w:rFonts w:eastAsia="宋体" w:cs="Times New Roman"/>
                <w:b/>
                <w:bCs/>
                <w:color w:val="000000"/>
                <w:kern w:val="0"/>
                <w:sz w:val="18"/>
                <w:szCs w:val="18"/>
                <w:lang w:bidi="ar"/>
              </w:rPr>
            </w:pPr>
            <w:r>
              <w:rPr>
                <w:rFonts w:hint="eastAsia" w:eastAsia="宋体" w:cs="Times New Roman"/>
                <w:b/>
                <w:bCs/>
                <w:color w:val="000000"/>
                <w:kern w:val="0"/>
                <w:sz w:val="18"/>
                <w:szCs w:val="18"/>
                <w:lang w:bidi="ar"/>
              </w:rPr>
              <w:t>49.49</w:t>
            </w:r>
          </w:p>
        </w:tc>
        <w:tc>
          <w:tcPr>
            <w:tcW w:w="1295" w:type="dxa"/>
            <w:shd w:val="clear" w:color="auto" w:fill="auto"/>
            <w:noWrap/>
            <w:vAlign w:val="bottom"/>
          </w:tcPr>
          <w:p w14:paraId="40C924CB">
            <w:pPr>
              <w:widowControl/>
              <w:ind w:firstLine="361"/>
              <w:textAlignment w:val="center"/>
              <w:rPr>
                <w:rFonts w:eastAsia="宋体" w:cs="Times New Roman"/>
                <w:b/>
                <w:bCs/>
                <w:color w:val="000000"/>
                <w:kern w:val="0"/>
                <w:sz w:val="18"/>
                <w:szCs w:val="18"/>
                <w:lang w:bidi="ar"/>
              </w:rPr>
            </w:pPr>
            <w:r>
              <w:rPr>
                <w:rFonts w:hint="eastAsia" w:eastAsia="宋体" w:cs="Times New Roman"/>
                <w:b/>
                <w:bCs/>
                <w:color w:val="000000"/>
                <w:kern w:val="0"/>
                <w:sz w:val="18"/>
                <w:szCs w:val="18"/>
                <w:lang w:bidi="ar"/>
              </w:rPr>
              <w:t>　</w:t>
            </w:r>
          </w:p>
        </w:tc>
      </w:tr>
      <w:tr w14:paraId="0BB8A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41" w:type="dxa"/>
            <w:shd w:val="clear" w:color="auto" w:fill="auto"/>
            <w:vAlign w:val="center"/>
          </w:tcPr>
          <w:p w14:paraId="1F21E699">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2370" w:type="dxa"/>
            <w:shd w:val="clear" w:color="auto" w:fill="auto"/>
            <w:vAlign w:val="center"/>
          </w:tcPr>
          <w:p w14:paraId="7298423D">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景观绿化</w:t>
            </w:r>
          </w:p>
        </w:tc>
        <w:tc>
          <w:tcPr>
            <w:tcW w:w="1073" w:type="dxa"/>
            <w:shd w:val="clear" w:color="auto" w:fill="auto"/>
            <w:vAlign w:val="center"/>
          </w:tcPr>
          <w:p w14:paraId="5632030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r>
              <w:rPr>
                <w:rFonts w:eastAsia="等线" w:cs="Times New Roman"/>
                <w:color w:val="000000" w:themeColor="text1"/>
                <w:kern w:val="0"/>
                <w:sz w:val="18"/>
                <w:szCs w:val="18"/>
                <w:vertAlign w:val="superscript"/>
                <w14:textFill>
                  <w14:solidFill>
                    <w14:schemeClr w14:val="tx1"/>
                  </w14:solidFill>
                </w14:textFill>
              </w:rPr>
              <w:t>2</w:t>
            </w:r>
          </w:p>
        </w:tc>
        <w:tc>
          <w:tcPr>
            <w:tcW w:w="1105" w:type="dxa"/>
            <w:shd w:val="clear" w:color="auto" w:fill="auto"/>
            <w:vAlign w:val="center"/>
          </w:tcPr>
          <w:p w14:paraId="57AA76C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1201.12</w:t>
            </w:r>
          </w:p>
        </w:tc>
        <w:tc>
          <w:tcPr>
            <w:tcW w:w="1096" w:type="dxa"/>
            <w:shd w:val="clear" w:color="auto" w:fill="auto"/>
            <w:vAlign w:val="center"/>
          </w:tcPr>
          <w:p w14:paraId="419CD28B">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400.00 </w:t>
            </w:r>
          </w:p>
        </w:tc>
        <w:tc>
          <w:tcPr>
            <w:tcW w:w="1089" w:type="dxa"/>
            <w:shd w:val="clear" w:color="auto" w:fill="auto"/>
            <w:vAlign w:val="bottom"/>
          </w:tcPr>
          <w:p w14:paraId="3845F530">
            <w:pPr>
              <w:widowControl/>
              <w:ind w:firstLine="0" w:firstLineChars="0"/>
              <w:jc w:val="center"/>
              <w:textAlignment w:val="center"/>
              <w:rPr>
                <w:rFonts w:eastAsia="宋体" w:cs="Times New Roman"/>
                <w:color w:val="000000"/>
                <w:kern w:val="0"/>
                <w:sz w:val="18"/>
                <w:szCs w:val="18"/>
                <w:lang w:bidi="ar"/>
              </w:rPr>
            </w:pPr>
            <w:r>
              <w:rPr>
                <w:rFonts w:hint="eastAsia" w:eastAsia="宋体" w:cs="Times New Roman"/>
                <w:color w:val="000000"/>
                <w:kern w:val="0"/>
                <w:sz w:val="18"/>
                <w:szCs w:val="18"/>
                <w:lang w:bidi="ar"/>
              </w:rPr>
              <w:t>48.04</w:t>
            </w:r>
          </w:p>
        </w:tc>
        <w:tc>
          <w:tcPr>
            <w:tcW w:w="1295" w:type="dxa"/>
            <w:shd w:val="clear" w:color="auto" w:fill="auto"/>
            <w:vAlign w:val="center"/>
          </w:tcPr>
          <w:p w14:paraId="6EDC1258">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主体未实施</w:t>
            </w:r>
          </w:p>
        </w:tc>
      </w:tr>
      <w:tr w14:paraId="25C2D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841" w:type="dxa"/>
            <w:shd w:val="clear" w:color="auto" w:fill="auto"/>
            <w:vAlign w:val="center"/>
          </w:tcPr>
          <w:p w14:paraId="45EB1CD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w:t>
            </w:r>
          </w:p>
        </w:tc>
        <w:tc>
          <w:tcPr>
            <w:tcW w:w="2370" w:type="dxa"/>
            <w:shd w:val="clear" w:color="auto" w:fill="auto"/>
            <w:vAlign w:val="center"/>
          </w:tcPr>
          <w:p w14:paraId="67BE3148">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植草沟</w:t>
            </w:r>
          </w:p>
        </w:tc>
        <w:tc>
          <w:tcPr>
            <w:tcW w:w="1073" w:type="dxa"/>
            <w:shd w:val="clear" w:color="auto" w:fill="auto"/>
            <w:vAlign w:val="center"/>
          </w:tcPr>
          <w:p w14:paraId="0675747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r>
              <w:rPr>
                <w:rFonts w:eastAsia="等线" w:cs="Times New Roman"/>
                <w:color w:val="000000" w:themeColor="text1"/>
                <w:kern w:val="0"/>
                <w:sz w:val="18"/>
                <w:szCs w:val="18"/>
                <w:vertAlign w:val="superscript"/>
                <w14:textFill>
                  <w14:solidFill>
                    <w14:schemeClr w14:val="tx1"/>
                  </w14:solidFill>
                </w14:textFill>
              </w:rPr>
              <w:t>2</w:t>
            </w:r>
          </w:p>
        </w:tc>
        <w:tc>
          <w:tcPr>
            <w:tcW w:w="1105" w:type="dxa"/>
            <w:shd w:val="clear" w:color="auto" w:fill="auto"/>
            <w:vAlign w:val="center"/>
          </w:tcPr>
          <w:p w14:paraId="6300F25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173.04</w:t>
            </w:r>
          </w:p>
        </w:tc>
        <w:tc>
          <w:tcPr>
            <w:tcW w:w="1096" w:type="dxa"/>
            <w:shd w:val="clear" w:color="auto" w:fill="auto"/>
            <w:vAlign w:val="center"/>
          </w:tcPr>
          <w:p w14:paraId="365E8F0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80.00 </w:t>
            </w:r>
          </w:p>
        </w:tc>
        <w:tc>
          <w:tcPr>
            <w:tcW w:w="1089" w:type="dxa"/>
            <w:shd w:val="clear" w:color="auto" w:fill="auto"/>
            <w:vAlign w:val="bottom"/>
          </w:tcPr>
          <w:p w14:paraId="64A311E8">
            <w:pPr>
              <w:widowControl/>
              <w:ind w:firstLine="0" w:firstLineChars="0"/>
              <w:jc w:val="center"/>
              <w:textAlignment w:val="center"/>
              <w:rPr>
                <w:rFonts w:eastAsia="宋体" w:cs="Times New Roman"/>
                <w:color w:val="000000"/>
                <w:kern w:val="0"/>
                <w:sz w:val="18"/>
                <w:szCs w:val="18"/>
                <w:lang w:bidi="ar"/>
              </w:rPr>
            </w:pPr>
            <w:r>
              <w:rPr>
                <w:rFonts w:hint="eastAsia" w:eastAsia="宋体" w:cs="Times New Roman"/>
                <w:color w:val="000000"/>
                <w:kern w:val="0"/>
                <w:sz w:val="18"/>
                <w:szCs w:val="18"/>
                <w:lang w:bidi="ar"/>
              </w:rPr>
              <w:t>1.38</w:t>
            </w:r>
          </w:p>
        </w:tc>
        <w:tc>
          <w:tcPr>
            <w:tcW w:w="1295" w:type="dxa"/>
            <w:shd w:val="clear" w:color="auto" w:fill="auto"/>
            <w:vAlign w:val="center"/>
          </w:tcPr>
          <w:p w14:paraId="5EF2DAD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主体未实施</w:t>
            </w:r>
          </w:p>
        </w:tc>
      </w:tr>
      <w:tr w14:paraId="1CC97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41" w:type="dxa"/>
            <w:shd w:val="clear" w:color="auto" w:fill="auto"/>
            <w:vAlign w:val="center"/>
          </w:tcPr>
          <w:p w14:paraId="3F4FC84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3</w:t>
            </w:r>
          </w:p>
        </w:tc>
        <w:tc>
          <w:tcPr>
            <w:tcW w:w="2370" w:type="dxa"/>
            <w:shd w:val="clear" w:color="auto" w:fill="auto"/>
            <w:vAlign w:val="center"/>
          </w:tcPr>
          <w:p w14:paraId="72C235C9">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抚育管理</w:t>
            </w:r>
          </w:p>
        </w:tc>
        <w:tc>
          <w:tcPr>
            <w:tcW w:w="1073" w:type="dxa"/>
            <w:shd w:val="clear" w:color="auto" w:fill="auto"/>
            <w:vAlign w:val="center"/>
          </w:tcPr>
          <w:p w14:paraId="1F96477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hm</w:t>
            </w:r>
            <w:r>
              <w:rPr>
                <w:rFonts w:eastAsia="等线" w:cs="Times New Roman"/>
                <w:color w:val="000000" w:themeColor="text1"/>
                <w:kern w:val="0"/>
                <w:sz w:val="18"/>
                <w:szCs w:val="18"/>
                <w:vertAlign w:val="superscript"/>
                <w14:textFill>
                  <w14:solidFill>
                    <w14:schemeClr w14:val="tx1"/>
                  </w14:solidFill>
                </w14:textFill>
              </w:rPr>
              <w:t>2</w:t>
            </w:r>
          </w:p>
        </w:tc>
        <w:tc>
          <w:tcPr>
            <w:tcW w:w="1105" w:type="dxa"/>
            <w:shd w:val="clear" w:color="auto" w:fill="auto"/>
            <w:vAlign w:val="center"/>
          </w:tcPr>
          <w:p w14:paraId="6341A72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0.12</w:t>
            </w:r>
          </w:p>
        </w:tc>
        <w:tc>
          <w:tcPr>
            <w:tcW w:w="1096" w:type="dxa"/>
            <w:shd w:val="clear" w:color="auto" w:fill="auto"/>
            <w:vAlign w:val="center"/>
          </w:tcPr>
          <w:p w14:paraId="68B58E9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5387.56</w:t>
            </w:r>
          </w:p>
        </w:tc>
        <w:tc>
          <w:tcPr>
            <w:tcW w:w="1089" w:type="dxa"/>
            <w:shd w:val="clear" w:color="auto" w:fill="auto"/>
            <w:vAlign w:val="bottom"/>
          </w:tcPr>
          <w:p w14:paraId="182BABB2">
            <w:pPr>
              <w:widowControl/>
              <w:ind w:firstLine="0" w:firstLineChars="0"/>
              <w:jc w:val="center"/>
              <w:textAlignment w:val="center"/>
              <w:rPr>
                <w:rFonts w:eastAsia="宋体" w:cs="Times New Roman"/>
                <w:color w:val="000000"/>
                <w:kern w:val="0"/>
                <w:sz w:val="18"/>
                <w:szCs w:val="18"/>
                <w:lang w:bidi="ar"/>
              </w:rPr>
            </w:pPr>
            <w:r>
              <w:rPr>
                <w:rFonts w:hint="eastAsia" w:eastAsia="宋体" w:cs="Times New Roman"/>
                <w:color w:val="000000"/>
                <w:kern w:val="0"/>
                <w:sz w:val="18"/>
                <w:szCs w:val="18"/>
                <w:lang w:bidi="ar"/>
              </w:rPr>
              <w:t>0.06</w:t>
            </w:r>
          </w:p>
        </w:tc>
        <w:tc>
          <w:tcPr>
            <w:tcW w:w="1295" w:type="dxa"/>
            <w:shd w:val="clear" w:color="auto" w:fill="auto"/>
            <w:vAlign w:val="center"/>
          </w:tcPr>
          <w:p w14:paraId="5E667CA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方案新增</w:t>
            </w:r>
          </w:p>
        </w:tc>
      </w:tr>
      <w:tr w14:paraId="26E31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1" w:type="dxa"/>
            <w:shd w:val="clear" w:color="auto" w:fill="auto"/>
            <w:vAlign w:val="center"/>
          </w:tcPr>
          <w:p w14:paraId="78F44DB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2370" w:type="dxa"/>
            <w:shd w:val="clear" w:color="auto" w:fill="auto"/>
            <w:vAlign w:val="center"/>
          </w:tcPr>
          <w:p w14:paraId="4F57809D">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合计</w:t>
            </w:r>
          </w:p>
        </w:tc>
        <w:tc>
          <w:tcPr>
            <w:tcW w:w="1073" w:type="dxa"/>
            <w:shd w:val="clear" w:color="auto" w:fill="auto"/>
            <w:vAlign w:val="center"/>
          </w:tcPr>
          <w:p w14:paraId="6AEDD3FC">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105" w:type="dxa"/>
            <w:shd w:val="clear" w:color="auto" w:fill="auto"/>
            <w:vAlign w:val="center"/>
          </w:tcPr>
          <w:p w14:paraId="40EA594B">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096" w:type="dxa"/>
            <w:shd w:val="clear" w:color="auto" w:fill="auto"/>
            <w:vAlign w:val="center"/>
          </w:tcPr>
          <w:p w14:paraId="797057B4">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089" w:type="dxa"/>
            <w:shd w:val="clear" w:color="auto" w:fill="auto"/>
            <w:vAlign w:val="center"/>
          </w:tcPr>
          <w:p w14:paraId="65E17CD7">
            <w:pPr>
              <w:widowControl/>
              <w:ind w:firstLine="0" w:firstLineChars="0"/>
              <w:jc w:val="center"/>
              <w:textAlignment w:val="center"/>
              <w:rPr>
                <w:rFonts w:hint="eastAsia" w:ascii="宋体" w:hAnsi="宋体" w:eastAsia="宋体" w:cs="宋体"/>
                <w:color w:val="000000"/>
                <w:sz w:val="22"/>
                <w:szCs w:val="22"/>
              </w:rPr>
            </w:pPr>
            <w:r>
              <w:rPr>
                <w:rFonts w:hint="eastAsia" w:eastAsia="宋体" w:cs="Times New Roman"/>
                <w:b/>
                <w:bCs/>
                <w:color w:val="000000"/>
                <w:kern w:val="0"/>
                <w:sz w:val="18"/>
                <w:szCs w:val="18"/>
                <w:lang w:bidi="ar"/>
              </w:rPr>
              <w:t>49.49</w:t>
            </w:r>
          </w:p>
        </w:tc>
        <w:tc>
          <w:tcPr>
            <w:tcW w:w="1295" w:type="dxa"/>
            <w:shd w:val="clear" w:color="auto" w:fill="auto"/>
            <w:noWrap/>
            <w:vAlign w:val="bottom"/>
          </w:tcPr>
          <w:p w14:paraId="167F260A">
            <w:pPr>
              <w:widowControl/>
              <w:adjustRightInd/>
              <w:snapToGrid/>
              <w:spacing w:line="240" w:lineRule="auto"/>
              <w:ind w:firstLine="0" w:firstLineChars="0"/>
              <w:jc w:val="left"/>
              <w:rPr>
                <w:rFonts w:hint="eastAsia" w:ascii="等线" w:hAnsi="等线" w:eastAsia="等线" w:cs="宋体"/>
                <w:color w:val="000000" w:themeColor="text1"/>
                <w:kern w:val="0"/>
                <w:sz w:val="22"/>
                <w:szCs w:val="22"/>
                <w14:textFill>
                  <w14:solidFill>
                    <w14:schemeClr w14:val="tx1"/>
                  </w14:solidFill>
                </w14:textFill>
              </w:rPr>
            </w:pPr>
            <w:r>
              <w:rPr>
                <w:rFonts w:hint="eastAsia" w:ascii="等线" w:hAnsi="等线" w:eastAsia="等线" w:cs="宋体"/>
                <w:color w:val="000000" w:themeColor="text1"/>
                <w:kern w:val="0"/>
                <w:sz w:val="22"/>
                <w:szCs w:val="22"/>
                <w14:textFill>
                  <w14:solidFill>
                    <w14:schemeClr w14:val="tx1"/>
                  </w14:solidFill>
                </w14:textFill>
              </w:rPr>
              <w:t>　</w:t>
            </w:r>
          </w:p>
        </w:tc>
      </w:tr>
    </w:tbl>
    <w:p w14:paraId="70016612">
      <w:pPr>
        <w:pStyle w:val="33"/>
        <w:rPr>
          <w:color w:val="000000" w:themeColor="text1"/>
          <w14:textFill>
            <w14:solidFill>
              <w14:schemeClr w14:val="tx1"/>
            </w14:solidFill>
          </w14:textFill>
        </w:rPr>
      </w:pPr>
    </w:p>
    <w:p w14:paraId="00B5B73B">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表7.1-</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 xml:space="preserve">   水土保持临时措施投资估算表</w:t>
      </w:r>
    </w:p>
    <w:tbl>
      <w:tblPr>
        <w:tblStyle w:val="26"/>
        <w:tblW w:w="87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2320"/>
        <w:gridCol w:w="1034"/>
        <w:gridCol w:w="1064"/>
        <w:gridCol w:w="1064"/>
        <w:gridCol w:w="1049"/>
        <w:gridCol w:w="1399"/>
      </w:tblGrid>
      <w:tr w14:paraId="715B9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vMerge w:val="restart"/>
            <w:shd w:val="clear" w:color="auto" w:fill="auto"/>
            <w:vAlign w:val="center"/>
          </w:tcPr>
          <w:p w14:paraId="5642FB1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ascii="仿宋_GB2312" w:cs="Times New Roman"/>
                <w:color w:val="000000" w:themeColor="text1"/>
                <w:kern w:val="0"/>
                <w:sz w:val="18"/>
                <w:szCs w:val="18"/>
                <w14:textFill>
                  <w14:solidFill>
                    <w14:schemeClr w14:val="tx1"/>
                  </w14:solidFill>
                </w14:textFill>
              </w:rPr>
              <w:t>序号</w:t>
            </w:r>
          </w:p>
        </w:tc>
        <w:tc>
          <w:tcPr>
            <w:tcW w:w="2320" w:type="dxa"/>
            <w:vMerge w:val="restart"/>
            <w:shd w:val="clear" w:color="auto" w:fill="auto"/>
            <w:vAlign w:val="center"/>
          </w:tcPr>
          <w:p w14:paraId="62A89FF0">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工程及费用名称</w:t>
            </w:r>
          </w:p>
        </w:tc>
        <w:tc>
          <w:tcPr>
            <w:tcW w:w="1034" w:type="dxa"/>
            <w:vMerge w:val="restart"/>
            <w:shd w:val="clear" w:color="auto" w:fill="auto"/>
            <w:vAlign w:val="center"/>
          </w:tcPr>
          <w:p w14:paraId="7A0CB105">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单位</w:t>
            </w:r>
          </w:p>
        </w:tc>
        <w:tc>
          <w:tcPr>
            <w:tcW w:w="1064" w:type="dxa"/>
            <w:vMerge w:val="restart"/>
            <w:shd w:val="clear" w:color="auto" w:fill="auto"/>
            <w:vAlign w:val="center"/>
          </w:tcPr>
          <w:p w14:paraId="53F0102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数量</w:t>
            </w:r>
          </w:p>
        </w:tc>
        <w:tc>
          <w:tcPr>
            <w:tcW w:w="1064" w:type="dxa"/>
            <w:vMerge w:val="restart"/>
            <w:shd w:val="clear" w:color="auto" w:fill="auto"/>
            <w:vAlign w:val="center"/>
          </w:tcPr>
          <w:p w14:paraId="3BA90522">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单价（元）</w:t>
            </w:r>
          </w:p>
        </w:tc>
        <w:tc>
          <w:tcPr>
            <w:tcW w:w="1049" w:type="dxa"/>
            <w:vMerge w:val="restart"/>
            <w:shd w:val="clear" w:color="auto" w:fill="auto"/>
            <w:vAlign w:val="center"/>
          </w:tcPr>
          <w:p w14:paraId="5E36B614">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合计(万元）</w:t>
            </w:r>
          </w:p>
        </w:tc>
        <w:tc>
          <w:tcPr>
            <w:tcW w:w="1399" w:type="dxa"/>
            <w:vMerge w:val="restart"/>
            <w:shd w:val="clear" w:color="auto" w:fill="auto"/>
            <w:vAlign w:val="center"/>
          </w:tcPr>
          <w:p w14:paraId="73F3F71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备注</w:t>
            </w:r>
          </w:p>
        </w:tc>
      </w:tr>
      <w:tr w14:paraId="2D931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vMerge w:val="continue"/>
            <w:vAlign w:val="center"/>
          </w:tcPr>
          <w:p w14:paraId="61F58039">
            <w:pPr>
              <w:widowControl/>
              <w:adjustRightInd/>
              <w:snapToGrid/>
              <w:spacing w:line="240" w:lineRule="auto"/>
              <w:ind w:firstLine="0" w:firstLineChars="0"/>
              <w:jc w:val="left"/>
              <w:rPr>
                <w:rFonts w:eastAsia="等线" w:cs="Times New Roman"/>
                <w:color w:val="000000" w:themeColor="text1"/>
                <w:kern w:val="0"/>
                <w:sz w:val="18"/>
                <w:szCs w:val="18"/>
                <w14:textFill>
                  <w14:solidFill>
                    <w14:schemeClr w14:val="tx1"/>
                  </w14:solidFill>
                </w14:textFill>
              </w:rPr>
            </w:pPr>
          </w:p>
        </w:tc>
        <w:tc>
          <w:tcPr>
            <w:tcW w:w="2320" w:type="dxa"/>
            <w:vMerge w:val="continue"/>
            <w:vAlign w:val="center"/>
          </w:tcPr>
          <w:p w14:paraId="2244E6F2">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034" w:type="dxa"/>
            <w:vMerge w:val="continue"/>
            <w:vAlign w:val="center"/>
          </w:tcPr>
          <w:p w14:paraId="485C9C65">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064" w:type="dxa"/>
            <w:vMerge w:val="continue"/>
            <w:vAlign w:val="center"/>
          </w:tcPr>
          <w:p w14:paraId="23E8974D">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064" w:type="dxa"/>
            <w:vMerge w:val="continue"/>
            <w:vAlign w:val="center"/>
          </w:tcPr>
          <w:p w14:paraId="2D0118D3">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049" w:type="dxa"/>
            <w:vMerge w:val="continue"/>
            <w:vAlign w:val="center"/>
          </w:tcPr>
          <w:p w14:paraId="1E2224CE">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399" w:type="dxa"/>
            <w:vMerge w:val="continue"/>
            <w:vAlign w:val="center"/>
          </w:tcPr>
          <w:p w14:paraId="1EEAB79F">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r>
      <w:tr w14:paraId="6BAB3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shd w:val="clear" w:color="auto" w:fill="auto"/>
            <w:vAlign w:val="center"/>
          </w:tcPr>
          <w:p w14:paraId="0013BE6F">
            <w:pPr>
              <w:widowControl/>
              <w:adjustRightInd/>
              <w:snapToGrid/>
              <w:spacing w:line="240" w:lineRule="auto"/>
              <w:ind w:firstLine="0" w:firstLineChars="0"/>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(一)</w:t>
            </w:r>
          </w:p>
        </w:tc>
        <w:tc>
          <w:tcPr>
            <w:tcW w:w="2320" w:type="dxa"/>
            <w:shd w:val="clear" w:color="auto" w:fill="auto"/>
            <w:vAlign w:val="center"/>
          </w:tcPr>
          <w:p w14:paraId="107D5A01">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地下建筑工程区</w:t>
            </w:r>
          </w:p>
        </w:tc>
        <w:tc>
          <w:tcPr>
            <w:tcW w:w="1034" w:type="dxa"/>
            <w:shd w:val="clear" w:color="auto" w:fill="auto"/>
            <w:vAlign w:val="center"/>
          </w:tcPr>
          <w:p w14:paraId="33F29C40">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64" w:type="dxa"/>
            <w:shd w:val="clear" w:color="auto" w:fill="auto"/>
            <w:vAlign w:val="center"/>
          </w:tcPr>
          <w:p w14:paraId="7D611A1B">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64" w:type="dxa"/>
            <w:shd w:val="clear" w:color="auto" w:fill="auto"/>
            <w:vAlign w:val="center"/>
          </w:tcPr>
          <w:p w14:paraId="11338A27">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49" w:type="dxa"/>
            <w:shd w:val="clear" w:color="auto" w:fill="auto"/>
            <w:vAlign w:val="center"/>
          </w:tcPr>
          <w:p w14:paraId="0147B5E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xml:space="preserve">3.43 </w:t>
            </w:r>
          </w:p>
        </w:tc>
        <w:tc>
          <w:tcPr>
            <w:tcW w:w="1399" w:type="dxa"/>
            <w:shd w:val="clear" w:color="auto" w:fill="auto"/>
            <w:noWrap/>
            <w:vAlign w:val="bottom"/>
          </w:tcPr>
          <w:p w14:paraId="37199663">
            <w:pPr>
              <w:widowControl/>
              <w:adjustRightInd/>
              <w:snapToGrid/>
              <w:spacing w:line="240" w:lineRule="auto"/>
              <w:ind w:firstLine="0" w:firstLineChars="0"/>
              <w:jc w:val="left"/>
              <w:rPr>
                <w:rFonts w:hint="eastAsia" w:ascii="等线" w:hAnsi="等线" w:eastAsia="等线" w:cs="宋体"/>
                <w:color w:val="000000" w:themeColor="text1"/>
                <w:kern w:val="0"/>
                <w:sz w:val="22"/>
                <w:szCs w:val="22"/>
                <w14:textFill>
                  <w14:solidFill>
                    <w14:schemeClr w14:val="tx1"/>
                  </w14:solidFill>
                </w14:textFill>
              </w:rPr>
            </w:pPr>
            <w:r>
              <w:rPr>
                <w:rFonts w:hint="eastAsia" w:ascii="等线" w:hAnsi="等线" w:eastAsia="等线" w:cs="宋体"/>
                <w:color w:val="000000" w:themeColor="text1"/>
                <w:kern w:val="0"/>
                <w:sz w:val="22"/>
                <w:szCs w:val="22"/>
                <w14:textFill>
                  <w14:solidFill>
                    <w14:schemeClr w14:val="tx1"/>
                  </w14:solidFill>
                </w14:textFill>
              </w:rPr>
              <w:t>　</w:t>
            </w:r>
          </w:p>
        </w:tc>
      </w:tr>
      <w:tr w14:paraId="29587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shd w:val="clear" w:color="auto" w:fill="auto"/>
            <w:vAlign w:val="center"/>
          </w:tcPr>
          <w:p w14:paraId="22060998">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2320" w:type="dxa"/>
            <w:shd w:val="clear" w:color="auto" w:fill="auto"/>
            <w:vAlign w:val="center"/>
          </w:tcPr>
          <w:p w14:paraId="5CAACC48">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坑顶截水沟</w:t>
            </w:r>
          </w:p>
        </w:tc>
        <w:tc>
          <w:tcPr>
            <w:tcW w:w="1034" w:type="dxa"/>
            <w:shd w:val="clear" w:color="auto" w:fill="auto"/>
            <w:vAlign w:val="center"/>
          </w:tcPr>
          <w:p w14:paraId="1F6BCB9D">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p>
        </w:tc>
        <w:tc>
          <w:tcPr>
            <w:tcW w:w="1064" w:type="dxa"/>
            <w:shd w:val="clear" w:color="auto" w:fill="auto"/>
            <w:vAlign w:val="center"/>
          </w:tcPr>
          <w:p w14:paraId="056EF74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276.3</w:t>
            </w:r>
          </w:p>
        </w:tc>
        <w:tc>
          <w:tcPr>
            <w:tcW w:w="1064" w:type="dxa"/>
            <w:shd w:val="clear" w:color="auto" w:fill="auto"/>
            <w:vAlign w:val="center"/>
          </w:tcPr>
          <w:p w14:paraId="0D10AC25">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116.00 </w:t>
            </w:r>
          </w:p>
        </w:tc>
        <w:tc>
          <w:tcPr>
            <w:tcW w:w="1049" w:type="dxa"/>
            <w:shd w:val="clear" w:color="auto" w:fill="auto"/>
            <w:vAlign w:val="center"/>
          </w:tcPr>
          <w:p w14:paraId="53A8C30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3.21 </w:t>
            </w:r>
          </w:p>
        </w:tc>
        <w:tc>
          <w:tcPr>
            <w:tcW w:w="1399" w:type="dxa"/>
            <w:shd w:val="clear" w:color="auto" w:fill="auto"/>
            <w:vAlign w:val="center"/>
          </w:tcPr>
          <w:p w14:paraId="0C4E0D14">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主体已实施</w:t>
            </w:r>
          </w:p>
        </w:tc>
      </w:tr>
      <w:tr w14:paraId="69049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shd w:val="clear" w:color="auto" w:fill="auto"/>
            <w:vAlign w:val="center"/>
          </w:tcPr>
          <w:p w14:paraId="4263501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w:t>
            </w:r>
          </w:p>
        </w:tc>
        <w:tc>
          <w:tcPr>
            <w:tcW w:w="2320" w:type="dxa"/>
            <w:shd w:val="clear" w:color="auto" w:fill="auto"/>
            <w:vAlign w:val="center"/>
          </w:tcPr>
          <w:p w14:paraId="77045167">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沉沙池</w:t>
            </w:r>
          </w:p>
        </w:tc>
        <w:tc>
          <w:tcPr>
            <w:tcW w:w="1034" w:type="dxa"/>
            <w:shd w:val="clear" w:color="auto" w:fill="auto"/>
            <w:vAlign w:val="center"/>
          </w:tcPr>
          <w:p w14:paraId="7BB3CE75">
            <w:pPr>
              <w:widowControl/>
              <w:adjustRightInd/>
              <w:snapToGrid/>
              <w:spacing w:line="240" w:lineRule="auto"/>
              <w:ind w:firstLine="0" w:firstLineChars="0"/>
              <w:jc w:val="center"/>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座</w:t>
            </w:r>
          </w:p>
        </w:tc>
        <w:tc>
          <w:tcPr>
            <w:tcW w:w="1064" w:type="dxa"/>
            <w:shd w:val="clear" w:color="auto" w:fill="auto"/>
            <w:vAlign w:val="center"/>
          </w:tcPr>
          <w:p w14:paraId="3C044A0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2</w:t>
            </w:r>
            <w:r>
              <w:rPr>
                <w:rFonts w:eastAsia="等线" w:cs="Times New Roman"/>
                <w:color w:val="000000" w:themeColor="text1"/>
                <w:kern w:val="0"/>
                <w:sz w:val="18"/>
                <w:szCs w:val="18"/>
                <w14:textFill>
                  <w14:solidFill>
                    <w14:schemeClr w14:val="tx1"/>
                  </w14:solidFill>
                </w14:textFill>
              </w:rPr>
              <w:t xml:space="preserve">.00 </w:t>
            </w:r>
          </w:p>
        </w:tc>
        <w:tc>
          <w:tcPr>
            <w:tcW w:w="1064" w:type="dxa"/>
            <w:shd w:val="clear" w:color="auto" w:fill="auto"/>
            <w:vAlign w:val="center"/>
          </w:tcPr>
          <w:p w14:paraId="0B98BB3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1100.00 </w:t>
            </w:r>
          </w:p>
        </w:tc>
        <w:tc>
          <w:tcPr>
            <w:tcW w:w="1049" w:type="dxa"/>
            <w:shd w:val="clear" w:color="auto" w:fill="auto"/>
            <w:vAlign w:val="center"/>
          </w:tcPr>
          <w:p w14:paraId="7D524008">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0.22 </w:t>
            </w:r>
          </w:p>
        </w:tc>
        <w:tc>
          <w:tcPr>
            <w:tcW w:w="1399" w:type="dxa"/>
            <w:shd w:val="clear" w:color="auto" w:fill="auto"/>
            <w:vAlign w:val="center"/>
          </w:tcPr>
          <w:p w14:paraId="576F6F10">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主体已实施</w:t>
            </w:r>
          </w:p>
        </w:tc>
      </w:tr>
      <w:tr w14:paraId="5F7C3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shd w:val="clear" w:color="auto" w:fill="auto"/>
            <w:vAlign w:val="center"/>
          </w:tcPr>
          <w:p w14:paraId="6F5E23A1">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(二)</w:t>
            </w:r>
          </w:p>
        </w:tc>
        <w:tc>
          <w:tcPr>
            <w:tcW w:w="2320" w:type="dxa"/>
            <w:shd w:val="clear" w:color="auto" w:fill="auto"/>
            <w:vAlign w:val="center"/>
          </w:tcPr>
          <w:p w14:paraId="0989DA18">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建构筑物工程区</w:t>
            </w:r>
          </w:p>
        </w:tc>
        <w:tc>
          <w:tcPr>
            <w:tcW w:w="1034" w:type="dxa"/>
            <w:shd w:val="clear" w:color="auto" w:fill="auto"/>
            <w:vAlign w:val="center"/>
          </w:tcPr>
          <w:p w14:paraId="08806EE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64" w:type="dxa"/>
            <w:shd w:val="clear" w:color="auto" w:fill="auto"/>
            <w:vAlign w:val="center"/>
          </w:tcPr>
          <w:p w14:paraId="422BB038">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64" w:type="dxa"/>
            <w:shd w:val="clear" w:color="auto" w:fill="auto"/>
            <w:vAlign w:val="center"/>
          </w:tcPr>
          <w:p w14:paraId="21142A7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49" w:type="dxa"/>
            <w:shd w:val="clear" w:color="auto" w:fill="auto"/>
            <w:vAlign w:val="center"/>
          </w:tcPr>
          <w:p w14:paraId="1DACD93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xml:space="preserve">5.77 </w:t>
            </w:r>
          </w:p>
        </w:tc>
        <w:tc>
          <w:tcPr>
            <w:tcW w:w="1399" w:type="dxa"/>
            <w:shd w:val="clear" w:color="auto" w:fill="auto"/>
            <w:vAlign w:val="center"/>
          </w:tcPr>
          <w:p w14:paraId="0B15D43F">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p>
        </w:tc>
      </w:tr>
      <w:tr w14:paraId="3DF8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shd w:val="clear" w:color="auto" w:fill="auto"/>
            <w:vAlign w:val="center"/>
          </w:tcPr>
          <w:p w14:paraId="3A58DB9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2320" w:type="dxa"/>
            <w:shd w:val="clear" w:color="auto" w:fill="auto"/>
            <w:vAlign w:val="center"/>
          </w:tcPr>
          <w:p w14:paraId="7DEE2931">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临时排水沟</w:t>
            </w:r>
          </w:p>
        </w:tc>
        <w:tc>
          <w:tcPr>
            <w:tcW w:w="1034" w:type="dxa"/>
            <w:shd w:val="clear" w:color="auto" w:fill="auto"/>
            <w:vAlign w:val="center"/>
          </w:tcPr>
          <w:p w14:paraId="34AF331D">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p>
        </w:tc>
        <w:tc>
          <w:tcPr>
            <w:tcW w:w="1064" w:type="dxa"/>
            <w:shd w:val="clear" w:color="auto" w:fill="auto"/>
            <w:vAlign w:val="center"/>
          </w:tcPr>
          <w:p w14:paraId="4048B22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358.0</w:t>
            </w:r>
          </w:p>
        </w:tc>
        <w:tc>
          <w:tcPr>
            <w:tcW w:w="1064" w:type="dxa"/>
            <w:shd w:val="clear" w:color="auto" w:fill="auto"/>
            <w:vAlign w:val="center"/>
          </w:tcPr>
          <w:p w14:paraId="3FE875F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116.00 </w:t>
            </w:r>
          </w:p>
        </w:tc>
        <w:tc>
          <w:tcPr>
            <w:tcW w:w="1049" w:type="dxa"/>
            <w:shd w:val="clear" w:color="auto" w:fill="auto"/>
            <w:vAlign w:val="center"/>
          </w:tcPr>
          <w:p w14:paraId="540243B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4.15 </w:t>
            </w:r>
          </w:p>
        </w:tc>
        <w:tc>
          <w:tcPr>
            <w:tcW w:w="1399" w:type="dxa"/>
            <w:shd w:val="clear" w:color="auto" w:fill="auto"/>
            <w:vAlign w:val="center"/>
          </w:tcPr>
          <w:p w14:paraId="75EDC702">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主体已实施</w:t>
            </w:r>
          </w:p>
        </w:tc>
      </w:tr>
      <w:tr w14:paraId="02342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shd w:val="clear" w:color="auto" w:fill="auto"/>
            <w:vAlign w:val="center"/>
          </w:tcPr>
          <w:p w14:paraId="01B8FBF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w:t>
            </w:r>
          </w:p>
        </w:tc>
        <w:tc>
          <w:tcPr>
            <w:tcW w:w="2320" w:type="dxa"/>
            <w:shd w:val="clear" w:color="auto" w:fill="auto"/>
            <w:vAlign w:val="center"/>
          </w:tcPr>
          <w:p w14:paraId="30A5F3AA">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沉沙池</w:t>
            </w:r>
          </w:p>
        </w:tc>
        <w:tc>
          <w:tcPr>
            <w:tcW w:w="1034" w:type="dxa"/>
            <w:shd w:val="clear" w:color="auto" w:fill="auto"/>
            <w:vAlign w:val="center"/>
          </w:tcPr>
          <w:p w14:paraId="6981938E">
            <w:pPr>
              <w:widowControl/>
              <w:adjustRightInd/>
              <w:snapToGrid/>
              <w:spacing w:line="240" w:lineRule="auto"/>
              <w:ind w:firstLine="0" w:firstLineChars="0"/>
              <w:jc w:val="center"/>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座</w:t>
            </w:r>
          </w:p>
        </w:tc>
        <w:tc>
          <w:tcPr>
            <w:tcW w:w="1064" w:type="dxa"/>
            <w:shd w:val="clear" w:color="auto" w:fill="auto"/>
            <w:vAlign w:val="center"/>
          </w:tcPr>
          <w:p w14:paraId="2B06946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4</w:t>
            </w:r>
            <w:r>
              <w:rPr>
                <w:rFonts w:eastAsia="等线" w:cs="Times New Roman"/>
                <w:color w:val="000000" w:themeColor="text1"/>
                <w:kern w:val="0"/>
                <w:sz w:val="18"/>
                <w:szCs w:val="18"/>
                <w14:textFill>
                  <w14:solidFill>
                    <w14:schemeClr w14:val="tx1"/>
                  </w14:solidFill>
                </w14:textFill>
              </w:rPr>
              <w:t xml:space="preserve">.00 </w:t>
            </w:r>
          </w:p>
        </w:tc>
        <w:tc>
          <w:tcPr>
            <w:tcW w:w="1064" w:type="dxa"/>
            <w:shd w:val="clear" w:color="auto" w:fill="auto"/>
            <w:vAlign w:val="center"/>
          </w:tcPr>
          <w:p w14:paraId="36787A9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1100.00 </w:t>
            </w:r>
          </w:p>
        </w:tc>
        <w:tc>
          <w:tcPr>
            <w:tcW w:w="1049" w:type="dxa"/>
            <w:shd w:val="clear" w:color="auto" w:fill="auto"/>
            <w:vAlign w:val="center"/>
          </w:tcPr>
          <w:p w14:paraId="470351F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0.44 </w:t>
            </w:r>
          </w:p>
        </w:tc>
        <w:tc>
          <w:tcPr>
            <w:tcW w:w="1399" w:type="dxa"/>
            <w:shd w:val="clear" w:color="auto" w:fill="auto"/>
            <w:vAlign w:val="center"/>
          </w:tcPr>
          <w:p w14:paraId="656C2E2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主体已实施</w:t>
            </w:r>
          </w:p>
        </w:tc>
      </w:tr>
      <w:tr w14:paraId="66DE9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16" w:type="dxa"/>
            <w:shd w:val="clear" w:color="auto" w:fill="auto"/>
            <w:vAlign w:val="center"/>
          </w:tcPr>
          <w:p w14:paraId="25981EF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3</w:t>
            </w:r>
          </w:p>
        </w:tc>
        <w:tc>
          <w:tcPr>
            <w:tcW w:w="2320" w:type="dxa"/>
            <w:shd w:val="clear" w:color="auto" w:fill="auto"/>
            <w:vAlign w:val="center"/>
          </w:tcPr>
          <w:p w14:paraId="57E8039B">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 xml:space="preserve">密目网苫盖 </w:t>
            </w:r>
          </w:p>
        </w:tc>
        <w:tc>
          <w:tcPr>
            <w:tcW w:w="1034" w:type="dxa"/>
            <w:shd w:val="clear" w:color="auto" w:fill="auto"/>
            <w:vAlign w:val="center"/>
          </w:tcPr>
          <w:p w14:paraId="7ADF2C0B">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r>
              <w:rPr>
                <w:rFonts w:eastAsia="等线" w:cs="Times New Roman"/>
                <w:color w:val="000000" w:themeColor="text1"/>
                <w:kern w:val="0"/>
                <w:sz w:val="18"/>
                <w:szCs w:val="18"/>
                <w:vertAlign w:val="superscript"/>
                <w14:textFill>
                  <w14:solidFill>
                    <w14:schemeClr w14:val="tx1"/>
                  </w14:solidFill>
                </w14:textFill>
              </w:rPr>
              <w:t>2</w:t>
            </w:r>
          </w:p>
        </w:tc>
        <w:tc>
          <w:tcPr>
            <w:tcW w:w="1064" w:type="dxa"/>
            <w:shd w:val="clear" w:color="auto" w:fill="auto"/>
            <w:vAlign w:val="center"/>
          </w:tcPr>
          <w:p w14:paraId="5EA9A0E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1752</w:t>
            </w:r>
          </w:p>
        </w:tc>
        <w:tc>
          <w:tcPr>
            <w:tcW w:w="1064" w:type="dxa"/>
            <w:shd w:val="clear" w:color="auto" w:fill="auto"/>
            <w:vAlign w:val="center"/>
          </w:tcPr>
          <w:p w14:paraId="2C8F728D">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6.</w:t>
            </w:r>
            <w:r>
              <w:rPr>
                <w:rFonts w:hint="eastAsia" w:eastAsia="等线" w:cs="Times New Roman"/>
                <w:color w:val="000000" w:themeColor="text1"/>
                <w:kern w:val="0"/>
                <w:sz w:val="18"/>
                <w:szCs w:val="18"/>
                <w14:textFill>
                  <w14:solidFill>
                    <w14:schemeClr w14:val="tx1"/>
                  </w14:solidFill>
                </w14:textFill>
              </w:rPr>
              <w:t>70</w:t>
            </w:r>
            <w:r>
              <w:rPr>
                <w:rFonts w:eastAsia="等线" w:cs="Times New Roman"/>
                <w:color w:val="000000" w:themeColor="text1"/>
                <w:kern w:val="0"/>
                <w:sz w:val="18"/>
                <w:szCs w:val="18"/>
                <w14:textFill>
                  <w14:solidFill>
                    <w14:schemeClr w14:val="tx1"/>
                  </w14:solidFill>
                </w14:textFill>
              </w:rPr>
              <w:t xml:space="preserve"> </w:t>
            </w:r>
          </w:p>
        </w:tc>
        <w:tc>
          <w:tcPr>
            <w:tcW w:w="1049" w:type="dxa"/>
            <w:shd w:val="clear" w:color="auto" w:fill="auto"/>
            <w:vAlign w:val="center"/>
          </w:tcPr>
          <w:p w14:paraId="162A4585">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1.17 </w:t>
            </w:r>
          </w:p>
        </w:tc>
        <w:tc>
          <w:tcPr>
            <w:tcW w:w="1399" w:type="dxa"/>
            <w:shd w:val="clear" w:color="auto" w:fill="auto"/>
            <w:vAlign w:val="center"/>
          </w:tcPr>
          <w:p w14:paraId="6EB9BEEE">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主体已实施</w:t>
            </w:r>
          </w:p>
        </w:tc>
      </w:tr>
      <w:tr w14:paraId="2C038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816" w:type="dxa"/>
            <w:shd w:val="clear" w:color="auto" w:fill="auto"/>
            <w:vAlign w:val="center"/>
          </w:tcPr>
          <w:p w14:paraId="03A5CF8D">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(三)</w:t>
            </w:r>
          </w:p>
        </w:tc>
        <w:tc>
          <w:tcPr>
            <w:tcW w:w="2320" w:type="dxa"/>
            <w:shd w:val="clear" w:color="auto" w:fill="auto"/>
            <w:vAlign w:val="center"/>
          </w:tcPr>
          <w:p w14:paraId="0B18126B">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场内道路及硬化工程区</w:t>
            </w:r>
          </w:p>
        </w:tc>
        <w:tc>
          <w:tcPr>
            <w:tcW w:w="1034" w:type="dxa"/>
            <w:shd w:val="clear" w:color="auto" w:fill="auto"/>
            <w:vAlign w:val="center"/>
          </w:tcPr>
          <w:p w14:paraId="35873D35">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64" w:type="dxa"/>
            <w:shd w:val="clear" w:color="auto" w:fill="auto"/>
            <w:vAlign w:val="center"/>
          </w:tcPr>
          <w:p w14:paraId="2043E5C9">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64" w:type="dxa"/>
            <w:shd w:val="clear" w:color="auto" w:fill="auto"/>
            <w:vAlign w:val="center"/>
          </w:tcPr>
          <w:p w14:paraId="67D3071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49" w:type="dxa"/>
            <w:shd w:val="clear" w:color="auto" w:fill="auto"/>
            <w:vAlign w:val="center"/>
          </w:tcPr>
          <w:p w14:paraId="25C3EA9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xml:space="preserve">1.68 </w:t>
            </w:r>
          </w:p>
        </w:tc>
        <w:tc>
          <w:tcPr>
            <w:tcW w:w="1399" w:type="dxa"/>
            <w:shd w:val="clear" w:color="auto" w:fill="auto"/>
            <w:vAlign w:val="center"/>
          </w:tcPr>
          <w:p w14:paraId="680BE957">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p>
        </w:tc>
      </w:tr>
      <w:tr w14:paraId="6BE3D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16" w:type="dxa"/>
            <w:shd w:val="clear" w:color="auto" w:fill="auto"/>
            <w:vAlign w:val="center"/>
          </w:tcPr>
          <w:p w14:paraId="1F8AA418">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1</w:t>
            </w:r>
          </w:p>
        </w:tc>
        <w:tc>
          <w:tcPr>
            <w:tcW w:w="2320" w:type="dxa"/>
            <w:shd w:val="clear" w:color="auto" w:fill="auto"/>
            <w:vAlign w:val="center"/>
          </w:tcPr>
          <w:p w14:paraId="24C60117">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洗车设施</w:t>
            </w:r>
          </w:p>
        </w:tc>
        <w:tc>
          <w:tcPr>
            <w:tcW w:w="1034" w:type="dxa"/>
            <w:shd w:val="clear" w:color="auto" w:fill="auto"/>
            <w:vAlign w:val="center"/>
          </w:tcPr>
          <w:p w14:paraId="5B24970F">
            <w:pPr>
              <w:widowControl/>
              <w:adjustRightInd/>
              <w:snapToGrid/>
              <w:spacing w:line="240" w:lineRule="auto"/>
              <w:ind w:firstLine="0" w:firstLineChars="0"/>
              <w:jc w:val="center"/>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套</w:t>
            </w:r>
          </w:p>
        </w:tc>
        <w:tc>
          <w:tcPr>
            <w:tcW w:w="1064" w:type="dxa"/>
            <w:shd w:val="clear" w:color="auto" w:fill="auto"/>
            <w:vAlign w:val="center"/>
          </w:tcPr>
          <w:p w14:paraId="25C4142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1</w:t>
            </w:r>
          </w:p>
        </w:tc>
        <w:tc>
          <w:tcPr>
            <w:tcW w:w="1064" w:type="dxa"/>
            <w:shd w:val="clear" w:color="auto" w:fill="auto"/>
            <w:vAlign w:val="center"/>
          </w:tcPr>
          <w:p w14:paraId="6E45359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11000</w:t>
            </w:r>
          </w:p>
        </w:tc>
        <w:tc>
          <w:tcPr>
            <w:tcW w:w="1049" w:type="dxa"/>
            <w:shd w:val="clear" w:color="auto" w:fill="auto"/>
            <w:vAlign w:val="center"/>
          </w:tcPr>
          <w:p w14:paraId="7025C88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1.10 </w:t>
            </w:r>
          </w:p>
        </w:tc>
        <w:tc>
          <w:tcPr>
            <w:tcW w:w="1399" w:type="dxa"/>
            <w:shd w:val="clear" w:color="auto" w:fill="auto"/>
            <w:vAlign w:val="center"/>
          </w:tcPr>
          <w:p w14:paraId="7489F75E">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主体已实施</w:t>
            </w:r>
          </w:p>
        </w:tc>
      </w:tr>
      <w:tr w14:paraId="327F7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16" w:type="dxa"/>
            <w:shd w:val="clear" w:color="auto" w:fill="auto"/>
            <w:vAlign w:val="center"/>
          </w:tcPr>
          <w:p w14:paraId="1DCC3C7B">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w:t>
            </w:r>
          </w:p>
        </w:tc>
        <w:tc>
          <w:tcPr>
            <w:tcW w:w="2320" w:type="dxa"/>
            <w:shd w:val="clear" w:color="auto" w:fill="auto"/>
            <w:vAlign w:val="center"/>
          </w:tcPr>
          <w:p w14:paraId="3F38EF5C">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密目网苫盖</w:t>
            </w:r>
          </w:p>
        </w:tc>
        <w:tc>
          <w:tcPr>
            <w:tcW w:w="1034" w:type="dxa"/>
            <w:shd w:val="clear" w:color="auto" w:fill="auto"/>
            <w:vAlign w:val="center"/>
          </w:tcPr>
          <w:p w14:paraId="06436A8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r>
              <w:rPr>
                <w:rFonts w:eastAsia="等线" w:cs="Times New Roman"/>
                <w:color w:val="000000" w:themeColor="text1"/>
                <w:kern w:val="0"/>
                <w:sz w:val="18"/>
                <w:szCs w:val="18"/>
                <w:vertAlign w:val="superscript"/>
                <w14:textFill>
                  <w14:solidFill>
                    <w14:schemeClr w14:val="tx1"/>
                  </w14:solidFill>
                </w14:textFill>
              </w:rPr>
              <w:t>2</w:t>
            </w:r>
          </w:p>
        </w:tc>
        <w:tc>
          <w:tcPr>
            <w:tcW w:w="1064" w:type="dxa"/>
            <w:shd w:val="clear" w:color="auto" w:fill="auto"/>
            <w:vAlign w:val="center"/>
          </w:tcPr>
          <w:p w14:paraId="63596E5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868</w:t>
            </w:r>
          </w:p>
        </w:tc>
        <w:tc>
          <w:tcPr>
            <w:tcW w:w="1064" w:type="dxa"/>
            <w:shd w:val="clear" w:color="auto" w:fill="auto"/>
            <w:vAlign w:val="center"/>
          </w:tcPr>
          <w:p w14:paraId="78E9EDA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6.</w:t>
            </w:r>
            <w:r>
              <w:rPr>
                <w:rFonts w:hint="eastAsia" w:eastAsia="等线" w:cs="Times New Roman"/>
                <w:color w:val="000000" w:themeColor="text1"/>
                <w:kern w:val="0"/>
                <w:sz w:val="18"/>
                <w:szCs w:val="18"/>
                <w14:textFill>
                  <w14:solidFill>
                    <w14:schemeClr w14:val="tx1"/>
                  </w14:solidFill>
                </w14:textFill>
              </w:rPr>
              <w:t>70</w:t>
            </w:r>
          </w:p>
        </w:tc>
        <w:tc>
          <w:tcPr>
            <w:tcW w:w="1049" w:type="dxa"/>
            <w:shd w:val="clear" w:color="auto" w:fill="auto"/>
            <w:vAlign w:val="center"/>
          </w:tcPr>
          <w:p w14:paraId="414EB31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0.58 </w:t>
            </w:r>
          </w:p>
        </w:tc>
        <w:tc>
          <w:tcPr>
            <w:tcW w:w="1399" w:type="dxa"/>
            <w:shd w:val="clear" w:color="auto" w:fill="auto"/>
            <w:vAlign w:val="center"/>
          </w:tcPr>
          <w:p w14:paraId="0338BB8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方案新增</w:t>
            </w:r>
          </w:p>
        </w:tc>
      </w:tr>
      <w:tr w14:paraId="7D445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shd w:val="clear" w:color="auto" w:fill="auto"/>
            <w:vAlign w:val="center"/>
          </w:tcPr>
          <w:p w14:paraId="5FDB966E">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(四)</w:t>
            </w:r>
          </w:p>
        </w:tc>
        <w:tc>
          <w:tcPr>
            <w:tcW w:w="2320" w:type="dxa"/>
            <w:shd w:val="clear" w:color="auto" w:fill="auto"/>
            <w:vAlign w:val="center"/>
          </w:tcPr>
          <w:p w14:paraId="0626E82F">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景观绿化工程区</w:t>
            </w:r>
          </w:p>
        </w:tc>
        <w:tc>
          <w:tcPr>
            <w:tcW w:w="1034" w:type="dxa"/>
            <w:shd w:val="clear" w:color="auto" w:fill="auto"/>
            <w:vAlign w:val="center"/>
          </w:tcPr>
          <w:p w14:paraId="1DA60DF8">
            <w:pPr>
              <w:widowControl/>
              <w:adjustRightInd/>
              <w:snapToGrid/>
              <w:spacing w:line="240" w:lineRule="auto"/>
              <w:ind w:firstLine="0" w:firstLineChars="0"/>
              <w:jc w:val="center"/>
              <w:rPr>
                <w:rFonts w:hint="eastAsia" w:ascii="宋体" w:hAnsi="宋体" w:eastAsia="宋体" w:cs="宋体"/>
                <w:color w:val="000000" w:themeColor="text1"/>
                <w:kern w:val="0"/>
                <w:sz w:val="18"/>
                <w:szCs w:val="18"/>
                <w14:textFill>
                  <w14:solidFill>
                    <w14:schemeClr w14:val="tx1"/>
                  </w14:solidFill>
                </w14:textFill>
              </w:rPr>
            </w:pPr>
            <w:r>
              <w:rPr>
                <w:rFonts w:hint="eastAsia" w:ascii="宋体" w:hAnsi="宋体" w:eastAsia="宋体" w:cs="宋体"/>
                <w:color w:val="000000" w:themeColor="text1"/>
                <w:kern w:val="0"/>
                <w:sz w:val="18"/>
                <w:szCs w:val="18"/>
                <w14:textFill>
                  <w14:solidFill>
                    <w14:schemeClr w14:val="tx1"/>
                  </w14:solidFill>
                </w14:textFill>
              </w:rPr>
              <w:t>　</w:t>
            </w:r>
          </w:p>
        </w:tc>
        <w:tc>
          <w:tcPr>
            <w:tcW w:w="1064" w:type="dxa"/>
            <w:shd w:val="clear" w:color="auto" w:fill="auto"/>
            <w:vAlign w:val="center"/>
          </w:tcPr>
          <w:p w14:paraId="0672B418">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64" w:type="dxa"/>
            <w:shd w:val="clear" w:color="auto" w:fill="auto"/>
            <w:vAlign w:val="center"/>
          </w:tcPr>
          <w:p w14:paraId="7973BDC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49" w:type="dxa"/>
            <w:shd w:val="clear" w:color="auto" w:fill="auto"/>
            <w:vAlign w:val="center"/>
          </w:tcPr>
          <w:p w14:paraId="6843886D">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xml:space="preserve">0.48 </w:t>
            </w:r>
          </w:p>
        </w:tc>
        <w:tc>
          <w:tcPr>
            <w:tcW w:w="1399" w:type="dxa"/>
            <w:shd w:val="clear" w:color="auto" w:fill="auto"/>
            <w:vAlign w:val="center"/>
          </w:tcPr>
          <w:p w14:paraId="01D5AC6C">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p>
        </w:tc>
      </w:tr>
      <w:tr w14:paraId="40BA2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16" w:type="dxa"/>
            <w:shd w:val="clear" w:color="auto" w:fill="auto"/>
            <w:vAlign w:val="center"/>
          </w:tcPr>
          <w:p w14:paraId="40E9F53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2320" w:type="dxa"/>
            <w:shd w:val="clear" w:color="auto" w:fill="auto"/>
            <w:vAlign w:val="center"/>
          </w:tcPr>
          <w:p w14:paraId="6A708090">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密目网苫盖</w:t>
            </w:r>
          </w:p>
        </w:tc>
        <w:tc>
          <w:tcPr>
            <w:tcW w:w="1034" w:type="dxa"/>
            <w:shd w:val="clear" w:color="auto" w:fill="auto"/>
            <w:vAlign w:val="center"/>
          </w:tcPr>
          <w:p w14:paraId="790108B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r>
              <w:rPr>
                <w:rFonts w:eastAsia="等线" w:cs="Times New Roman"/>
                <w:color w:val="000000" w:themeColor="text1"/>
                <w:kern w:val="0"/>
                <w:sz w:val="18"/>
                <w:szCs w:val="18"/>
                <w:vertAlign w:val="superscript"/>
                <w14:textFill>
                  <w14:solidFill>
                    <w14:schemeClr w14:val="tx1"/>
                  </w14:solidFill>
                </w14:textFill>
              </w:rPr>
              <w:t>2</w:t>
            </w:r>
          </w:p>
        </w:tc>
        <w:tc>
          <w:tcPr>
            <w:tcW w:w="1064" w:type="dxa"/>
            <w:shd w:val="clear" w:color="auto" w:fill="auto"/>
            <w:vAlign w:val="center"/>
          </w:tcPr>
          <w:p w14:paraId="37B991E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714</w:t>
            </w:r>
          </w:p>
        </w:tc>
        <w:tc>
          <w:tcPr>
            <w:tcW w:w="1064" w:type="dxa"/>
            <w:shd w:val="clear" w:color="auto" w:fill="auto"/>
            <w:vAlign w:val="center"/>
          </w:tcPr>
          <w:p w14:paraId="65202BC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6.</w:t>
            </w:r>
            <w:r>
              <w:rPr>
                <w:rFonts w:hint="eastAsia" w:eastAsia="等线" w:cs="Times New Roman"/>
                <w:color w:val="000000" w:themeColor="text1"/>
                <w:kern w:val="0"/>
                <w:sz w:val="18"/>
                <w:szCs w:val="18"/>
                <w14:textFill>
                  <w14:solidFill>
                    <w14:schemeClr w14:val="tx1"/>
                  </w14:solidFill>
                </w14:textFill>
              </w:rPr>
              <w:t>70</w:t>
            </w:r>
          </w:p>
        </w:tc>
        <w:tc>
          <w:tcPr>
            <w:tcW w:w="1049" w:type="dxa"/>
            <w:shd w:val="clear" w:color="auto" w:fill="auto"/>
            <w:vAlign w:val="center"/>
          </w:tcPr>
          <w:p w14:paraId="1E3B7238">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0.48 </w:t>
            </w:r>
          </w:p>
        </w:tc>
        <w:tc>
          <w:tcPr>
            <w:tcW w:w="1399" w:type="dxa"/>
            <w:shd w:val="clear" w:color="auto" w:fill="auto"/>
            <w:vAlign w:val="center"/>
          </w:tcPr>
          <w:p w14:paraId="69997F6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方案新增</w:t>
            </w:r>
          </w:p>
        </w:tc>
      </w:tr>
      <w:tr w14:paraId="1B33D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6" w:type="dxa"/>
            <w:shd w:val="clear" w:color="auto" w:fill="auto"/>
            <w:vAlign w:val="center"/>
          </w:tcPr>
          <w:p w14:paraId="4114484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2320" w:type="dxa"/>
            <w:shd w:val="clear" w:color="auto" w:fill="auto"/>
            <w:vAlign w:val="center"/>
          </w:tcPr>
          <w:p w14:paraId="4224CE37">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合计</w:t>
            </w:r>
          </w:p>
        </w:tc>
        <w:tc>
          <w:tcPr>
            <w:tcW w:w="1034" w:type="dxa"/>
            <w:shd w:val="clear" w:color="auto" w:fill="auto"/>
            <w:vAlign w:val="center"/>
          </w:tcPr>
          <w:p w14:paraId="1907DD57">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064" w:type="dxa"/>
            <w:shd w:val="clear" w:color="auto" w:fill="auto"/>
            <w:vAlign w:val="center"/>
          </w:tcPr>
          <w:p w14:paraId="5DC2FF69">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064" w:type="dxa"/>
            <w:shd w:val="clear" w:color="auto" w:fill="auto"/>
            <w:vAlign w:val="center"/>
          </w:tcPr>
          <w:p w14:paraId="1CCD50D0">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049" w:type="dxa"/>
            <w:shd w:val="clear" w:color="auto" w:fill="auto"/>
            <w:vAlign w:val="center"/>
          </w:tcPr>
          <w:p w14:paraId="0BA20419">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11.3</w:t>
            </w:r>
            <w:r>
              <w:rPr>
                <w:rFonts w:hint="eastAsia" w:eastAsia="等线" w:cs="Times New Roman"/>
                <w:b/>
                <w:bCs/>
                <w:color w:val="000000" w:themeColor="text1"/>
                <w:kern w:val="0"/>
                <w:sz w:val="18"/>
                <w:szCs w:val="18"/>
                <w14:textFill>
                  <w14:solidFill>
                    <w14:schemeClr w14:val="tx1"/>
                  </w14:solidFill>
                </w14:textFill>
              </w:rPr>
              <w:t>6</w:t>
            </w:r>
          </w:p>
        </w:tc>
        <w:tc>
          <w:tcPr>
            <w:tcW w:w="1399" w:type="dxa"/>
            <w:shd w:val="clear" w:color="auto" w:fill="auto"/>
            <w:noWrap/>
            <w:vAlign w:val="bottom"/>
          </w:tcPr>
          <w:p w14:paraId="6183DFF6">
            <w:pPr>
              <w:widowControl/>
              <w:adjustRightInd/>
              <w:snapToGrid/>
              <w:spacing w:line="240" w:lineRule="auto"/>
              <w:ind w:firstLine="0" w:firstLineChars="0"/>
              <w:jc w:val="left"/>
              <w:rPr>
                <w:rFonts w:hint="eastAsia" w:ascii="等线" w:hAnsi="等线" w:eastAsia="等线" w:cs="宋体"/>
                <w:color w:val="000000" w:themeColor="text1"/>
                <w:kern w:val="0"/>
                <w:sz w:val="22"/>
                <w:szCs w:val="22"/>
                <w14:textFill>
                  <w14:solidFill>
                    <w14:schemeClr w14:val="tx1"/>
                  </w14:solidFill>
                </w14:textFill>
              </w:rPr>
            </w:pPr>
            <w:r>
              <w:rPr>
                <w:rFonts w:hint="eastAsia" w:ascii="等线" w:hAnsi="等线" w:eastAsia="等线" w:cs="宋体"/>
                <w:color w:val="000000" w:themeColor="text1"/>
                <w:kern w:val="0"/>
                <w:sz w:val="22"/>
                <w:szCs w:val="22"/>
                <w14:textFill>
                  <w14:solidFill>
                    <w14:schemeClr w14:val="tx1"/>
                  </w14:solidFill>
                </w14:textFill>
              </w:rPr>
              <w:t>　</w:t>
            </w:r>
          </w:p>
        </w:tc>
      </w:tr>
    </w:tbl>
    <w:p w14:paraId="2F18BFC6">
      <w:pPr>
        <w:pStyle w:val="33"/>
        <w:jc w:val="center"/>
        <w:rPr>
          <w:color w:val="000000" w:themeColor="text1"/>
          <w14:textFill>
            <w14:solidFill>
              <w14:schemeClr w14:val="tx1"/>
            </w14:solidFill>
          </w14:textFill>
        </w:rPr>
      </w:pPr>
    </w:p>
    <w:p w14:paraId="6381E28C">
      <w:pPr>
        <w:pStyle w:val="3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表7.1-</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 xml:space="preserve">                         方案新增水土保持措施投资估算表</w:t>
      </w:r>
    </w:p>
    <w:tbl>
      <w:tblPr>
        <w:tblStyle w:val="26"/>
        <w:tblW w:w="86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08" w:type="dxa"/>
          <w:bottom w:w="0" w:type="dxa"/>
          <w:right w:w="108" w:type="dxa"/>
        </w:tblCellMar>
      </w:tblPr>
      <w:tblGrid>
        <w:gridCol w:w="640"/>
        <w:gridCol w:w="3104"/>
        <w:gridCol w:w="1063"/>
        <w:gridCol w:w="1087"/>
        <w:gridCol w:w="1164"/>
        <w:gridCol w:w="1603"/>
      </w:tblGrid>
      <w:tr w14:paraId="33DAD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86" w:hRule="atLeast"/>
          <w:jc w:val="center"/>
        </w:trPr>
        <w:tc>
          <w:tcPr>
            <w:tcW w:w="640" w:type="dxa"/>
            <w:vMerge w:val="restart"/>
            <w:shd w:val="clear" w:color="auto" w:fill="auto"/>
            <w:vAlign w:val="center"/>
          </w:tcPr>
          <w:p w14:paraId="08DD09F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ascii="仿宋_GB2312" w:cs="Times New Roman"/>
                <w:color w:val="000000" w:themeColor="text1"/>
                <w:kern w:val="0"/>
                <w:sz w:val="18"/>
                <w:szCs w:val="18"/>
                <w14:textFill>
                  <w14:solidFill>
                    <w14:schemeClr w14:val="tx1"/>
                  </w14:solidFill>
                </w14:textFill>
              </w:rPr>
              <w:t>序号</w:t>
            </w:r>
          </w:p>
        </w:tc>
        <w:tc>
          <w:tcPr>
            <w:tcW w:w="3104" w:type="dxa"/>
            <w:vMerge w:val="restart"/>
            <w:shd w:val="clear" w:color="auto" w:fill="auto"/>
            <w:vAlign w:val="center"/>
          </w:tcPr>
          <w:p w14:paraId="22D46BA0">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工程及费用名称</w:t>
            </w:r>
          </w:p>
        </w:tc>
        <w:tc>
          <w:tcPr>
            <w:tcW w:w="1063" w:type="dxa"/>
            <w:vMerge w:val="restart"/>
            <w:shd w:val="clear" w:color="auto" w:fill="auto"/>
            <w:vAlign w:val="center"/>
          </w:tcPr>
          <w:p w14:paraId="4A31AE9E">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单位</w:t>
            </w:r>
          </w:p>
        </w:tc>
        <w:tc>
          <w:tcPr>
            <w:tcW w:w="1087" w:type="dxa"/>
            <w:vMerge w:val="restart"/>
            <w:shd w:val="clear" w:color="auto" w:fill="auto"/>
            <w:vAlign w:val="center"/>
          </w:tcPr>
          <w:p w14:paraId="6F04C6E7">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数量</w:t>
            </w:r>
          </w:p>
        </w:tc>
        <w:tc>
          <w:tcPr>
            <w:tcW w:w="1164" w:type="dxa"/>
            <w:vMerge w:val="restart"/>
            <w:shd w:val="clear" w:color="auto" w:fill="auto"/>
            <w:vAlign w:val="center"/>
          </w:tcPr>
          <w:p w14:paraId="254F6E27">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单价（元）</w:t>
            </w:r>
          </w:p>
        </w:tc>
        <w:tc>
          <w:tcPr>
            <w:tcW w:w="1603" w:type="dxa"/>
            <w:vMerge w:val="restart"/>
            <w:shd w:val="clear" w:color="auto" w:fill="auto"/>
            <w:vAlign w:val="center"/>
          </w:tcPr>
          <w:p w14:paraId="734186BC">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合计（万元）</w:t>
            </w:r>
          </w:p>
        </w:tc>
      </w:tr>
      <w:tr w14:paraId="39189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vMerge w:val="continue"/>
            <w:vAlign w:val="center"/>
          </w:tcPr>
          <w:p w14:paraId="6EC94923">
            <w:pPr>
              <w:widowControl/>
              <w:adjustRightInd/>
              <w:snapToGrid/>
              <w:spacing w:line="240" w:lineRule="auto"/>
              <w:ind w:firstLine="0" w:firstLineChars="0"/>
              <w:jc w:val="left"/>
              <w:rPr>
                <w:rFonts w:eastAsia="等线" w:cs="Times New Roman"/>
                <w:color w:val="000000" w:themeColor="text1"/>
                <w:kern w:val="0"/>
                <w:sz w:val="18"/>
                <w:szCs w:val="18"/>
                <w14:textFill>
                  <w14:solidFill>
                    <w14:schemeClr w14:val="tx1"/>
                  </w14:solidFill>
                </w14:textFill>
              </w:rPr>
            </w:pPr>
          </w:p>
        </w:tc>
        <w:tc>
          <w:tcPr>
            <w:tcW w:w="3104" w:type="dxa"/>
            <w:vMerge w:val="continue"/>
            <w:vAlign w:val="center"/>
          </w:tcPr>
          <w:p w14:paraId="3B07B95A">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063" w:type="dxa"/>
            <w:vMerge w:val="continue"/>
            <w:vAlign w:val="center"/>
          </w:tcPr>
          <w:p w14:paraId="325E926E">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087" w:type="dxa"/>
            <w:vMerge w:val="continue"/>
            <w:vAlign w:val="center"/>
          </w:tcPr>
          <w:p w14:paraId="71244C8A">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164" w:type="dxa"/>
            <w:vMerge w:val="continue"/>
            <w:vAlign w:val="center"/>
          </w:tcPr>
          <w:p w14:paraId="18994E62">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603" w:type="dxa"/>
            <w:vMerge w:val="continue"/>
            <w:vAlign w:val="center"/>
          </w:tcPr>
          <w:p w14:paraId="4C60D001">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r>
      <w:tr w14:paraId="6EA2A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312" w:hRule="atLeast"/>
          <w:jc w:val="center"/>
        </w:trPr>
        <w:tc>
          <w:tcPr>
            <w:tcW w:w="640" w:type="dxa"/>
            <w:shd w:val="clear" w:color="auto" w:fill="auto"/>
            <w:vAlign w:val="center"/>
          </w:tcPr>
          <w:p w14:paraId="00803420">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一</w:t>
            </w:r>
          </w:p>
        </w:tc>
        <w:tc>
          <w:tcPr>
            <w:tcW w:w="3104" w:type="dxa"/>
            <w:shd w:val="clear" w:color="auto" w:fill="auto"/>
            <w:vAlign w:val="center"/>
          </w:tcPr>
          <w:p w14:paraId="515C5709">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第一部分工程措施</w:t>
            </w:r>
          </w:p>
        </w:tc>
        <w:tc>
          <w:tcPr>
            <w:tcW w:w="1063" w:type="dxa"/>
            <w:shd w:val="clear" w:color="auto" w:fill="auto"/>
            <w:vAlign w:val="center"/>
          </w:tcPr>
          <w:p w14:paraId="5E83E2F0">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04A6015C">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6F8ED6AC">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55CE83C9">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0.</w:t>
            </w:r>
            <w:r>
              <w:rPr>
                <w:rFonts w:hint="eastAsia" w:eastAsia="等线" w:cs="Times New Roman"/>
                <w:b/>
                <w:bCs/>
                <w:color w:val="000000" w:themeColor="text1"/>
                <w:kern w:val="0"/>
                <w:sz w:val="18"/>
                <w:szCs w:val="18"/>
                <w14:textFill>
                  <w14:solidFill>
                    <w14:schemeClr w14:val="tx1"/>
                  </w14:solidFill>
                </w14:textFill>
              </w:rPr>
              <w:t>02</w:t>
            </w:r>
            <w:r>
              <w:rPr>
                <w:rFonts w:eastAsia="等线" w:cs="Times New Roman"/>
                <w:b/>
                <w:bCs/>
                <w:color w:val="000000" w:themeColor="text1"/>
                <w:kern w:val="0"/>
                <w:sz w:val="18"/>
                <w:szCs w:val="18"/>
                <w14:textFill>
                  <w14:solidFill>
                    <w14:schemeClr w14:val="tx1"/>
                  </w14:solidFill>
                </w14:textFill>
              </w:rPr>
              <w:t xml:space="preserve"> </w:t>
            </w:r>
          </w:p>
        </w:tc>
      </w:tr>
      <w:tr w14:paraId="5432F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312" w:hRule="atLeast"/>
          <w:jc w:val="center"/>
        </w:trPr>
        <w:tc>
          <w:tcPr>
            <w:tcW w:w="640" w:type="dxa"/>
            <w:shd w:val="clear" w:color="auto" w:fill="auto"/>
            <w:vAlign w:val="center"/>
          </w:tcPr>
          <w:p w14:paraId="70F6943E">
            <w:pPr>
              <w:widowControl/>
              <w:adjustRightInd/>
              <w:snapToGrid/>
              <w:spacing w:line="240" w:lineRule="auto"/>
              <w:ind w:firstLine="0" w:firstLineChars="0"/>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w:t>
            </w:r>
            <w:r>
              <w:rPr>
                <w:rFonts w:hint="eastAsia" w:ascii="宋体" w:hAnsi="宋体" w:eastAsia="宋体" w:cs="Times New Roman"/>
                <w:b/>
                <w:bCs/>
                <w:color w:val="000000" w:themeColor="text1"/>
                <w:kern w:val="0"/>
                <w:sz w:val="18"/>
                <w:szCs w:val="18"/>
                <w14:textFill>
                  <w14:solidFill>
                    <w14:schemeClr w14:val="tx1"/>
                  </w14:solidFill>
                </w14:textFill>
              </w:rPr>
              <w:t>一</w:t>
            </w:r>
            <w:r>
              <w:rPr>
                <w:rFonts w:eastAsia="等线" w:cs="Times New Roman"/>
                <w:b/>
                <w:bCs/>
                <w:color w:val="000000" w:themeColor="text1"/>
                <w:kern w:val="0"/>
                <w:sz w:val="18"/>
                <w:szCs w:val="18"/>
                <w14:textFill>
                  <w14:solidFill>
                    <w14:schemeClr w14:val="tx1"/>
                  </w14:solidFill>
                </w14:textFill>
              </w:rPr>
              <w:t>)</w:t>
            </w:r>
          </w:p>
        </w:tc>
        <w:tc>
          <w:tcPr>
            <w:tcW w:w="3104" w:type="dxa"/>
            <w:shd w:val="clear" w:color="auto" w:fill="auto"/>
            <w:vAlign w:val="center"/>
          </w:tcPr>
          <w:p w14:paraId="3EA1FAA5">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景观绿化工程区</w:t>
            </w:r>
          </w:p>
        </w:tc>
        <w:tc>
          <w:tcPr>
            <w:tcW w:w="1063" w:type="dxa"/>
            <w:shd w:val="clear" w:color="auto" w:fill="auto"/>
            <w:vAlign w:val="center"/>
          </w:tcPr>
          <w:p w14:paraId="671969F9">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55037416">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008948C9">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2DBA03DD">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0.</w:t>
            </w:r>
            <w:r>
              <w:rPr>
                <w:rFonts w:hint="eastAsia" w:eastAsia="等线" w:cs="Times New Roman"/>
                <w:b/>
                <w:bCs/>
                <w:color w:val="000000" w:themeColor="text1"/>
                <w:kern w:val="0"/>
                <w:sz w:val="18"/>
                <w:szCs w:val="18"/>
                <w14:textFill>
                  <w14:solidFill>
                    <w14:schemeClr w14:val="tx1"/>
                  </w14:solidFill>
                </w14:textFill>
              </w:rPr>
              <w:t>02</w:t>
            </w:r>
          </w:p>
        </w:tc>
      </w:tr>
      <w:tr w14:paraId="209DC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312" w:hRule="atLeast"/>
          <w:jc w:val="center"/>
        </w:trPr>
        <w:tc>
          <w:tcPr>
            <w:tcW w:w="640" w:type="dxa"/>
            <w:shd w:val="clear" w:color="auto" w:fill="auto"/>
            <w:vAlign w:val="center"/>
          </w:tcPr>
          <w:p w14:paraId="42ECBD6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3104" w:type="dxa"/>
            <w:shd w:val="clear" w:color="auto" w:fill="auto"/>
            <w:vAlign w:val="center"/>
          </w:tcPr>
          <w:p w14:paraId="0F2BBD8A">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土地整治</w:t>
            </w:r>
          </w:p>
        </w:tc>
        <w:tc>
          <w:tcPr>
            <w:tcW w:w="1063" w:type="dxa"/>
            <w:shd w:val="clear" w:color="auto" w:fill="auto"/>
            <w:vAlign w:val="center"/>
          </w:tcPr>
          <w:p w14:paraId="1C1320C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hm</w:t>
            </w:r>
            <w:r>
              <w:rPr>
                <w:rFonts w:eastAsia="等线" w:cs="Times New Roman"/>
                <w:color w:val="000000" w:themeColor="text1"/>
                <w:kern w:val="0"/>
                <w:sz w:val="18"/>
                <w:szCs w:val="18"/>
                <w:vertAlign w:val="superscript"/>
                <w14:textFill>
                  <w14:solidFill>
                    <w14:schemeClr w14:val="tx1"/>
                  </w14:solidFill>
                </w14:textFill>
              </w:rPr>
              <w:t>2</w:t>
            </w:r>
          </w:p>
        </w:tc>
        <w:tc>
          <w:tcPr>
            <w:tcW w:w="1087" w:type="dxa"/>
            <w:shd w:val="clear" w:color="auto" w:fill="auto"/>
            <w:vAlign w:val="center"/>
          </w:tcPr>
          <w:p w14:paraId="24DDAE1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0.12</w:t>
            </w:r>
          </w:p>
        </w:tc>
        <w:tc>
          <w:tcPr>
            <w:tcW w:w="1164" w:type="dxa"/>
            <w:shd w:val="clear" w:color="auto" w:fill="auto"/>
            <w:vAlign w:val="center"/>
          </w:tcPr>
          <w:p w14:paraId="676B7CF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1712.08</w:t>
            </w:r>
          </w:p>
        </w:tc>
        <w:tc>
          <w:tcPr>
            <w:tcW w:w="1603" w:type="dxa"/>
            <w:shd w:val="clear" w:color="auto" w:fill="auto"/>
            <w:vAlign w:val="center"/>
          </w:tcPr>
          <w:p w14:paraId="21A70CAB">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0.</w:t>
            </w:r>
            <w:r>
              <w:rPr>
                <w:rFonts w:hint="eastAsia" w:eastAsia="等线" w:cs="Times New Roman"/>
                <w:color w:val="000000" w:themeColor="text1"/>
                <w:kern w:val="0"/>
                <w:sz w:val="18"/>
                <w:szCs w:val="18"/>
                <w14:textFill>
                  <w14:solidFill>
                    <w14:schemeClr w14:val="tx1"/>
                  </w14:solidFill>
                </w14:textFill>
              </w:rPr>
              <w:t>02</w:t>
            </w:r>
          </w:p>
        </w:tc>
      </w:tr>
      <w:tr w14:paraId="30033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312" w:hRule="atLeast"/>
          <w:jc w:val="center"/>
        </w:trPr>
        <w:tc>
          <w:tcPr>
            <w:tcW w:w="640" w:type="dxa"/>
            <w:shd w:val="clear" w:color="auto" w:fill="auto"/>
            <w:vAlign w:val="center"/>
          </w:tcPr>
          <w:p w14:paraId="5F0CB3BB">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二</w:t>
            </w:r>
          </w:p>
        </w:tc>
        <w:tc>
          <w:tcPr>
            <w:tcW w:w="3104" w:type="dxa"/>
            <w:shd w:val="clear" w:color="auto" w:fill="auto"/>
            <w:vAlign w:val="center"/>
          </w:tcPr>
          <w:p w14:paraId="0557FF34">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第二部分植物措施</w:t>
            </w:r>
          </w:p>
        </w:tc>
        <w:tc>
          <w:tcPr>
            <w:tcW w:w="1063" w:type="dxa"/>
            <w:shd w:val="clear" w:color="auto" w:fill="auto"/>
            <w:vAlign w:val="center"/>
          </w:tcPr>
          <w:p w14:paraId="1BE6217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669DC4B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4D8F8F9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1783A2A4">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0.06</w:t>
            </w:r>
            <w:r>
              <w:rPr>
                <w:rFonts w:eastAsia="等线" w:cs="Times New Roman"/>
                <w:b/>
                <w:bCs/>
                <w:color w:val="000000" w:themeColor="text1"/>
                <w:kern w:val="0"/>
                <w:sz w:val="18"/>
                <w:szCs w:val="18"/>
                <w14:textFill>
                  <w14:solidFill>
                    <w14:schemeClr w14:val="tx1"/>
                  </w14:solidFill>
                </w14:textFill>
              </w:rPr>
              <w:t xml:space="preserve"> </w:t>
            </w:r>
          </w:p>
        </w:tc>
      </w:tr>
      <w:tr w14:paraId="3E5B5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shd w:val="clear" w:color="auto" w:fill="auto"/>
            <w:vAlign w:val="center"/>
          </w:tcPr>
          <w:p w14:paraId="063423F0">
            <w:pPr>
              <w:widowControl/>
              <w:adjustRightInd/>
              <w:snapToGrid/>
              <w:spacing w:line="240" w:lineRule="auto"/>
              <w:ind w:firstLine="0" w:firstLineChars="0"/>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w:t>
            </w:r>
            <w:r>
              <w:rPr>
                <w:rFonts w:hint="eastAsia" w:ascii="宋体" w:hAnsi="宋体" w:eastAsia="宋体" w:cs="Times New Roman"/>
                <w:b/>
                <w:bCs/>
                <w:color w:val="000000" w:themeColor="text1"/>
                <w:kern w:val="0"/>
                <w:sz w:val="18"/>
                <w:szCs w:val="18"/>
                <w14:textFill>
                  <w14:solidFill>
                    <w14:schemeClr w14:val="tx1"/>
                  </w14:solidFill>
                </w14:textFill>
              </w:rPr>
              <w:t>一</w:t>
            </w:r>
            <w:r>
              <w:rPr>
                <w:rFonts w:eastAsia="等线" w:cs="Times New Roman"/>
                <w:b/>
                <w:bCs/>
                <w:color w:val="000000" w:themeColor="text1"/>
                <w:kern w:val="0"/>
                <w:sz w:val="18"/>
                <w:szCs w:val="18"/>
                <w14:textFill>
                  <w14:solidFill>
                    <w14:schemeClr w14:val="tx1"/>
                  </w14:solidFill>
                </w14:textFill>
              </w:rPr>
              <w:t>)</w:t>
            </w:r>
          </w:p>
        </w:tc>
        <w:tc>
          <w:tcPr>
            <w:tcW w:w="3104" w:type="dxa"/>
            <w:shd w:val="clear" w:color="auto" w:fill="auto"/>
            <w:vAlign w:val="center"/>
          </w:tcPr>
          <w:p w14:paraId="19536A95">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景观绿化工程区</w:t>
            </w:r>
          </w:p>
        </w:tc>
        <w:tc>
          <w:tcPr>
            <w:tcW w:w="1063" w:type="dxa"/>
            <w:shd w:val="clear" w:color="auto" w:fill="auto"/>
            <w:vAlign w:val="center"/>
          </w:tcPr>
          <w:p w14:paraId="302C990B">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39F7F657">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78B23C0C">
            <w:pPr>
              <w:widowControl/>
              <w:adjustRightInd/>
              <w:snapToGrid/>
              <w:spacing w:line="240" w:lineRule="auto"/>
              <w:ind w:firstLine="0" w:firstLineChars="0"/>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68B68D65">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r>
      <w:tr w14:paraId="3BB7D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312" w:hRule="atLeast"/>
          <w:jc w:val="center"/>
        </w:trPr>
        <w:tc>
          <w:tcPr>
            <w:tcW w:w="640" w:type="dxa"/>
            <w:shd w:val="clear" w:color="auto" w:fill="auto"/>
            <w:vAlign w:val="center"/>
          </w:tcPr>
          <w:p w14:paraId="504EC3F8">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3104" w:type="dxa"/>
            <w:shd w:val="clear" w:color="auto" w:fill="auto"/>
            <w:vAlign w:val="center"/>
          </w:tcPr>
          <w:p w14:paraId="78C0DBFB">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抚育管理</w:t>
            </w:r>
          </w:p>
        </w:tc>
        <w:tc>
          <w:tcPr>
            <w:tcW w:w="1063" w:type="dxa"/>
            <w:shd w:val="clear" w:color="auto" w:fill="auto"/>
            <w:vAlign w:val="center"/>
          </w:tcPr>
          <w:p w14:paraId="19C412B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hm</w:t>
            </w:r>
            <w:r>
              <w:rPr>
                <w:rFonts w:eastAsia="等线" w:cs="Times New Roman"/>
                <w:color w:val="000000" w:themeColor="text1"/>
                <w:kern w:val="0"/>
                <w:sz w:val="18"/>
                <w:szCs w:val="18"/>
                <w:vertAlign w:val="superscript"/>
                <w14:textFill>
                  <w14:solidFill>
                    <w14:schemeClr w14:val="tx1"/>
                  </w14:solidFill>
                </w14:textFill>
              </w:rPr>
              <w:t>2</w:t>
            </w:r>
          </w:p>
        </w:tc>
        <w:tc>
          <w:tcPr>
            <w:tcW w:w="1087" w:type="dxa"/>
            <w:shd w:val="clear" w:color="auto" w:fill="auto"/>
            <w:vAlign w:val="center"/>
          </w:tcPr>
          <w:p w14:paraId="120DB00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0.12</w:t>
            </w:r>
          </w:p>
        </w:tc>
        <w:tc>
          <w:tcPr>
            <w:tcW w:w="1164" w:type="dxa"/>
            <w:shd w:val="clear" w:color="auto" w:fill="auto"/>
            <w:vAlign w:val="center"/>
          </w:tcPr>
          <w:p w14:paraId="32259D1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5387.56</w:t>
            </w:r>
          </w:p>
        </w:tc>
        <w:tc>
          <w:tcPr>
            <w:tcW w:w="1603" w:type="dxa"/>
            <w:shd w:val="clear" w:color="auto" w:fill="auto"/>
            <w:vAlign w:val="center"/>
          </w:tcPr>
          <w:p w14:paraId="6808FBF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0.06</w:t>
            </w:r>
          </w:p>
        </w:tc>
      </w:tr>
      <w:tr w14:paraId="67559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312" w:hRule="atLeast"/>
          <w:jc w:val="center"/>
        </w:trPr>
        <w:tc>
          <w:tcPr>
            <w:tcW w:w="640" w:type="dxa"/>
            <w:shd w:val="clear" w:color="auto" w:fill="auto"/>
            <w:vAlign w:val="center"/>
          </w:tcPr>
          <w:p w14:paraId="15D81BC0">
            <w:pPr>
              <w:widowControl/>
              <w:adjustRightInd/>
              <w:snapToGrid/>
              <w:spacing w:line="240" w:lineRule="auto"/>
              <w:ind w:firstLine="0" w:firstLineChars="0"/>
              <w:jc w:val="center"/>
              <w:rPr>
                <w:rFonts w:hint="eastAsia" w:ascii="宋体" w:hAnsi="宋体" w:eastAsia="宋体" w:cs="宋体"/>
                <w:b/>
                <w:bCs/>
                <w:color w:val="000000" w:themeColor="text1"/>
                <w:kern w:val="0"/>
                <w:sz w:val="18"/>
                <w:szCs w:val="18"/>
                <w14:textFill>
                  <w14:solidFill>
                    <w14:schemeClr w14:val="tx1"/>
                  </w14:solidFill>
                </w14:textFill>
              </w:rPr>
            </w:pPr>
            <w:r>
              <w:rPr>
                <w:rFonts w:hint="eastAsia" w:ascii="宋体" w:hAnsi="宋体" w:eastAsia="宋体" w:cs="宋体"/>
                <w:b/>
                <w:bCs/>
                <w:color w:val="000000" w:themeColor="text1"/>
                <w:kern w:val="0"/>
                <w:sz w:val="18"/>
                <w:szCs w:val="18"/>
                <w14:textFill>
                  <w14:solidFill>
                    <w14:schemeClr w14:val="tx1"/>
                  </w14:solidFill>
                </w14:textFill>
              </w:rPr>
              <w:t>三</w:t>
            </w:r>
          </w:p>
        </w:tc>
        <w:tc>
          <w:tcPr>
            <w:tcW w:w="3104" w:type="dxa"/>
            <w:shd w:val="clear" w:color="auto" w:fill="auto"/>
            <w:vAlign w:val="center"/>
          </w:tcPr>
          <w:p w14:paraId="1EAD58F0">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第三部分临时措施</w:t>
            </w:r>
          </w:p>
        </w:tc>
        <w:tc>
          <w:tcPr>
            <w:tcW w:w="1063" w:type="dxa"/>
            <w:shd w:val="clear" w:color="auto" w:fill="auto"/>
            <w:vAlign w:val="center"/>
          </w:tcPr>
          <w:p w14:paraId="7B39ADE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6ED1520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6F44D1F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3E373769">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1.06</w:t>
            </w:r>
          </w:p>
        </w:tc>
      </w:tr>
      <w:tr w14:paraId="1F2B0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461" w:hRule="atLeast"/>
          <w:jc w:val="center"/>
        </w:trPr>
        <w:tc>
          <w:tcPr>
            <w:tcW w:w="640" w:type="dxa"/>
            <w:shd w:val="clear" w:color="auto" w:fill="auto"/>
            <w:vAlign w:val="center"/>
          </w:tcPr>
          <w:p w14:paraId="58ECE21D">
            <w:pPr>
              <w:widowControl/>
              <w:adjustRightInd/>
              <w:snapToGrid/>
              <w:spacing w:line="240" w:lineRule="auto"/>
              <w:ind w:firstLine="0" w:firstLineChars="0"/>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w:t>
            </w:r>
            <w:r>
              <w:rPr>
                <w:rFonts w:hint="eastAsia" w:ascii="宋体" w:hAnsi="宋体" w:eastAsia="宋体" w:cs="Times New Roman"/>
                <w:b/>
                <w:bCs/>
                <w:color w:val="000000" w:themeColor="text1"/>
                <w:kern w:val="0"/>
                <w:sz w:val="18"/>
                <w:szCs w:val="18"/>
                <w14:textFill>
                  <w14:solidFill>
                    <w14:schemeClr w14:val="tx1"/>
                  </w14:solidFill>
                </w14:textFill>
              </w:rPr>
              <w:t>一</w:t>
            </w:r>
            <w:r>
              <w:rPr>
                <w:rFonts w:eastAsia="等线" w:cs="Times New Roman"/>
                <w:b/>
                <w:bCs/>
                <w:color w:val="000000" w:themeColor="text1"/>
                <w:kern w:val="0"/>
                <w:sz w:val="18"/>
                <w:szCs w:val="18"/>
                <w14:textFill>
                  <w14:solidFill>
                    <w14:schemeClr w14:val="tx1"/>
                  </w14:solidFill>
                </w14:textFill>
              </w:rPr>
              <w:t>)</w:t>
            </w:r>
          </w:p>
        </w:tc>
        <w:tc>
          <w:tcPr>
            <w:tcW w:w="3104" w:type="dxa"/>
            <w:shd w:val="clear" w:color="auto" w:fill="auto"/>
            <w:vAlign w:val="center"/>
          </w:tcPr>
          <w:p w14:paraId="12AB5C1D">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场内道路及硬化工程区</w:t>
            </w:r>
          </w:p>
        </w:tc>
        <w:tc>
          <w:tcPr>
            <w:tcW w:w="1063" w:type="dxa"/>
            <w:shd w:val="clear" w:color="auto" w:fill="auto"/>
            <w:vAlign w:val="center"/>
          </w:tcPr>
          <w:p w14:paraId="52F9756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4719414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2EEA840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75D8F48F">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0.58</w:t>
            </w:r>
            <w:r>
              <w:rPr>
                <w:rFonts w:eastAsia="等线" w:cs="Times New Roman"/>
                <w:b/>
                <w:bCs/>
                <w:color w:val="000000" w:themeColor="text1"/>
                <w:kern w:val="0"/>
                <w:sz w:val="18"/>
                <w:szCs w:val="18"/>
                <w14:textFill>
                  <w14:solidFill>
                    <w14:schemeClr w14:val="tx1"/>
                  </w14:solidFill>
                </w14:textFill>
              </w:rPr>
              <w:t xml:space="preserve"> </w:t>
            </w:r>
          </w:p>
        </w:tc>
      </w:tr>
      <w:tr w14:paraId="5BBC5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312" w:hRule="atLeast"/>
          <w:jc w:val="center"/>
        </w:trPr>
        <w:tc>
          <w:tcPr>
            <w:tcW w:w="640" w:type="dxa"/>
            <w:shd w:val="clear" w:color="auto" w:fill="auto"/>
            <w:vAlign w:val="center"/>
          </w:tcPr>
          <w:p w14:paraId="51811E0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3104" w:type="dxa"/>
            <w:shd w:val="clear" w:color="auto" w:fill="auto"/>
            <w:vAlign w:val="center"/>
          </w:tcPr>
          <w:p w14:paraId="616AEB21">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密目网苫盖</w:t>
            </w:r>
          </w:p>
        </w:tc>
        <w:tc>
          <w:tcPr>
            <w:tcW w:w="1063" w:type="dxa"/>
            <w:shd w:val="clear" w:color="auto" w:fill="auto"/>
            <w:vAlign w:val="center"/>
          </w:tcPr>
          <w:p w14:paraId="5DCB4E58">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r>
              <w:rPr>
                <w:rFonts w:eastAsia="等线" w:cs="Times New Roman"/>
                <w:color w:val="000000" w:themeColor="text1"/>
                <w:kern w:val="0"/>
                <w:sz w:val="18"/>
                <w:szCs w:val="18"/>
                <w:vertAlign w:val="superscript"/>
                <w14:textFill>
                  <w14:solidFill>
                    <w14:schemeClr w14:val="tx1"/>
                  </w14:solidFill>
                </w14:textFill>
              </w:rPr>
              <w:t>2</w:t>
            </w:r>
          </w:p>
        </w:tc>
        <w:tc>
          <w:tcPr>
            <w:tcW w:w="1087" w:type="dxa"/>
            <w:shd w:val="clear" w:color="auto" w:fill="auto"/>
            <w:vAlign w:val="center"/>
          </w:tcPr>
          <w:p w14:paraId="5B895B6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868</w:t>
            </w:r>
          </w:p>
        </w:tc>
        <w:tc>
          <w:tcPr>
            <w:tcW w:w="1164" w:type="dxa"/>
            <w:shd w:val="clear" w:color="auto" w:fill="auto"/>
            <w:vAlign w:val="center"/>
          </w:tcPr>
          <w:p w14:paraId="3F83C18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6.70</w:t>
            </w:r>
          </w:p>
        </w:tc>
        <w:tc>
          <w:tcPr>
            <w:tcW w:w="1603" w:type="dxa"/>
            <w:shd w:val="clear" w:color="auto" w:fill="auto"/>
            <w:vAlign w:val="center"/>
          </w:tcPr>
          <w:p w14:paraId="3CA331D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0.58</w:t>
            </w:r>
          </w:p>
        </w:tc>
      </w:tr>
      <w:tr w14:paraId="27984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shd w:val="clear" w:color="auto" w:fill="auto"/>
            <w:vAlign w:val="center"/>
          </w:tcPr>
          <w:p w14:paraId="63562CEC">
            <w:pPr>
              <w:widowControl/>
              <w:adjustRightInd/>
              <w:snapToGrid/>
              <w:spacing w:line="240" w:lineRule="auto"/>
              <w:ind w:firstLine="0" w:firstLineChars="0"/>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w:t>
            </w:r>
            <w:r>
              <w:rPr>
                <w:rFonts w:hint="eastAsia" w:ascii="宋体" w:hAnsi="宋体" w:eastAsia="宋体" w:cs="Times New Roman"/>
                <w:b/>
                <w:bCs/>
                <w:color w:val="000000" w:themeColor="text1"/>
                <w:kern w:val="0"/>
                <w:sz w:val="18"/>
                <w:szCs w:val="18"/>
                <w14:textFill>
                  <w14:solidFill>
                    <w14:schemeClr w14:val="tx1"/>
                  </w14:solidFill>
                </w14:textFill>
              </w:rPr>
              <w:t>二</w:t>
            </w:r>
            <w:r>
              <w:rPr>
                <w:rFonts w:eastAsia="等线" w:cs="Times New Roman"/>
                <w:b/>
                <w:bCs/>
                <w:color w:val="000000" w:themeColor="text1"/>
                <w:kern w:val="0"/>
                <w:sz w:val="18"/>
                <w:szCs w:val="18"/>
                <w14:textFill>
                  <w14:solidFill>
                    <w14:schemeClr w14:val="tx1"/>
                  </w14:solidFill>
                </w14:textFill>
              </w:rPr>
              <w:t>)</w:t>
            </w:r>
          </w:p>
        </w:tc>
        <w:tc>
          <w:tcPr>
            <w:tcW w:w="3104" w:type="dxa"/>
            <w:shd w:val="clear" w:color="auto" w:fill="auto"/>
            <w:vAlign w:val="center"/>
          </w:tcPr>
          <w:p w14:paraId="7C064028">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景观绿化工程区</w:t>
            </w:r>
          </w:p>
        </w:tc>
        <w:tc>
          <w:tcPr>
            <w:tcW w:w="1063" w:type="dxa"/>
            <w:shd w:val="clear" w:color="auto" w:fill="auto"/>
            <w:vAlign w:val="center"/>
          </w:tcPr>
          <w:p w14:paraId="16D84A5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02A9101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2ADA774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1A1EB87D">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0.48</w:t>
            </w:r>
          </w:p>
        </w:tc>
      </w:tr>
      <w:tr w14:paraId="688A2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312" w:hRule="atLeast"/>
          <w:jc w:val="center"/>
        </w:trPr>
        <w:tc>
          <w:tcPr>
            <w:tcW w:w="640" w:type="dxa"/>
            <w:shd w:val="clear" w:color="auto" w:fill="auto"/>
            <w:vAlign w:val="center"/>
          </w:tcPr>
          <w:p w14:paraId="1806C29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3104" w:type="dxa"/>
            <w:shd w:val="clear" w:color="auto" w:fill="auto"/>
            <w:vAlign w:val="center"/>
          </w:tcPr>
          <w:p w14:paraId="5663C2CB">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密目网苫盖</w:t>
            </w:r>
          </w:p>
        </w:tc>
        <w:tc>
          <w:tcPr>
            <w:tcW w:w="1063" w:type="dxa"/>
            <w:shd w:val="clear" w:color="auto" w:fill="auto"/>
            <w:vAlign w:val="center"/>
          </w:tcPr>
          <w:p w14:paraId="4C34B87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m</w:t>
            </w:r>
            <w:r>
              <w:rPr>
                <w:rFonts w:eastAsia="等线" w:cs="Times New Roman"/>
                <w:color w:val="000000" w:themeColor="text1"/>
                <w:kern w:val="0"/>
                <w:sz w:val="18"/>
                <w:szCs w:val="18"/>
                <w:vertAlign w:val="superscript"/>
                <w14:textFill>
                  <w14:solidFill>
                    <w14:schemeClr w14:val="tx1"/>
                  </w14:solidFill>
                </w14:textFill>
              </w:rPr>
              <w:t>2</w:t>
            </w:r>
          </w:p>
        </w:tc>
        <w:tc>
          <w:tcPr>
            <w:tcW w:w="1087" w:type="dxa"/>
            <w:shd w:val="clear" w:color="auto" w:fill="auto"/>
            <w:vAlign w:val="center"/>
          </w:tcPr>
          <w:p w14:paraId="1D959B7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714</w:t>
            </w:r>
          </w:p>
        </w:tc>
        <w:tc>
          <w:tcPr>
            <w:tcW w:w="1164" w:type="dxa"/>
            <w:shd w:val="clear" w:color="auto" w:fill="auto"/>
            <w:vAlign w:val="center"/>
          </w:tcPr>
          <w:p w14:paraId="0F796C0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6.70</w:t>
            </w:r>
          </w:p>
        </w:tc>
        <w:tc>
          <w:tcPr>
            <w:tcW w:w="1603" w:type="dxa"/>
            <w:shd w:val="clear" w:color="auto" w:fill="auto"/>
            <w:vAlign w:val="center"/>
          </w:tcPr>
          <w:p w14:paraId="4032664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0.48</w:t>
            </w:r>
          </w:p>
        </w:tc>
      </w:tr>
      <w:tr w14:paraId="256C5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shd w:val="clear" w:color="auto" w:fill="auto"/>
            <w:vAlign w:val="center"/>
          </w:tcPr>
          <w:p w14:paraId="16E4A6C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3104" w:type="dxa"/>
            <w:shd w:val="clear" w:color="auto" w:fill="auto"/>
            <w:vAlign w:val="center"/>
          </w:tcPr>
          <w:p w14:paraId="5CDE4F38">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一至三部分合计</w:t>
            </w:r>
          </w:p>
        </w:tc>
        <w:tc>
          <w:tcPr>
            <w:tcW w:w="1063" w:type="dxa"/>
            <w:shd w:val="clear" w:color="auto" w:fill="auto"/>
            <w:vAlign w:val="center"/>
          </w:tcPr>
          <w:p w14:paraId="57920304">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087" w:type="dxa"/>
            <w:shd w:val="clear" w:color="auto" w:fill="auto"/>
            <w:vAlign w:val="center"/>
          </w:tcPr>
          <w:p w14:paraId="178A8AF8">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164" w:type="dxa"/>
            <w:shd w:val="clear" w:color="auto" w:fill="auto"/>
            <w:vAlign w:val="center"/>
          </w:tcPr>
          <w:p w14:paraId="39020FC1">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603" w:type="dxa"/>
            <w:shd w:val="clear" w:color="auto" w:fill="auto"/>
            <w:vAlign w:val="center"/>
          </w:tcPr>
          <w:p w14:paraId="1F2339C7">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1.14</w:t>
            </w:r>
          </w:p>
        </w:tc>
      </w:tr>
      <w:tr w14:paraId="14F05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shd w:val="clear" w:color="auto" w:fill="auto"/>
            <w:vAlign w:val="center"/>
          </w:tcPr>
          <w:p w14:paraId="489AF540">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四</w:t>
            </w:r>
          </w:p>
        </w:tc>
        <w:tc>
          <w:tcPr>
            <w:tcW w:w="3104" w:type="dxa"/>
            <w:shd w:val="clear" w:color="auto" w:fill="auto"/>
            <w:vAlign w:val="center"/>
          </w:tcPr>
          <w:p w14:paraId="7BBF6A98">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第四部分独立费用</w:t>
            </w:r>
          </w:p>
        </w:tc>
        <w:tc>
          <w:tcPr>
            <w:tcW w:w="1063" w:type="dxa"/>
            <w:shd w:val="clear" w:color="auto" w:fill="auto"/>
            <w:vAlign w:val="center"/>
          </w:tcPr>
          <w:p w14:paraId="79693AF5">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5507BF0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2537D99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6AA3473A">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17.22</w:t>
            </w:r>
          </w:p>
        </w:tc>
      </w:tr>
      <w:tr w14:paraId="3A27E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shd w:val="clear" w:color="auto" w:fill="auto"/>
            <w:vAlign w:val="center"/>
          </w:tcPr>
          <w:p w14:paraId="649DCBF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1</w:t>
            </w:r>
          </w:p>
        </w:tc>
        <w:tc>
          <w:tcPr>
            <w:tcW w:w="3104" w:type="dxa"/>
            <w:shd w:val="clear" w:color="auto" w:fill="auto"/>
            <w:vAlign w:val="center"/>
          </w:tcPr>
          <w:p w14:paraId="14A7732B">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建设管理费</w:t>
            </w:r>
          </w:p>
        </w:tc>
        <w:tc>
          <w:tcPr>
            <w:tcW w:w="1063" w:type="dxa"/>
            <w:shd w:val="clear" w:color="auto" w:fill="auto"/>
            <w:vAlign w:val="center"/>
          </w:tcPr>
          <w:p w14:paraId="76F9EC52">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6CEBEC5D">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31D79F4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380530A5">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0.37</w:t>
            </w:r>
          </w:p>
        </w:tc>
      </w:tr>
      <w:tr w14:paraId="1191A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shd w:val="clear" w:color="auto" w:fill="auto"/>
            <w:vAlign w:val="center"/>
          </w:tcPr>
          <w:p w14:paraId="28E166F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w:t>
            </w:r>
          </w:p>
        </w:tc>
        <w:tc>
          <w:tcPr>
            <w:tcW w:w="3104" w:type="dxa"/>
            <w:shd w:val="clear" w:color="auto" w:fill="auto"/>
            <w:vAlign w:val="center"/>
          </w:tcPr>
          <w:p w14:paraId="6A37CEB8">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科研勘测设计费</w:t>
            </w:r>
          </w:p>
        </w:tc>
        <w:tc>
          <w:tcPr>
            <w:tcW w:w="1063" w:type="dxa"/>
            <w:shd w:val="clear" w:color="auto" w:fill="auto"/>
            <w:vAlign w:val="center"/>
          </w:tcPr>
          <w:p w14:paraId="7A02638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48B00C9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24E0476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4B1F79D4">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w:t>
            </w:r>
          </w:p>
        </w:tc>
      </w:tr>
      <w:tr w14:paraId="235B2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461" w:hRule="atLeast"/>
          <w:jc w:val="center"/>
        </w:trPr>
        <w:tc>
          <w:tcPr>
            <w:tcW w:w="640" w:type="dxa"/>
            <w:shd w:val="clear" w:color="auto" w:fill="auto"/>
            <w:vAlign w:val="center"/>
          </w:tcPr>
          <w:p w14:paraId="1B54AE0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3</w:t>
            </w:r>
          </w:p>
        </w:tc>
        <w:tc>
          <w:tcPr>
            <w:tcW w:w="3104" w:type="dxa"/>
            <w:shd w:val="clear" w:color="auto" w:fill="auto"/>
            <w:vAlign w:val="center"/>
          </w:tcPr>
          <w:p w14:paraId="1AA57EFD">
            <w:pPr>
              <w:widowControl/>
              <w:adjustRightInd/>
              <w:snapToGrid/>
              <w:spacing w:line="240" w:lineRule="auto"/>
              <w:ind w:firstLine="0" w:firstLineChars="0"/>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水保设施竣工验收编制费报告编制费</w:t>
            </w:r>
          </w:p>
        </w:tc>
        <w:tc>
          <w:tcPr>
            <w:tcW w:w="1063" w:type="dxa"/>
            <w:shd w:val="clear" w:color="auto" w:fill="auto"/>
            <w:vAlign w:val="center"/>
          </w:tcPr>
          <w:p w14:paraId="5A05831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208287EF">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4AA5A45B">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4F9F0A4E">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w:t>
            </w:r>
          </w:p>
        </w:tc>
      </w:tr>
      <w:tr w14:paraId="315F3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shd w:val="clear" w:color="auto" w:fill="auto"/>
            <w:vAlign w:val="center"/>
          </w:tcPr>
          <w:p w14:paraId="50443B5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3104" w:type="dxa"/>
            <w:shd w:val="clear" w:color="auto" w:fill="auto"/>
            <w:vAlign w:val="center"/>
          </w:tcPr>
          <w:p w14:paraId="64A65518">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一至四部分合计</w:t>
            </w:r>
          </w:p>
        </w:tc>
        <w:tc>
          <w:tcPr>
            <w:tcW w:w="1063" w:type="dxa"/>
            <w:shd w:val="clear" w:color="auto" w:fill="auto"/>
            <w:vAlign w:val="center"/>
          </w:tcPr>
          <w:p w14:paraId="5C1B72A7">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087" w:type="dxa"/>
            <w:shd w:val="clear" w:color="auto" w:fill="auto"/>
            <w:vAlign w:val="center"/>
          </w:tcPr>
          <w:p w14:paraId="240A50F4">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164" w:type="dxa"/>
            <w:shd w:val="clear" w:color="auto" w:fill="auto"/>
            <w:vAlign w:val="center"/>
          </w:tcPr>
          <w:p w14:paraId="3AD063C7">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eastAsia="等线" w:cs="Times New Roman"/>
                <w:b/>
                <w:bCs/>
                <w:color w:val="000000" w:themeColor="text1"/>
                <w:kern w:val="0"/>
                <w:sz w:val="18"/>
                <w:szCs w:val="18"/>
                <w14:textFill>
                  <w14:solidFill>
                    <w14:schemeClr w14:val="tx1"/>
                  </w14:solidFill>
                </w14:textFill>
              </w:rPr>
              <w:t>　</w:t>
            </w:r>
          </w:p>
        </w:tc>
        <w:tc>
          <w:tcPr>
            <w:tcW w:w="1603" w:type="dxa"/>
            <w:shd w:val="clear" w:color="auto" w:fill="auto"/>
            <w:vAlign w:val="center"/>
          </w:tcPr>
          <w:p w14:paraId="6790998A">
            <w:pPr>
              <w:widowControl/>
              <w:ind w:firstLine="0" w:firstLineChars="0"/>
              <w:jc w:val="center"/>
              <w:textAlignment w:val="center"/>
              <w:rPr>
                <w:rFonts w:hint="default" w:eastAsia="等线"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kern w:val="0"/>
                <w:sz w:val="18"/>
                <w:szCs w:val="18"/>
                <w:lang w:val="en-US" w:eastAsia="zh-CN" w:bidi="ar"/>
              </w:rPr>
              <w:t>10.51</w:t>
            </w:r>
          </w:p>
        </w:tc>
      </w:tr>
      <w:tr w14:paraId="40052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shd w:val="clear" w:color="auto" w:fill="auto"/>
            <w:vAlign w:val="center"/>
          </w:tcPr>
          <w:p w14:paraId="2BFDCA91">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五</w:t>
            </w:r>
          </w:p>
        </w:tc>
        <w:tc>
          <w:tcPr>
            <w:tcW w:w="3104" w:type="dxa"/>
            <w:shd w:val="clear" w:color="auto" w:fill="auto"/>
            <w:vAlign w:val="center"/>
          </w:tcPr>
          <w:p w14:paraId="4250E14F">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第五部分基本预备费</w:t>
            </w:r>
          </w:p>
        </w:tc>
        <w:tc>
          <w:tcPr>
            <w:tcW w:w="1063" w:type="dxa"/>
            <w:shd w:val="clear" w:color="auto" w:fill="auto"/>
            <w:vAlign w:val="center"/>
          </w:tcPr>
          <w:p w14:paraId="33E07C3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460A7F75">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1BC882C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764E9709">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1.84</w:t>
            </w:r>
          </w:p>
        </w:tc>
      </w:tr>
      <w:tr w14:paraId="5ADF4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shd w:val="clear" w:color="auto" w:fill="auto"/>
            <w:vAlign w:val="center"/>
          </w:tcPr>
          <w:p w14:paraId="20A9EF81">
            <w:pPr>
              <w:widowControl/>
              <w:adjustRightInd/>
              <w:snapToGrid/>
              <w:spacing w:line="240" w:lineRule="auto"/>
              <w:ind w:firstLine="0" w:firstLineChars="0"/>
              <w:jc w:val="center"/>
              <w:rPr>
                <w:rFonts w:hint="eastAsia" w:ascii="宋体" w:hAnsi="宋体" w:eastAsia="宋体" w:cs="宋体"/>
                <w:b/>
                <w:bCs/>
                <w:color w:val="000000" w:themeColor="text1"/>
                <w:kern w:val="0"/>
                <w:sz w:val="18"/>
                <w:szCs w:val="18"/>
                <w14:textFill>
                  <w14:solidFill>
                    <w14:schemeClr w14:val="tx1"/>
                  </w14:solidFill>
                </w14:textFill>
              </w:rPr>
            </w:pPr>
            <w:r>
              <w:rPr>
                <w:rFonts w:hint="eastAsia" w:ascii="宋体" w:hAnsi="宋体" w:eastAsia="宋体" w:cs="宋体"/>
                <w:b/>
                <w:bCs/>
                <w:color w:val="000000" w:themeColor="text1"/>
                <w:kern w:val="0"/>
                <w:sz w:val="18"/>
                <w:szCs w:val="18"/>
                <w14:textFill>
                  <w14:solidFill>
                    <w14:schemeClr w14:val="tx1"/>
                  </w14:solidFill>
                </w14:textFill>
              </w:rPr>
              <w:t>六</w:t>
            </w:r>
          </w:p>
        </w:tc>
        <w:tc>
          <w:tcPr>
            <w:tcW w:w="3104" w:type="dxa"/>
            <w:shd w:val="clear" w:color="auto" w:fill="auto"/>
            <w:vAlign w:val="center"/>
          </w:tcPr>
          <w:p w14:paraId="3255D8DE">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第六部份：水土保持补偿费</w:t>
            </w:r>
          </w:p>
        </w:tc>
        <w:tc>
          <w:tcPr>
            <w:tcW w:w="1063" w:type="dxa"/>
            <w:shd w:val="clear" w:color="auto" w:fill="auto"/>
            <w:vAlign w:val="center"/>
          </w:tcPr>
          <w:p w14:paraId="226D8E8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shd w:val="clear" w:color="auto" w:fill="auto"/>
            <w:vAlign w:val="center"/>
          </w:tcPr>
          <w:p w14:paraId="600258C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shd w:val="clear" w:color="auto" w:fill="auto"/>
            <w:vAlign w:val="center"/>
          </w:tcPr>
          <w:p w14:paraId="5515259B">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shd w:val="clear" w:color="auto" w:fill="auto"/>
            <w:vAlign w:val="center"/>
          </w:tcPr>
          <w:p w14:paraId="27509E8D">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1.24</w:t>
            </w:r>
          </w:p>
        </w:tc>
      </w:tr>
      <w:tr w14:paraId="3F40D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86" w:hRule="atLeast"/>
          <w:jc w:val="center"/>
        </w:trPr>
        <w:tc>
          <w:tcPr>
            <w:tcW w:w="640" w:type="dxa"/>
            <w:vMerge w:val="restart"/>
            <w:shd w:val="clear" w:color="auto" w:fill="auto"/>
            <w:vAlign w:val="center"/>
          </w:tcPr>
          <w:p w14:paraId="42F25EA5">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3104" w:type="dxa"/>
            <w:vMerge w:val="restart"/>
            <w:shd w:val="clear" w:color="auto" w:fill="auto"/>
            <w:vAlign w:val="center"/>
          </w:tcPr>
          <w:p w14:paraId="6725BA14">
            <w:pPr>
              <w:widowControl/>
              <w:adjustRightInd/>
              <w:snapToGrid/>
              <w:spacing w:line="240" w:lineRule="auto"/>
              <w:ind w:firstLine="0" w:firstLineChars="0"/>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方案新增水土保持措施总投资</w:t>
            </w:r>
          </w:p>
        </w:tc>
        <w:tc>
          <w:tcPr>
            <w:tcW w:w="1063" w:type="dxa"/>
            <w:vMerge w:val="restart"/>
            <w:shd w:val="clear" w:color="auto" w:fill="auto"/>
            <w:vAlign w:val="center"/>
          </w:tcPr>
          <w:p w14:paraId="2D607ED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087" w:type="dxa"/>
            <w:vMerge w:val="restart"/>
            <w:shd w:val="clear" w:color="auto" w:fill="auto"/>
            <w:vAlign w:val="center"/>
          </w:tcPr>
          <w:p w14:paraId="69EDBA7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164" w:type="dxa"/>
            <w:vMerge w:val="restart"/>
            <w:shd w:val="clear" w:color="auto" w:fill="auto"/>
            <w:vAlign w:val="center"/>
          </w:tcPr>
          <w:p w14:paraId="60175D5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1603" w:type="dxa"/>
            <w:vMerge w:val="restart"/>
            <w:shd w:val="clear" w:color="auto" w:fill="auto"/>
            <w:vAlign w:val="center"/>
          </w:tcPr>
          <w:p w14:paraId="7B63D074">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13.59</w:t>
            </w:r>
          </w:p>
        </w:tc>
      </w:tr>
      <w:tr w14:paraId="483B6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299" w:hRule="atLeast"/>
          <w:jc w:val="center"/>
        </w:trPr>
        <w:tc>
          <w:tcPr>
            <w:tcW w:w="640" w:type="dxa"/>
            <w:vMerge w:val="continue"/>
            <w:vAlign w:val="center"/>
          </w:tcPr>
          <w:p w14:paraId="36AFAD8C">
            <w:pPr>
              <w:widowControl/>
              <w:adjustRightInd/>
              <w:snapToGrid/>
              <w:spacing w:line="240" w:lineRule="auto"/>
              <w:ind w:firstLine="0" w:firstLineChars="0"/>
              <w:jc w:val="left"/>
              <w:rPr>
                <w:rFonts w:eastAsia="等线" w:cs="Times New Roman"/>
                <w:color w:val="000000" w:themeColor="text1"/>
                <w:kern w:val="0"/>
                <w:sz w:val="18"/>
                <w:szCs w:val="18"/>
                <w:highlight w:val="yellow"/>
                <w14:textFill>
                  <w14:solidFill>
                    <w14:schemeClr w14:val="tx1"/>
                  </w14:solidFill>
                </w14:textFill>
              </w:rPr>
            </w:pPr>
          </w:p>
        </w:tc>
        <w:tc>
          <w:tcPr>
            <w:tcW w:w="3104" w:type="dxa"/>
            <w:vMerge w:val="continue"/>
            <w:vAlign w:val="center"/>
          </w:tcPr>
          <w:p w14:paraId="0CA19640">
            <w:pPr>
              <w:widowControl/>
              <w:adjustRightInd/>
              <w:snapToGrid/>
              <w:spacing w:line="240" w:lineRule="auto"/>
              <w:ind w:firstLine="0" w:firstLineChars="0"/>
              <w:jc w:val="left"/>
              <w:rPr>
                <w:rFonts w:hint="eastAsia" w:ascii="仿宋_GB2312" w:hAnsi="等线" w:cs="宋体"/>
                <w:b/>
                <w:bCs/>
                <w:color w:val="000000" w:themeColor="text1"/>
                <w:kern w:val="0"/>
                <w:sz w:val="18"/>
                <w:szCs w:val="18"/>
                <w:highlight w:val="yellow"/>
                <w14:textFill>
                  <w14:solidFill>
                    <w14:schemeClr w14:val="tx1"/>
                  </w14:solidFill>
                </w14:textFill>
              </w:rPr>
            </w:pPr>
          </w:p>
        </w:tc>
        <w:tc>
          <w:tcPr>
            <w:tcW w:w="1063" w:type="dxa"/>
            <w:vMerge w:val="continue"/>
            <w:vAlign w:val="center"/>
          </w:tcPr>
          <w:p w14:paraId="2E0DC62E">
            <w:pPr>
              <w:widowControl/>
              <w:adjustRightInd/>
              <w:snapToGrid/>
              <w:spacing w:line="240" w:lineRule="auto"/>
              <w:ind w:firstLine="0" w:firstLineChars="0"/>
              <w:jc w:val="left"/>
              <w:rPr>
                <w:rFonts w:eastAsia="等线" w:cs="Times New Roman"/>
                <w:color w:val="000000" w:themeColor="text1"/>
                <w:kern w:val="0"/>
                <w:sz w:val="18"/>
                <w:szCs w:val="18"/>
                <w:highlight w:val="yellow"/>
                <w14:textFill>
                  <w14:solidFill>
                    <w14:schemeClr w14:val="tx1"/>
                  </w14:solidFill>
                </w14:textFill>
              </w:rPr>
            </w:pPr>
          </w:p>
        </w:tc>
        <w:tc>
          <w:tcPr>
            <w:tcW w:w="1087" w:type="dxa"/>
            <w:vMerge w:val="continue"/>
            <w:vAlign w:val="center"/>
          </w:tcPr>
          <w:p w14:paraId="61789DA3">
            <w:pPr>
              <w:widowControl/>
              <w:adjustRightInd/>
              <w:snapToGrid/>
              <w:spacing w:line="240" w:lineRule="auto"/>
              <w:ind w:firstLine="0" w:firstLineChars="0"/>
              <w:jc w:val="left"/>
              <w:rPr>
                <w:rFonts w:eastAsia="等线" w:cs="Times New Roman"/>
                <w:color w:val="000000" w:themeColor="text1"/>
                <w:kern w:val="0"/>
                <w:sz w:val="18"/>
                <w:szCs w:val="18"/>
                <w:highlight w:val="yellow"/>
                <w14:textFill>
                  <w14:solidFill>
                    <w14:schemeClr w14:val="tx1"/>
                  </w14:solidFill>
                </w14:textFill>
              </w:rPr>
            </w:pPr>
          </w:p>
        </w:tc>
        <w:tc>
          <w:tcPr>
            <w:tcW w:w="1164" w:type="dxa"/>
            <w:vMerge w:val="continue"/>
            <w:vAlign w:val="center"/>
          </w:tcPr>
          <w:p w14:paraId="6B4468A1">
            <w:pPr>
              <w:widowControl/>
              <w:adjustRightInd/>
              <w:snapToGrid/>
              <w:spacing w:line="240" w:lineRule="auto"/>
              <w:ind w:firstLine="0" w:firstLineChars="0"/>
              <w:jc w:val="left"/>
              <w:rPr>
                <w:rFonts w:eastAsia="等线" w:cs="Times New Roman"/>
                <w:color w:val="000000" w:themeColor="text1"/>
                <w:kern w:val="0"/>
                <w:sz w:val="18"/>
                <w:szCs w:val="18"/>
                <w:highlight w:val="yellow"/>
                <w14:textFill>
                  <w14:solidFill>
                    <w14:schemeClr w14:val="tx1"/>
                  </w14:solidFill>
                </w14:textFill>
              </w:rPr>
            </w:pPr>
          </w:p>
        </w:tc>
        <w:tc>
          <w:tcPr>
            <w:tcW w:w="1603" w:type="dxa"/>
            <w:vMerge w:val="continue"/>
            <w:vAlign w:val="center"/>
          </w:tcPr>
          <w:p w14:paraId="3A6ED057">
            <w:pPr>
              <w:widowControl/>
              <w:adjustRightInd/>
              <w:snapToGrid/>
              <w:spacing w:line="240" w:lineRule="auto"/>
              <w:ind w:firstLine="0" w:firstLineChars="0"/>
              <w:jc w:val="left"/>
              <w:rPr>
                <w:rFonts w:eastAsia="等线" w:cs="Times New Roman"/>
                <w:b/>
                <w:bCs/>
                <w:color w:val="000000" w:themeColor="text1"/>
                <w:kern w:val="0"/>
                <w:sz w:val="18"/>
                <w:szCs w:val="18"/>
                <w:highlight w:val="yellow"/>
                <w14:textFill>
                  <w14:solidFill>
                    <w14:schemeClr w14:val="tx1"/>
                  </w14:solidFill>
                </w14:textFill>
              </w:rPr>
            </w:pPr>
          </w:p>
        </w:tc>
      </w:tr>
    </w:tbl>
    <w:p w14:paraId="2A643E20">
      <w:pPr>
        <w:pStyle w:val="33"/>
        <w:keepNext/>
        <w:keepLines w:val="0"/>
        <w:pageBreakBefore w:val="0"/>
        <w:widowControl w:val="0"/>
        <w:kinsoku/>
        <w:wordWrap/>
        <w:overflowPunct/>
        <w:topLinePunct w:val="0"/>
        <w:autoSpaceDE/>
        <w:autoSpaceDN/>
        <w:bidi w:val="0"/>
        <w:adjustRightInd w:val="0"/>
        <w:snapToGrid w:val="0"/>
        <w:spacing w:before="157" w:beforeLines="50"/>
        <w:ind w:firstLine="843" w:firstLineChars="400"/>
        <w:jc w:val="center"/>
        <w:textAlignment w:val="auto"/>
        <w:rPr>
          <w:color w:val="000000" w:themeColor="text1"/>
          <w14:textFill>
            <w14:solidFill>
              <w14:schemeClr w14:val="tx1"/>
            </w14:solidFill>
          </w14:textFill>
        </w:rPr>
      </w:pPr>
      <w:r>
        <w:rPr>
          <w:rFonts w:hint="eastAsia"/>
          <w:color w:val="000000" w:themeColor="text1"/>
          <w14:textFill>
            <w14:solidFill>
              <w14:schemeClr w14:val="tx1"/>
            </w14:solidFill>
          </w14:textFill>
        </w:rPr>
        <w:t>表7.1-</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 xml:space="preserve">            水土保持措施分年度投资表             单位：万元</w:t>
      </w:r>
    </w:p>
    <w:tbl>
      <w:tblPr>
        <w:tblStyle w:val="26"/>
        <w:tblW w:w="74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9"/>
        <w:gridCol w:w="2588"/>
        <w:gridCol w:w="1197"/>
        <w:gridCol w:w="1228"/>
        <w:gridCol w:w="1228"/>
      </w:tblGrid>
      <w:tr w14:paraId="3ED91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9" w:type="dxa"/>
            <w:vMerge w:val="restart"/>
            <w:shd w:val="clear" w:color="auto" w:fill="auto"/>
            <w:vAlign w:val="center"/>
          </w:tcPr>
          <w:p w14:paraId="62B010F0">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序号</w:t>
            </w:r>
          </w:p>
        </w:tc>
        <w:tc>
          <w:tcPr>
            <w:tcW w:w="2588" w:type="dxa"/>
            <w:vMerge w:val="restart"/>
            <w:shd w:val="clear" w:color="auto" w:fill="auto"/>
            <w:vAlign w:val="center"/>
          </w:tcPr>
          <w:p w14:paraId="1786B3B0">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工程或费用名称</w:t>
            </w:r>
          </w:p>
        </w:tc>
        <w:tc>
          <w:tcPr>
            <w:tcW w:w="1197" w:type="dxa"/>
            <w:vMerge w:val="restart"/>
            <w:shd w:val="clear" w:color="auto" w:fill="auto"/>
            <w:vAlign w:val="center"/>
          </w:tcPr>
          <w:p w14:paraId="25A81B04">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合计</w:t>
            </w:r>
          </w:p>
        </w:tc>
        <w:tc>
          <w:tcPr>
            <w:tcW w:w="1228" w:type="dxa"/>
            <w:vMerge w:val="restart"/>
            <w:shd w:val="clear" w:color="auto" w:fill="auto"/>
            <w:noWrap/>
            <w:vAlign w:val="center"/>
          </w:tcPr>
          <w:p w14:paraId="3D212525">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2023</w:t>
            </w:r>
          </w:p>
        </w:tc>
        <w:tc>
          <w:tcPr>
            <w:tcW w:w="1228" w:type="dxa"/>
            <w:vMerge w:val="restart"/>
            <w:shd w:val="clear" w:color="auto" w:fill="auto"/>
            <w:noWrap/>
            <w:vAlign w:val="center"/>
          </w:tcPr>
          <w:p w14:paraId="3B9ADB3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2024</w:t>
            </w:r>
          </w:p>
        </w:tc>
      </w:tr>
      <w:tr w14:paraId="0BCE8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179" w:type="dxa"/>
            <w:vMerge w:val="continue"/>
            <w:vAlign w:val="center"/>
          </w:tcPr>
          <w:p w14:paraId="28794031">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2588" w:type="dxa"/>
            <w:vMerge w:val="continue"/>
            <w:vAlign w:val="center"/>
          </w:tcPr>
          <w:p w14:paraId="4EA05863">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197" w:type="dxa"/>
            <w:vMerge w:val="continue"/>
            <w:vAlign w:val="center"/>
          </w:tcPr>
          <w:p w14:paraId="786BBDD4">
            <w:pPr>
              <w:widowControl/>
              <w:adjustRightInd/>
              <w:snapToGrid/>
              <w:spacing w:line="240" w:lineRule="auto"/>
              <w:ind w:firstLine="0" w:firstLineChars="0"/>
              <w:jc w:val="left"/>
              <w:rPr>
                <w:rFonts w:hint="eastAsia" w:ascii="仿宋_GB2312" w:hAnsi="等线" w:cs="宋体"/>
                <w:color w:val="000000" w:themeColor="text1"/>
                <w:kern w:val="0"/>
                <w:sz w:val="18"/>
                <w:szCs w:val="18"/>
                <w14:textFill>
                  <w14:solidFill>
                    <w14:schemeClr w14:val="tx1"/>
                  </w14:solidFill>
                </w14:textFill>
              </w:rPr>
            </w:pPr>
          </w:p>
        </w:tc>
        <w:tc>
          <w:tcPr>
            <w:tcW w:w="1228" w:type="dxa"/>
            <w:vMerge w:val="continue"/>
            <w:vAlign w:val="center"/>
          </w:tcPr>
          <w:p w14:paraId="585E757C">
            <w:pPr>
              <w:widowControl/>
              <w:adjustRightInd/>
              <w:snapToGrid/>
              <w:spacing w:line="240" w:lineRule="auto"/>
              <w:ind w:firstLine="0" w:firstLineChars="0"/>
              <w:jc w:val="left"/>
              <w:rPr>
                <w:rFonts w:eastAsia="等线" w:cs="Times New Roman"/>
                <w:color w:val="000000" w:themeColor="text1"/>
                <w:kern w:val="0"/>
                <w:sz w:val="18"/>
                <w:szCs w:val="18"/>
                <w14:textFill>
                  <w14:solidFill>
                    <w14:schemeClr w14:val="tx1"/>
                  </w14:solidFill>
                </w14:textFill>
              </w:rPr>
            </w:pPr>
          </w:p>
        </w:tc>
        <w:tc>
          <w:tcPr>
            <w:tcW w:w="1228" w:type="dxa"/>
            <w:vMerge w:val="continue"/>
            <w:vAlign w:val="center"/>
          </w:tcPr>
          <w:p w14:paraId="3ACDFF79">
            <w:pPr>
              <w:widowControl/>
              <w:adjustRightInd/>
              <w:snapToGrid/>
              <w:spacing w:line="240" w:lineRule="auto"/>
              <w:ind w:firstLine="0" w:firstLineChars="0"/>
              <w:jc w:val="left"/>
              <w:rPr>
                <w:rFonts w:eastAsia="等线" w:cs="Times New Roman"/>
                <w:color w:val="000000" w:themeColor="text1"/>
                <w:kern w:val="0"/>
                <w:sz w:val="18"/>
                <w:szCs w:val="18"/>
                <w14:textFill>
                  <w14:solidFill>
                    <w14:schemeClr w14:val="tx1"/>
                  </w14:solidFill>
                </w14:textFill>
              </w:rPr>
            </w:pPr>
          </w:p>
        </w:tc>
      </w:tr>
      <w:tr w14:paraId="03186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0E33865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2588" w:type="dxa"/>
            <w:shd w:val="clear" w:color="auto" w:fill="auto"/>
            <w:vAlign w:val="center"/>
          </w:tcPr>
          <w:p w14:paraId="69B66D35">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第一部分</w:t>
            </w:r>
            <w:r>
              <w:rPr>
                <w:rFonts w:cs="Times New Roman"/>
                <w:b/>
                <w:bCs/>
                <w:color w:val="000000" w:themeColor="text1"/>
                <w:kern w:val="0"/>
                <w:sz w:val="18"/>
                <w:szCs w:val="18"/>
                <w14:textFill>
                  <w14:solidFill>
                    <w14:schemeClr w14:val="tx1"/>
                  </w14:solidFill>
                </w14:textFill>
              </w:rPr>
              <w:t xml:space="preserve"> </w:t>
            </w:r>
            <w:r>
              <w:rPr>
                <w:rFonts w:hint="eastAsia" w:ascii="仿宋_GB2312" w:hAnsi="等线" w:cs="宋体"/>
                <w:b/>
                <w:bCs/>
                <w:color w:val="000000" w:themeColor="text1"/>
                <w:kern w:val="0"/>
                <w:sz w:val="18"/>
                <w:szCs w:val="18"/>
                <w14:textFill>
                  <w14:solidFill>
                    <w14:schemeClr w14:val="tx1"/>
                  </w14:solidFill>
                </w14:textFill>
              </w:rPr>
              <w:t>工程措施</w:t>
            </w:r>
          </w:p>
        </w:tc>
        <w:tc>
          <w:tcPr>
            <w:tcW w:w="1197" w:type="dxa"/>
            <w:shd w:val="clear" w:color="auto" w:fill="auto"/>
            <w:vAlign w:val="center"/>
          </w:tcPr>
          <w:p w14:paraId="168878C7">
            <w:pPr>
              <w:widowControl/>
              <w:adjustRightInd/>
              <w:snapToGrid/>
              <w:spacing w:line="240" w:lineRule="auto"/>
              <w:ind w:firstLine="0" w:firstLineChars="0"/>
              <w:jc w:val="center"/>
              <w:rPr>
                <w:rFonts w:hint="eastAsia" w:eastAsia="等线" w:cs="Times New Roman"/>
                <w:b/>
                <w:bCs/>
                <w:color w:val="000000" w:themeColor="text1"/>
                <w:kern w:val="0"/>
                <w:sz w:val="18"/>
                <w:szCs w:val="18"/>
                <w:lang w:eastAsia="zh-CN"/>
                <w14:textFill>
                  <w14:solidFill>
                    <w14:schemeClr w14:val="tx1"/>
                  </w14:solidFill>
                </w14:textFill>
              </w:rPr>
            </w:pPr>
            <w:r>
              <w:rPr>
                <w:rFonts w:hint="eastAsia" w:eastAsia="等线" w:cs="Times New Roman"/>
                <w:b/>
                <w:bCs/>
                <w:color w:val="000000" w:themeColor="text1"/>
                <w:kern w:val="0"/>
                <w:sz w:val="18"/>
                <w:szCs w:val="18"/>
                <w:lang w:eastAsia="zh-CN"/>
                <w14:textFill>
                  <w14:solidFill>
                    <w14:schemeClr w14:val="tx1"/>
                  </w14:solidFill>
                </w14:textFill>
              </w:rPr>
              <w:t>23.33</w:t>
            </w:r>
          </w:p>
        </w:tc>
        <w:tc>
          <w:tcPr>
            <w:tcW w:w="1228" w:type="dxa"/>
            <w:shd w:val="clear" w:color="auto" w:fill="auto"/>
            <w:vAlign w:val="center"/>
          </w:tcPr>
          <w:p w14:paraId="0C8E1AB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228" w:type="dxa"/>
            <w:shd w:val="clear" w:color="auto" w:fill="auto"/>
            <w:vAlign w:val="center"/>
          </w:tcPr>
          <w:p w14:paraId="42A3058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r>
      <w:tr w14:paraId="7EAA2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179" w:type="dxa"/>
            <w:shd w:val="clear" w:color="auto" w:fill="auto"/>
            <w:vAlign w:val="center"/>
          </w:tcPr>
          <w:p w14:paraId="5A5BE022">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(一)</w:t>
            </w:r>
          </w:p>
        </w:tc>
        <w:tc>
          <w:tcPr>
            <w:tcW w:w="2588" w:type="dxa"/>
            <w:shd w:val="clear" w:color="auto" w:fill="auto"/>
            <w:vAlign w:val="center"/>
          </w:tcPr>
          <w:p w14:paraId="11B26168">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场内道路及硬化工程区</w:t>
            </w:r>
          </w:p>
        </w:tc>
        <w:tc>
          <w:tcPr>
            <w:tcW w:w="1197" w:type="dxa"/>
            <w:shd w:val="clear" w:color="auto" w:fill="auto"/>
            <w:vAlign w:val="center"/>
          </w:tcPr>
          <w:p w14:paraId="034F903A">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21.87</w:t>
            </w:r>
          </w:p>
        </w:tc>
        <w:tc>
          <w:tcPr>
            <w:tcW w:w="1228" w:type="dxa"/>
            <w:shd w:val="clear" w:color="auto" w:fill="auto"/>
            <w:vAlign w:val="center"/>
          </w:tcPr>
          <w:p w14:paraId="1E5CB27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228" w:type="dxa"/>
            <w:shd w:val="clear" w:color="auto" w:fill="auto"/>
            <w:vAlign w:val="center"/>
          </w:tcPr>
          <w:p w14:paraId="6536B427">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21.87</w:t>
            </w:r>
          </w:p>
        </w:tc>
      </w:tr>
      <w:tr w14:paraId="6DB49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6187D4F4">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(二)</w:t>
            </w:r>
          </w:p>
        </w:tc>
        <w:tc>
          <w:tcPr>
            <w:tcW w:w="2588" w:type="dxa"/>
            <w:shd w:val="clear" w:color="auto" w:fill="auto"/>
            <w:vAlign w:val="center"/>
          </w:tcPr>
          <w:p w14:paraId="3301772C">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景观绿化工程区</w:t>
            </w:r>
          </w:p>
        </w:tc>
        <w:tc>
          <w:tcPr>
            <w:tcW w:w="1197" w:type="dxa"/>
            <w:shd w:val="clear" w:color="auto" w:fill="auto"/>
            <w:vAlign w:val="center"/>
          </w:tcPr>
          <w:p w14:paraId="5A45A75A">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0.02</w:t>
            </w:r>
          </w:p>
        </w:tc>
        <w:tc>
          <w:tcPr>
            <w:tcW w:w="1228" w:type="dxa"/>
            <w:shd w:val="clear" w:color="auto" w:fill="auto"/>
            <w:vAlign w:val="center"/>
          </w:tcPr>
          <w:p w14:paraId="3D3215C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228" w:type="dxa"/>
            <w:shd w:val="clear" w:color="auto" w:fill="auto"/>
            <w:vAlign w:val="center"/>
          </w:tcPr>
          <w:p w14:paraId="4579D386">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0.02</w:t>
            </w:r>
          </w:p>
        </w:tc>
      </w:tr>
      <w:tr w14:paraId="7CB46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43C1E20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2588" w:type="dxa"/>
            <w:shd w:val="clear" w:color="auto" w:fill="auto"/>
            <w:vAlign w:val="center"/>
          </w:tcPr>
          <w:p w14:paraId="0008D454">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第二部分</w:t>
            </w:r>
            <w:r>
              <w:rPr>
                <w:rFonts w:cs="Times New Roman"/>
                <w:b/>
                <w:bCs/>
                <w:color w:val="000000" w:themeColor="text1"/>
                <w:kern w:val="0"/>
                <w:sz w:val="18"/>
                <w:szCs w:val="18"/>
                <w14:textFill>
                  <w14:solidFill>
                    <w14:schemeClr w14:val="tx1"/>
                  </w14:solidFill>
                </w14:textFill>
              </w:rPr>
              <w:t xml:space="preserve"> </w:t>
            </w:r>
            <w:r>
              <w:rPr>
                <w:rFonts w:hint="eastAsia" w:ascii="仿宋_GB2312" w:hAnsi="等线" w:cs="宋体"/>
                <w:b/>
                <w:bCs/>
                <w:color w:val="000000" w:themeColor="text1"/>
                <w:kern w:val="0"/>
                <w:sz w:val="18"/>
                <w:szCs w:val="18"/>
                <w14:textFill>
                  <w14:solidFill>
                    <w14:schemeClr w14:val="tx1"/>
                  </w14:solidFill>
                </w14:textFill>
              </w:rPr>
              <w:t>植物措施</w:t>
            </w:r>
          </w:p>
        </w:tc>
        <w:tc>
          <w:tcPr>
            <w:tcW w:w="1197" w:type="dxa"/>
            <w:shd w:val="clear" w:color="auto" w:fill="auto"/>
            <w:vAlign w:val="center"/>
          </w:tcPr>
          <w:p w14:paraId="6DC64D51">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49.49</w:t>
            </w:r>
          </w:p>
        </w:tc>
        <w:tc>
          <w:tcPr>
            <w:tcW w:w="1228" w:type="dxa"/>
            <w:shd w:val="clear" w:color="auto" w:fill="auto"/>
            <w:vAlign w:val="center"/>
          </w:tcPr>
          <w:p w14:paraId="6B90FC1C">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228" w:type="dxa"/>
            <w:shd w:val="clear" w:color="auto" w:fill="auto"/>
            <w:vAlign w:val="center"/>
          </w:tcPr>
          <w:p w14:paraId="3424A400">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r>
      <w:tr w14:paraId="5A7C1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300C2C9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(一)</w:t>
            </w:r>
          </w:p>
        </w:tc>
        <w:tc>
          <w:tcPr>
            <w:tcW w:w="2588" w:type="dxa"/>
            <w:shd w:val="clear" w:color="auto" w:fill="auto"/>
            <w:vAlign w:val="center"/>
          </w:tcPr>
          <w:p w14:paraId="5E181624">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景观绿化工程区</w:t>
            </w:r>
          </w:p>
        </w:tc>
        <w:tc>
          <w:tcPr>
            <w:tcW w:w="1197" w:type="dxa"/>
            <w:shd w:val="clear" w:color="auto" w:fill="auto"/>
            <w:vAlign w:val="center"/>
          </w:tcPr>
          <w:p w14:paraId="5D16492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49.49</w:t>
            </w:r>
          </w:p>
        </w:tc>
        <w:tc>
          <w:tcPr>
            <w:tcW w:w="1228" w:type="dxa"/>
            <w:shd w:val="clear" w:color="auto" w:fill="auto"/>
            <w:vAlign w:val="center"/>
          </w:tcPr>
          <w:p w14:paraId="3B005FF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228" w:type="dxa"/>
            <w:shd w:val="clear" w:color="auto" w:fill="auto"/>
            <w:vAlign w:val="center"/>
          </w:tcPr>
          <w:p w14:paraId="186E4C91">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49.49</w:t>
            </w:r>
          </w:p>
        </w:tc>
      </w:tr>
      <w:tr w14:paraId="4C71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6547B8B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2588" w:type="dxa"/>
            <w:shd w:val="clear" w:color="auto" w:fill="auto"/>
            <w:vAlign w:val="center"/>
          </w:tcPr>
          <w:p w14:paraId="0B858851">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第三部分</w:t>
            </w:r>
            <w:r>
              <w:rPr>
                <w:rFonts w:cs="Times New Roman"/>
                <w:b/>
                <w:bCs/>
                <w:color w:val="000000" w:themeColor="text1"/>
                <w:kern w:val="0"/>
                <w:sz w:val="18"/>
                <w:szCs w:val="18"/>
                <w14:textFill>
                  <w14:solidFill>
                    <w14:schemeClr w14:val="tx1"/>
                  </w14:solidFill>
                </w14:textFill>
              </w:rPr>
              <w:t xml:space="preserve"> </w:t>
            </w:r>
            <w:r>
              <w:rPr>
                <w:rFonts w:hint="eastAsia" w:ascii="仿宋_GB2312" w:hAnsi="等线" w:cs="宋体"/>
                <w:b/>
                <w:bCs/>
                <w:color w:val="000000" w:themeColor="text1"/>
                <w:kern w:val="0"/>
                <w:sz w:val="18"/>
                <w:szCs w:val="18"/>
                <w14:textFill>
                  <w14:solidFill>
                    <w14:schemeClr w14:val="tx1"/>
                  </w14:solidFill>
                </w14:textFill>
              </w:rPr>
              <w:t>临时措施</w:t>
            </w:r>
          </w:p>
        </w:tc>
        <w:tc>
          <w:tcPr>
            <w:tcW w:w="1197" w:type="dxa"/>
            <w:shd w:val="clear" w:color="auto" w:fill="auto"/>
            <w:vAlign w:val="center"/>
          </w:tcPr>
          <w:p w14:paraId="1CCB4460">
            <w:pPr>
              <w:widowControl/>
              <w:adjustRightInd/>
              <w:snapToGrid/>
              <w:spacing w:line="240" w:lineRule="auto"/>
              <w:ind w:firstLine="0" w:firstLineChars="0"/>
              <w:jc w:val="center"/>
              <w:rPr>
                <w:rFonts w:eastAsia="等线" w:cs="Times New Roman"/>
                <w:b/>
                <w:bCs/>
                <w:color w:val="000000" w:themeColor="text1"/>
                <w:kern w:val="0"/>
                <w:sz w:val="18"/>
                <w:szCs w:val="18"/>
                <w14:textFill>
                  <w14:solidFill>
                    <w14:schemeClr w14:val="tx1"/>
                  </w14:solidFill>
                </w14:textFill>
              </w:rPr>
            </w:pPr>
            <w:r>
              <w:rPr>
                <w:rFonts w:hint="eastAsia" w:eastAsia="等线" w:cs="Times New Roman"/>
                <w:b/>
                <w:bCs/>
                <w:color w:val="000000" w:themeColor="text1"/>
                <w:kern w:val="0"/>
                <w:sz w:val="18"/>
                <w:szCs w:val="18"/>
                <w14:textFill>
                  <w14:solidFill>
                    <w14:schemeClr w14:val="tx1"/>
                  </w14:solidFill>
                </w14:textFill>
              </w:rPr>
              <w:t>11.36</w:t>
            </w:r>
          </w:p>
        </w:tc>
        <w:tc>
          <w:tcPr>
            <w:tcW w:w="1228" w:type="dxa"/>
            <w:shd w:val="clear" w:color="auto" w:fill="auto"/>
            <w:vAlign w:val="center"/>
          </w:tcPr>
          <w:p w14:paraId="3D0ACC26">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228" w:type="dxa"/>
            <w:shd w:val="clear" w:color="auto" w:fill="auto"/>
            <w:vAlign w:val="center"/>
          </w:tcPr>
          <w:p w14:paraId="6246AD43">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r>
      <w:tr w14:paraId="74926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44CF0439">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(一)</w:t>
            </w:r>
          </w:p>
        </w:tc>
        <w:tc>
          <w:tcPr>
            <w:tcW w:w="2588" w:type="dxa"/>
            <w:shd w:val="clear" w:color="auto" w:fill="auto"/>
            <w:vAlign w:val="center"/>
          </w:tcPr>
          <w:p w14:paraId="54E1E908">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地下建筑工程区</w:t>
            </w:r>
          </w:p>
        </w:tc>
        <w:tc>
          <w:tcPr>
            <w:tcW w:w="1197" w:type="dxa"/>
            <w:shd w:val="clear" w:color="auto" w:fill="auto"/>
            <w:vAlign w:val="center"/>
          </w:tcPr>
          <w:p w14:paraId="79B5A81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 xml:space="preserve">3.43 </w:t>
            </w:r>
          </w:p>
        </w:tc>
        <w:tc>
          <w:tcPr>
            <w:tcW w:w="1228" w:type="dxa"/>
            <w:shd w:val="clear" w:color="auto" w:fill="auto"/>
            <w:vAlign w:val="center"/>
          </w:tcPr>
          <w:p w14:paraId="48FDEEB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 xml:space="preserve">3.43 </w:t>
            </w:r>
          </w:p>
        </w:tc>
        <w:tc>
          <w:tcPr>
            <w:tcW w:w="1228" w:type="dxa"/>
            <w:shd w:val="clear" w:color="auto" w:fill="auto"/>
            <w:vAlign w:val="center"/>
          </w:tcPr>
          <w:p w14:paraId="50BCC304">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r>
      <w:tr w14:paraId="36C30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2EC827EC">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(二)</w:t>
            </w:r>
          </w:p>
        </w:tc>
        <w:tc>
          <w:tcPr>
            <w:tcW w:w="2588" w:type="dxa"/>
            <w:shd w:val="clear" w:color="auto" w:fill="auto"/>
            <w:vAlign w:val="center"/>
          </w:tcPr>
          <w:p w14:paraId="4FB0602D">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建构筑物工程区</w:t>
            </w:r>
          </w:p>
        </w:tc>
        <w:tc>
          <w:tcPr>
            <w:tcW w:w="1197" w:type="dxa"/>
            <w:shd w:val="clear" w:color="auto" w:fill="auto"/>
            <w:vAlign w:val="center"/>
          </w:tcPr>
          <w:p w14:paraId="3C66773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 xml:space="preserve">5.77 </w:t>
            </w:r>
          </w:p>
        </w:tc>
        <w:tc>
          <w:tcPr>
            <w:tcW w:w="1228" w:type="dxa"/>
            <w:shd w:val="clear" w:color="auto" w:fill="auto"/>
            <w:vAlign w:val="center"/>
          </w:tcPr>
          <w:p w14:paraId="41F83CCA">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 xml:space="preserve">5.77 </w:t>
            </w:r>
          </w:p>
        </w:tc>
        <w:tc>
          <w:tcPr>
            <w:tcW w:w="1228" w:type="dxa"/>
            <w:shd w:val="clear" w:color="auto" w:fill="auto"/>
            <w:vAlign w:val="center"/>
          </w:tcPr>
          <w:p w14:paraId="6B40F9FB">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r>
      <w:tr w14:paraId="7E690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179" w:type="dxa"/>
            <w:shd w:val="clear" w:color="auto" w:fill="auto"/>
            <w:vAlign w:val="center"/>
          </w:tcPr>
          <w:p w14:paraId="722CCE29">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(三)</w:t>
            </w:r>
          </w:p>
        </w:tc>
        <w:tc>
          <w:tcPr>
            <w:tcW w:w="2588" w:type="dxa"/>
            <w:shd w:val="clear" w:color="auto" w:fill="auto"/>
            <w:vAlign w:val="center"/>
          </w:tcPr>
          <w:p w14:paraId="3BEDF388">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场内道路及硬化工程区</w:t>
            </w:r>
          </w:p>
        </w:tc>
        <w:tc>
          <w:tcPr>
            <w:tcW w:w="1197" w:type="dxa"/>
            <w:shd w:val="clear" w:color="auto" w:fill="auto"/>
            <w:vAlign w:val="center"/>
          </w:tcPr>
          <w:p w14:paraId="32A46CF7">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 xml:space="preserve">1.68 </w:t>
            </w:r>
          </w:p>
        </w:tc>
        <w:tc>
          <w:tcPr>
            <w:tcW w:w="1228" w:type="dxa"/>
            <w:shd w:val="clear" w:color="auto" w:fill="auto"/>
            <w:vAlign w:val="center"/>
          </w:tcPr>
          <w:p w14:paraId="68F52149">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1.10</w:t>
            </w:r>
          </w:p>
        </w:tc>
        <w:tc>
          <w:tcPr>
            <w:tcW w:w="1228" w:type="dxa"/>
            <w:shd w:val="clear" w:color="auto" w:fill="auto"/>
            <w:vAlign w:val="center"/>
          </w:tcPr>
          <w:p w14:paraId="1F0ADA65">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 xml:space="preserve">0.58 </w:t>
            </w:r>
          </w:p>
        </w:tc>
      </w:tr>
      <w:tr w14:paraId="23865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1DFB1057">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(四)</w:t>
            </w:r>
          </w:p>
        </w:tc>
        <w:tc>
          <w:tcPr>
            <w:tcW w:w="2588" w:type="dxa"/>
            <w:shd w:val="clear" w:color="auto" w:fill="auto"/>
            <w:vAlign w:val="center"/>
          </w:tcPr>
          <w:p w14:paraId="43AE93F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景观绿化工程区</w:t>
            </w:r>
          </w:p>
        </w:tc>
        <w:tc>
          <w:tcPr>
            <w:tcW w:w="1197" w:type="dxa"/>
            <w:shd w:val="clear" w:color="auto" w:fill="auto"/>
            <w:vAlign w:val="center"/>
          </w:tcPr>
          <w:p w14:paraId="1B6FA468">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hint="eastAsia" w:eastAsia="等线" w:cs="Times New Roman"/>
                <w:color w:val="000000" w:themeColor="text1"/>
                <w:kern w:val="0"/>
                <w:sz w:val="18"/>
                <w:szCs w:val="18"/>
                <w14:textFill>
                  <w14:solidFill>
                    <w14:schemeClr w14:val="tx1"/>
                  </w14:solidFill>
                </w14:textFill>
              </w:rPr>
              <w:t xml:space="preserve">0.48 </w:t>
            </w:r>
          </w:p>
        </w:tc>
        <w:tc>
          <w:tcPr>
            <w:tcW w:w="1228" w:type="dxa"/>
            <w:shd w:val="clear" w:color="auto" w:fill="auto"/>
            <w:vAlign w:val="center"/>
          </w:tcPr>
          <w:p w14:paraId="2502E14E">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p>
        </w:tc>
        <w:tc>
          <w:tcPr>
            <w:tcW w:w="1228" w:type="dxa"/>
            <w:shd w:val="clear" w:color="auto" w:fill="auto"/>
            <w:vAlign w:val="center"/>
          </w:tcPr>
          <w:p w14:paraId="7A8A37A9">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xml:space="preserve">0.48 </w:t>
            </w:r>
          </w:p>
        </w:tc>
      </w:tr>
      <w:tr w14:paraId="7C10F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739608E9">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　</w:t>
            </w:r>
          </w:p>
        </w:tc>
        <w:tc>
          <w:tcPr>
            <w:tcW w:w="2588" w:type="dxa"/>
            <w:shd w:val="clear" w:color="auto" w:fill="auto"/>
            <w:vAlign w:val="center"/>
          </w:tcPr>
          <w:p w14:paraId="5DE0CD60">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第一至三部分合计</w:t>
            </w:r>
          </w:p>
        </w:tc>
        <w:tc>
          <w:tcPr>
            <w:tcW w:w="1197" w:type="dxa"/>
            <w:shd w:val="clear" w:color="auto" w:fill="auto"/>
            <w:vAlign w:val="center"/>
          </w:tcPr>
          <w:p w14:paraId="1433CA19">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82.74</w:t>
            </w:r>
          </w:p>
        </w:tc>
        <w:tc>
          <w:tcPr>
            <w:tcW w:w="1228" w:type="dxa"/>
            <w:shd w:val="clear" w:color="auto" w:fill="auto"/>
            <w:vAlign w:val="center"/>
          </w:tcPr>
          <w:p w14:paraId="21DCDBFA">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10.3</w:t>
            </w:r>
          </w:p>
        </w:tc>
        <w:tc>
          <w:tcPr>
            <w:tcW w:w="1228" w:type="dxa"/>
            <w:shd w:val="clear" w:color="auto" w:fill="auto"/>
            <w:vAlign w:val="center"/>
          </w:tcPr>
          <w:p w14:paraId="30EFD6D2">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72.44</w:t>
            </w:r>
          </w:p>
        </w:tc>
      </w:tr>
      <w:tr w14:paraId="1316A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31ED1E78">
            <w:pPr>
              <w:widowControl/>
              <w:adjustRightInd/>
              <w:snapToGrid/>
              <w:spacing w:line="240" w:lineRule="auto"/>
              <w:ind w:firstLine="0" w:firstLineChars="0"/>
              <w:jc w:val="center"/>
              <w:rPr>
                <w:rFonts w:eastAsia="等线" w:cs="Times New Roman"/>
                <w:color w:val="000000" w:themeColor="text1"/>
                <w:kern w:val="0"/>
                <w:sz w:val="18"/>
                <w:szCs w:val="18"/>
                <w14:textFill>
                  <w14:solidFill>
                    <w14:schemeClr w14:val="tx1"/>
                  </w14:solidFill>
                </w14:textFill>
              </w:rPr>
            </w:pPr>
            <w:r>
              <w:rPr>
                <w:rFonts w:eastAsia="等线" w:cs="Times New Roman"/>
                <w:color w:val="000000" w:themeColor="text1"/>
                <w:kern w:val="0"/>
                <w:sz w:val="18"/>
                <w:szCs w:val="18"/>
                <w14:textFill>
                  <w14:solidFill>
                    <w14:schemeClr w14:val="tx1"/>
                  </w14:solidFill>
                </w14:textFill>
              </w:rPr>
              <w:t>　</w:t>
            </w:r>
          </w:p>
        </w:tc>
        <w:tc>
          <w:tcPr>
            <w:tcW w:w="2588" w:type="dxa"/>
            <w:shd w:val="clear" w:color="auto" w:fill="auto"/>
            <w:vAlign w:val="center"/>
          </w:tcPr>
          <w:p w14:paraId="70B6AA0C">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第四部分</w:t>
            </w:r>
            <w:r>
              <w:rPr>
                <w:rFonts w:cs="Times New Roman"/>
                <w:b/>
                <w:bCs/>
                <w:color w:val="000000" w:themeColor="text1"/>
                <w:kern w:val="0"/>
                <w:sz w:val="18"/>
                <w:szCs w:val="18"/>
                <w14:textFill>
                  <w14:solidFill>
                    <w14:schemeClr w14:val="tx1"/>
                  </w14:solidFill>
                </w14:textFill>
              </w:rPr>
              <w:t xml:space="preserve"> </w:t>
            </w:r>
            <w:r>
              <w:rPr>
                <w:rFonts w:hint="eastAsia" w:ascii="仿宋_GB2312" w:hAnsi="等线" w:cs="宋体"/>
                <w:b/>
                <w:bCs/>
                <w:color w:val="000000" w:themeColor="text1"/>
                <w:kern w:val="0"/>
                <w:sz w:val="18"/>
                <w:szCs w:val="18"/>
                <w14:textFill>
                  <w14:solidFill>
                    <w14:schemeClr w14:val="tx1"/>
                  </w14:solidFill>
                </w14:textFill>
              </w:rPr>
              <w:t>独立费用</w:t>
            </w:r>
          </w:p>
        </w:tc>
        <w:tc>
          <w:tcPr>
            <w:tcW w:w="1197" w:type="dxa"/>
            <w:shd w:val="clear" w:color="auto" w:fill="auto"/>
            <w:vAlign w:val="center"/>
          </w:tcPr>
          <w:p w14:paraId="2AA68100">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17.22</w:t>
            </w:r>
          </w:p>
        </w:tc>
        <w:tc>
          <w:tcPr>
            <w:tcW w:w="1228" w:type="dxa"/>
            <w:shd w:val="clear" w:color="auto" w:fill="auto"/>
            <w:vAlign w:val="center"/>
          </w:tcPr>
          <w:p w14:paraId="50AFB38B">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9.37</w:t>
            </w:r>
          </w:p>
        </w:tc>
        <w:tc>
          <w:tcPr>
            <w:tcW w:w="1228" w:type="dxa"/>
            <w:shd w:val="clear" w:color="auto" w:fill="auto"/>
            <w:vAlign w:val="center"/>
          </w:tcPr>
          <w:p w14:paraId="7F87AD77">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7.85</w:t>
            </w:r>
          </w:p>
        </w:tc>
      </w:tr>
      <w:tr w14:paraId="0F493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668AFCF3">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一</w:t>
            </w:r>
          </w:p>
        </w:tc>
        <w:tc>
          <w:tcPr>
            <w:tcW w:w="2588" w:type="dxa"/>
            <w:shd w:val="clear" w:color="auto" w:fill="auto"/>
            <w:vAlign w:val="center"/>
          </w:tcPr>
          <w:p w14:paraId="7D16F0D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建设管理费</w:t>
            </w:r>
          </w:p>
        </w:tc>
        <w:tc>
          <w:tcPr>
            <w:tcW w:w="1197" w:type="dxa"/>
            <w:shd w:val="clear" w:color="auto" w:fill="auto"/>
            <w:vAlign w:val="center"/>
          </w:tcPr>
          <w:p w14:paraId="7423080D">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0.37</w:t>
            </w:r>
          </w:p>
        </w:tc>
        <w:tc>
          <w:tcPr>
            <w:tcW w:w="1228" w:type="dxa"/>
            <w:shd w:val="clear" w:color="auto" w:fill="auto"/>
            <w:vAlign w:val="center"/>
          </w:tcPr>
          <w:p w14:paraId="7EF8DCB8">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0.37</w:t>
            </w:r>
          </w:p>
        </w:tc>
        <w:tc>
          <w:tcPr>
            <w:tcW w:w="1228" w:type="dxa"/>
            <w:shd w:val="clear" w:color="auto" w:fill="auto"/>
            <w:vAlign w:val="center"/>
          </w:tcPr>
          <w:p w14:paraId="2C3884BE">
            <w:pPr>
              <w:ind w:firstLine="360"/>
              <w:jc w:val="center"/>
              <w:rPr>
                <w:rFonts w:eastAsia="等线" w:cs="Times New Roman"/>
                <w:color w:val="000000" w:themeColor="text1"/>
                <w:kern w:val="0"/>
                <w:sz w:val="18"/>
                <w:szCs w:val="18"/>
                <w14:textFill>
                  <w14:solidFill>
                    <w14:schemeClr w14:val="tx1"/>
                  </w14:solidFill>
                </w14:textFill>
              </w:rPr>
            </w:pPr>
          </w:p>
        </w:tc>
      </w:tr>
      <w:tr w14:paraId="1F864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179" w:type="dxa"/>
            <w:shd w:val="clear" w:color="auto" w:fill="auto"/>
            <w:vAlign w:val="center"/>
          </w:tcPr>
          <w:p w14:paraId="06DA78DC">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二</w:t>
            </w:r>
          </w:p>
        </w:tc>
        <w:tc>
          <w:tcPr>
            <w:tcW w:w="2588" w:type="dxa"/>
            <w:shd w:val="clear" w:color="auto" w:fill="auto"/>
            <w:vAlign w:val="center"/>
          </w:tcPr>
          <w:p w14:paraId="065B5024">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科研勘测设计费</w:t>
            </w:r>
          </w:p>
        </w:tc>
        <w:tc>
          <w:tcPr>
            <w:tcW w:w="1197" w:type="dxa"/>
            <w:shd w:val="clear" w:color="auto" w:fill="auto"/>
            <w:vAlign w:val="center"/>
          </w:tcPr>
          <w:p w14:paraId="781E1BBD">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w:t>
            </w:r>
          </w:p>
        </w:tc>
        <w:tc>
          <w:tcPr>
            <w:tcW w:w="1228" w:type="dxa"/>
            <w:shd w:val="clear" w:color="auto" w:fill="auto"/>
            <w:vAlign w:val="center"/>
          </w:tcPr>
          <w:p w14:paraId="361B1760">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5</w:t>
            </w:r>
          </w:p>
        </w:tc>
        <w:tc>
          <w:tcPr>
            <w:tcW w:w="1228" w:type="dxa"/>
            <w:shd w:val="clear" w:color="auto" w:fill="auto"/>
            <w:vAlign w:val="center"/>
          </w:tcPr>
          <w:p w14:paraId="485C7F23">
            <w:pPr>
              <w:ind w:firstLine="360"/>
              <w:jc w:val="center"/>
              <w:rPr>
                <w:rFonts w:eastAsia="等线" w:cs="Times New Roman"/>
                <w:color w:val="000000" w:themeColor="text1"/>
                <w:kern w:val="0"/>
                <w:sz w:val="18"/>
                <w:szCs w:val="18"/>
                <w14:textFill>
                  <w14:solidFill>
                    <w14:schemeClr w14:val="tx1"/>
                  </w14:solidFill>
                </w14:textFill>
              </w:rPr>
            </w:pPr>
          </w:p>
        </w:tc>
      </w:tr>
      <w:tr w14:paraId="490DD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179" w:type="dxa"/>
            <w:shd w:val="clear" w:color="auto" w:fill="auto"/>
            <w:vAlign w:val="center"/>
          </w:tcPr>
          <w:p w14:paraId="7CDB1A6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三</w:t>
            </w:r>
          </w:p>
        </w:tc>
        <w:tc>
          <w:tcPr>
            <w:tcW w:w="2588" w:type="dxa"/>
            <w:shd w:val="clear" w:color="auto" w:fill="auto"/>
            <w:vAlign w:val="center"/>
          </w:tcPr>
          <w:p w14:paraId="7C9167A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竣工验收报告编制费</w:t>
            </w:r>
          </w:p>
        </w:tc>
        <w:tc>
          <w:tcPr>
            <w:tcW w:w="1197" w:type="dxa"/>
            <w:shd w:val="clear" w:color="auto" w:fill="auto"/>
            <w:vAlign w:val="center"/>
          </w:tcPr>
          <w:p w14:paraId="7142DB11">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w:t>
            </w:r>
          </w:p>
        </w:tc>
        <w:tc>
          <w:tcPr>
            <w:tcW w:w="1228" w:type="dxa"/>
            <w:shd w:val="clear" w:color="auto" w:fill="auto"/>
            <w:vAlign w:val="center"/>
          </w:tcPr>
          <w:p w14:paraId="2CDB1430">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4</w:t>
            </w:r>
          </w:p>
        </w:tc>
        <w:tc>
          <w:tcPr>
            <w:tcW w:w="1228" w:type="dxa"/>
            <w:shd w:val="clear" w:color="auto" w:fill="auto"/>
            <w:vAlign w:val="center"/>
          </w:tcPr>
          <w:p w14:paraId="6BA23666">
            <w:pPr>
              <w:ind w:firstLine="360"/>
              <w:jc w:val="center"/>
              <w:rPr>
                <w:rFonts w:eastAsia="等线" w:cs="Times New Roman"/>
                <w:color w:val="000000" w:themeColor="text1"/>
                <w:kern w:val="0"/>
                <w:sz w:val="18"/>
                <w:szCs w:val="18"/>
                <w14:textFill>
                  <w14:solidFill>
                    <w14:schemeClr w14:val="tx1"/>
                  </w14:solidFill>
                </w14:textFill>
              </w:rPr>
            </w:pPr>
          </w:p>
        </w:tc>
      </w:tr>
      <w:tr w14:paraId="2E3E4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18610382">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Ⅰ</w:t>
            </w:r>
          </w:p>
        </w:tc>
        <w:tc>
          <w:tcPr>
            <w:tcW w:w="2588" w:type="dxa"/>
            <w:shd w:val="clear" w:color="auto" w:fill="auto"/>
            <w:vAlign w:val="center"/>
          </w:tcPr>
          <w:p w14:paraId="5CD05E6D">
            <w:pPr>
              <w:widowControl/>
              <w:adjustRightInd/>
              <w:snapToGrid/>
              <w:spacing w:line="240" w:lineRule="auto"/>
              <w:ind w:firstLine="0" w:firstLineChars="0"/>
              <w:jc w:val="center"/>
              <w:rPr>
                <w:rFonts w:hint="eastAsia" w:ascii="仿宋_GB2312" w:hAnsi="等线" w:cs="宋体"/>
                <w:b/>
                <w:bCs/>
                <w:color w:val="000000" w:themeColor="text1"/>
                <w:kern w:val="0"/>
                <w:sz w:val="18"/>
                <w:szCs w:val="18"/>
                <w14:textFill>
                  <w14:solidFill>
                    <w14:schemeClr w14:val="tx1"/>
                  </w14:solidFill>
                </w14:textFill>
              </w:rPr>
            </w:pPr>
            <w:r>
              <w:rPr>
                <w:rFonts w:hint="eastAsia" w:ascii="仿宋_GB2312" w:hAnsi="等线" w:cs="宋体"/>
                <w:b/>
                <w:bCs/>
                <w:color w:val="000000" w:themeColor="text1"/>
                <w:kern w:val="0"/>
                <w:sz w:val="18"/>
                <w:szCs w:val="18"/>
                <w14:textFill>
                  <w14:solidFill>
                    <w14:schemeClr w14:val="tx1"/>
                  </w14:solidFill>
                </w14:textFill>
              </w:rPr>
              <w:t>第一至四部分合计</w:t>
            </w:r>
          </w:p>
        </w:tc>
        <w:tc>
          <w:tcPr>
            <w:tcW w:w="1197" w:type="dxa"/>
            <w:shd w:val="clear" w:color="auto" w:fill="auto"/>
            <w:vAlign w:val="center"/>
          </w:tcPr>
          <w:p w14:paraId="40C37163">
            <w:pPr>
              <w:widowControl/>
              <w:ind w:firstLine="0" w:firstLineChars="0"/>
              <w:jc w:val="center"/>
              <w:textAlignment w:val="center"/>
              <w:rPr>
                <w:rFonts w:hint="default" w:eastAsia="宋体" w:cs="Times New Roman"/>
                <w:b/>
                <w:bCs/>
                <w:color w:val="000000" w:themeColor="text1"/>
                <w:kern w:val="0"/>
                <w:sz w:val="18"/>
                <w:szCs w:val="18"/>
                <w:lang w:val="en-US" w:eastAsia="zh-CN"/>
                <w14:textFill>
                  <w14:solidFill>
                    <w14:schemeClr w14:val="tx1"/>
                  </w14:solidFill>
                </w14:textFill>
              </w:rPr>
            </w:pPr>
            <w:r>
              <w:rPr>
                <w:rFonts w:eastAsia="宋体" w:cs="Times New Roman"/>
                <w:b/>
                <w:bCs/>
                <w:color w:val="000000"/>
                <w:kern w:val="0"/>
                <w:sz w:val="18"/>
                <w:szCs w:val="18"/>
                <w:lang w:bidi="ar"/>
              </w:rPr>
              <w:t>9</w:t>
            </w:r>
            <w:r>
              <w:rPr>
                <w:rFonts w:hint="eastAsia" w:eastAsia="宋体" w:cs="Times New Roman"/>
                <w:b/>
                <w:bCs/>
                <w:color w:val="000000"/>
                <w:kern w:val="0"/>
                <w:sz w:val="18"/>
                <w:szCs w:val="18"/>
                <w:lang w:val="en-US" w:eastAsia="zh-CN" w:bidi="ar"/>
              </w:rPr>
              <w:t>2.11</w:t>
            </w:r>
          </w:p>
        </w:tc>
        <w:tc>
          <w:tcPr>
            <w:tcW w:w="1228" w:type="dxa"/>
            <w:shd w:val="clear" w:color="auto" w:fill="auto"/>
            <w:vAlign w:val="center"/>
          </w:tcPr>
          <w:p w14:paraId="24E1AB1F">
            <w:pPr>
              <w:widowControl/>
              <w:ind w:firstLine="0" w:firstLineChars="0"/>
              <w:jc w:val="center"/>
              <w:textAlignment w:val="center"/>
              <w:rPr>
                <w:rFonts w:hint="default" w:eastAsia="等线"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kern w:val="0"/>
                <w:sz w:val="18"/>
                <w:szCs w:val="18"/>
                <w:lang w:val="en-US" w:eastAsia="zh-CN" w:bidi="ar"/>
              </w:rPr>
              <w:t>9.37</w:t>
            </w:r>
          </w:p>
        </w:tc>
        <w:tc>
          <w:tcPr>
            <w:tcW w:w="1228" w:type="dxa"/>
            <w:shd w:val="clear" w:color="auto" w:fill="auto"/>
            <w:vAlign w:val="center"/>
          </w:tcPr>
          <w:p w14:paraId="006E9B08">
            <w:pPr>
              <w:widowControl/>
              <w:ind w:firstLine="0" w:firstLineChars="0"/>
              <w:jc w:val="center"/>
              <w:textAlignment w:val="center"/>
              <w:rPr>
                <w:rFonts w:hint="default" w:eastAsia="等线"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kern w:val="0"/>
                <w:sz w:val="18"/>
                <w:szCs w:val="18"/>
                <w:lang w:val="en-US" w:eastAsia="zh-CN" w:bidi="ar"/>
              </w:rPr>
              <w:t>72.44</w:t>
            </w:r>
          </w:p>
        </w:tc>
      </w:tr>
      <w:tr w14:paraId="79986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2586EBC6">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Ⅱ</w:t>
            </w:r>
          </w:p>
        </w:tc>
        <w:tc>
          <w:tcPr>
            <w:tcW w:w="2588" w:type="dxa"/>
            <w:shd w:val="clear" w:color="auto" w:fill="auto"/>
            <w:vAlign w:val="center"/>
          </w:tcPr>
          <w:p w14:paraId="440FD54C">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基本预备费</w:t>
            </w:r>
          </w:p>
        </w:tc>
        <w:tc>
          <w:tcPr>
            <w:tcW w:w="1197" w:type="dxa"/>
            <w:shd w:val="clear" w:color="auto" w:fill="auto"/>
            <w:vAlign w:val="center"/>
          </w:tcPr>
          <w:p w14:paraId="2E7695F2">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1.84</w:t>
            </w:r>
          </w:p>
        </w:tc>
        <w:tc>
          <w:tcPr>
            <w:tcW w:w="1228" w:type="dxa"/>
            <w:shd w:val="clear" w:color="auto" w:fill="auto"/>
            <w:vAlign w:val="center"/>
          </w:tcPr>
          <w:p w14:paraId="16633218">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1.84</w:t>
            </w:r>
          </w:p>
        </w:tc>
        <w:tc>
          <w:tcPr>
            <w:tcW w:w="1228" w:type="dxa"/>
            <w:shd w:val="clear" w:color="auto" w:fill="auto"/>
            <w:vAlign w:val="center"/>
          </w:tcPr>
          <w:p w14:paraId="768579A3">
            <w:pPr>
              <w:ind w:firstLine="360"/>
              <w:jc w:val="center"/>
              <w:rPr>
                <w:rFonts w:eastAsia="等线" w:cs="Times New Roman"/>
                <w:color w:val="000000" w:themeColor="text1"/>
                <w:kern w:val="0"/>
                <w:sz w:val="18"/>
                <w:szCs w:val="18"/>
                <w14:textFill>
                  <w14:solidFill>
                    <w14:schemeClr w14:val="tx1"/>
                  </w14:solidFill>
                </w14:textFill>
              </w:rPr>
            </w:pPr>
          </w:p>
        </w:tc>
      </w:tr>
      <w:tr w14:paraId="60CE3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66D64B1A">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Ⅲ</w:t>
            </w:r>
          </w:p>
        </w:tc>
        <w:tc>
          <w:tcPr>
            <w:tcW w:w="2588" w:type="dxa"/>
            <w:shd w:val="clear" w:color="auto" w:fill="auto"/>
            <w:vAlign w:val="center"/>
          </w:tcPr>
          <w:p w14:paraId="460C03FB">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水土保持补偿费</w:t>
            </w:r>
          </w:p>
        </w:tc>
        <w:tc>
          <w:tcPr>
            <w:tcW w:w="1197" w:type="dxa"/>
            <w:shd w:val="clear" w:color="auto" w:fill="auto"/>
            <w:vAlign w:val="center"/>
          </w:tcPr>
          <w:p w14:paraId="56017E5D">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1.24</w:t>
            </w:r>
          </w:p>
        </w:tc>
        <w:tc>
          <w:tcPr>
            <w:tcW w:w="1228" w:type="dxa"/>
            <w:shd w:val="clear" w:color="auto" w:fill="auto"/>
            <w:vAlign w:val="center"/>
          </w:tcPr>
          <w:p w14:paraId="125988E2">
            <w:pPr>
              <w:widowControl/>
              <w:ind w:firstLine="0" w:firstLineChars="0"/>
              <w:jc w:val="center"/>
              <w:textAlignment w:val="center"/>
              <w:rPr>
                <w:rFonts w:eastAsia="等线" w:cs="Times New Roman"/>
                <w:color w:val="000000" w:themeColor="text1"/>
                <w:kern w:val="0"/>
                <w:sz w:val="18"/>
                <w:szCs w:val="18"/>
                <w14:textFill>
                  <w14:solidFill>
                    <w14:schemeClr w14:val="tx1"/>
                  </w14:solidFill>
                </w14:textFill>
              </w:rPr>
            </w:pPr>
            <w:r>
              <w:rPr>
                <w:rFonts w:eastAsia="宋体" w:cs="Times New Roman"/>
                <w:color w:val="000000"/>
                <w:kern w:val="0"/>
                <w:sz w:val="18"/>
                <w:szCs w:val="18"/>
                <w:lang w:bidi="ar"/>
              </w:rPr>
              <w:t>1.24</w:t>
            </w:r>
          </w:p>
        </w:tc>
        <w:tc>
          <w:tcPr>
            <w:tcW w:w="1228" w:type="dxa"/>
            <w:shd w:val="clear" w:color="auto" w:fill="auto"/>
            <w:vAlign w:val="center"/>
          </w:tcPr>
          <w:p w14:paraId="0FE50A70">
            <w:pPr>
              <w:ind w:firstLine="360"/>
              <w:jc w:val="center"/>
              <w:rPr>
                <w:rFonts w:eastAsia="等线" w:cs="Times New Roman"/>
                <w:color w:val="000000" w:themeColor="text1"/>
                <w:kern w:val="0"/>
                <w:sz w:val="18"/>
                <w:szCs w:val="18"/>
                <w14:textFill>
                  <w14:solidFill>
                    <w14:schemeClr w14:val="tx1"/>
                  </w14:solidFill>
                </w14:textFill>
              </w:rPr>
            </w:pPr>
          </w:p>
        </w:tc>
      </w:tr>
      <w:tr w14:paraId="47844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622DD779">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Ⅳ</w:t>
            </w:r>
          </w:p>
        </w:tc>
        <w:tc>
          <w:tcPr>
            <w:tcW w:w="2588" w:type="dxa"/>
            <w:shd w:val="clear" w:color="auto" w:fill="auto"/>
            <w:vAlign w:val="center"/>
          </w:tcPr>
          <w:p w14:paraId="13B0391E">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工程投资合计</w:t>
            </w:r>
          </w:p>
        </w:tc>
        <w:tc>
          <w:tcPr>
            <w:tcW w:w="1197" w:type="dxa"/>
            <w:shd w:val="clear" w:color="auto" w:fill="auto"/>
            <w:vAlign w:val="center"/>
          </w:tcPr>
          <w:p w14:paraId="6A8BE68C">
            <w:pPr>
              <w:ind w:firstLine="360"/>
              <w:jc w:val="center"/>
              <w:rPr>
                <w:rFonts w:eastAsia="等线" w:cs="Times New Roman"/>
                <w:color w:val="000000" w:themeColor="text1"/>
                <w:kern w:val="0"/>
                <w:sz w:val="18"/>
                <w:szCs w:val="18"/>
                <w14:textFill>
                  <w14:solidFill>
                    <w14:schemeClr w14:val="tx1"/>
                  </w14:solidFill>
                </w14:textFill>
              </w:rPr>
            </w:pPr>
          </w:p>
        </w:tc>
        <w:tc>
          <w:tcPr>
            <w:tcW w:w="1228" w:type="dxa"/>
            <w:shd w:val="clear" w:color="auto" w:fill="auto"/>
            <w:vAlign w:val="center"/>
          </w:tcPr>
          <w:p w14:paraId="141880F9">
            <w:pPr>
              <w:ind w:firstLine="360"/>
              <w:jc w:val="center"/>
              <w:rPr>
                <w:rFonts w:eastAsia="等线" w:cs="Times New Roman"/>
                <w:color w:val="000000" w:themeColor="text1"/>
                <w:kern w:val="0"/>
                <w:sz w:val="18"/>
                <w:szCs w:val="18"/>
                <w14:textFill>
                  <w14:solidFill>
                    <w14:schemeClr w14:val="tx1"/>
                  </w14:solidFill>
                </w14:textFill>
              </w:rPr>
            </w:pPr>
          </w:p>
        </w:tc>
        <w:tc>
          <w:tcPr>
            <w:tcW w:w="1228" w:type="dxa"/>
            <w:shd w:val="clear" w:color="auto" w:fill="auto"/>
            <w:vAlign w:val="center"/>
          </w:tcPr>
          <w:p w14:paraId="0B188A75">
            <w:pPr>
              <w:ind w:firstLine="360"/>
              <w:jc w:val="center"/>
              <w:rPr>
                <w:rFonts w:eastAsia="等线" w:cs="Times New Roman"/>
                <w:color w:val="000000" w:themeColor="text1"/>
                <w:kern w:val="0"/>
                <w:sz w:val="18"/>
                <w:szCs w:val="18"/>
                <w14:textFill>
                  <w14:solidFill>
                    <w14:schemeClr w14:val="tx1"/>
                  </w14:solidFill>
                </w14:textFill>
              </w:rPr>
            </w:pPr>
          </w:p>
        </w:tc>
      </w:tr>
      <w:tr w14:paraId="147D8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179" w:type="dxa"/>
            <w:shd w:val="clear" w:color="auto" w:fill="auto"/>
            <w:vAlign w:val="center"/>
          </w:tcPr>
          <w:p w14:paraId="39BA9304">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Ⅴ</w:t>
            </w:r>
          </w:p>
        </w:tc>
        <w:tc>
          <w:tcPr>
            <w:tcW w:w="2588" w:type="dxa"/>
            <w:shd w:val="clear" w:color="auto" w:fill="auto"/>
            <w:vAlign w:val="center"/>
          </w:tcPr>
          <w:p w14:paraId="45A6C8E9">
            <w:pPr>
              <w:widowControl/>
              <w:adjustRightInd/>
              <w:snapToGrid/>
              <w:spacing w:line="240" w:lineRule="auto"/>
              <w:ind w:firstLine="0" w:firstLineChars="0"/>
              <w:jc w:val="center"/>
              <w:rPr>
                <w:rFonts w:hint="eastAsia" w:ascii="仿宋_GB2312" w:hAnsi="等线" w:cs="宋体"/>
                <w:color w:val="000000" w:themeColor="text1"/>
                <w:kern w:val="0"/>
                <w:sz w:val="18"/>
                <w:szCs w:val="18"/>
                <w14:textFill>
                  <w14:solidFill>
                    <w14:schemeClr w14:val="tx1"/>
                  </w14:solidFill>
                </w14:textFill>
              </w:rPr>
            </w:pPr>
            <w:r>
              <w:rPr>
                <w:rFonts w:hint="eastAsia" w:ascii="仿宋_GB2312" w:hAnsi="等线" w:cs="宋体"/>
                <w:color w:val="000000" w:themeColor="text1"/>
                <w:kern w:val="0"/>
                <w:sz w:val="18"/>
                <w:szCs w:val="18"/>
                <w14:textFill>
                  <w14:solidFill>
                    <w14:schemeClr w14:val="tx1"/>
                  </w14:solidFill>
                </w14:textFill>
              </w:rPr>
              <w:t>静态总投资（Ⅰ+Ⅱ</w:t>
            </w:r>
            <w:r>
              <w:rPr>
                <w:rFonts w:cs="Times New Roman"/>
                <w:color w:val="000000" w:themeColor="text1"/>
                <w:kern w:val="0"/>
                <w:sz w:val="18"/>
                <w:szCs w:val="18"/>
                <w14:textFill>
                  <w14:solidFill>
                    <w14:schemeClr w14:val="tx1"/>
                  </w14:solidFill>
                </w14:textFill>
              </w:rPr>
              <w:t>+</w:t>
            </w:r>
            <w:r>
              <w:rPr>
                <w:rFonts w:hint="eastAsia" w:ascii="仿宋_GB2312" w:hAnsi="等线" w:cs="宋体"/>
                <w:color w:val="000000" w:themeColor="text1"/>
                <w:kern w:val="0"/>
                <w:sz w:val="18"/>
                <w:szCs w:val="18"/>
                <w14:textFill>
                  <w14:solidFill>
                    <w14:schemeClr w14:val="tx1"/>
                  </w14:solidFill>
                </w14:textFill>
              </w:rPr>
              <w:t>Ⅲ）</w:t>
            </w:r>
          </w:p>
        </w:tc>
        <w:tc>
          <w:tcPr>
            <w:tcW w:w="1197" w:type="dxa"/>
            <w:shd w:val="clear" w:color="auto" w:fill="auto"/>
            <w:vAlign w:val="center"/>
          </w:tcPr>
          <w:p w14:paraId="2A765EEC">
            <w:pPr>
              <w:widowControl/>
              <w:ind w:firstLine="0" w:firstLineChars="0"/>
              <w:jc w:val="center"/>
              <w:textAlignment w:val="center"/>
              <w:rPr>
                <w:rFonts w:hint="eastAsia" w:eastAsia="等线" w:cs="Times New Roman"/>
                <w:b/>
                <w:bCs/>
                <w:color w:val="000000" w:themeColor="text1"/>
                <w:kern w:val="0"/>
                <w:sz w:val="18"/>
                <w:szCs w:val="18"/>
                <w:lang w:eastAsia="zh-CN"/>
                <w14:textFill>
                  <w14:solidFill>
                    <w14:schemeClr w14:val="tx1"/>
                  </w14:solidFill>
                </w14:textFill>
              </w:rPr>
            </w:pPr>
            <w:r>
              <w:rPr>
                <w:rFonts w:hint="eastAsia" w:eastAsia="宋体" w:cs="Times New Roman"/>
                <w:b/>
                <w:bCs/>
                <w:color w:val="000000"/>
                <w:kern w:val="0"/>
                <w:sz w:val="18"/>
                <w:szCs w:val="18"/>
                <w:lang w:eastAsia="zh-CN" w:bidi="ar"/>
              </w:rPr>
              <w:t>96.62</w:t>
            </w:r>
          </w:p>
        </w:tc>
        <w:tc>
          <w:tcPr>
            <w:tcW w:w="1228" w:type="dxa"/>
            <w:shd w:val="clear" w:color="auto" w:fill="auto"/>
            <w:vAlign w:val="center"/>
          </w:tcPr>
          <w:p w14:paraId="1A245A21">
            <w:pPr>
              <w:widowControl/>
              <w:ind w:firstLine="0" w:firstLineChars="0"/>
              <w:jc w:val="center"/>
              <w:textAlignment w:val="center"/>
              <w:rPr>
                <w:rFonts w:hint="default" w:eastAsia="等线" w:cs="Times New Roman"/>
                <w:b/>
                <w:bCs/>
                <w:color w:val="000000" w:themeColor="text1"/>
                <w:kern w:val="0"/>
                <w:sz w:val="18"/>
                <w:szCs w:val="18"/>
                <w:lang w:val="en-US" w:eastAsia="zh-CN"/>
                <w14:textFill>
                  <w14:solidFill>
                    <w14:schemeClr w14:val="tx1"/>
                  </w14:solidFill>
                </w14:textFill>
              </w:rPr>
            </w:pPr>
            <w:r>
              <w:rPr>
                <w:rFonts w:hint="eastAsia" w:eastAsia="宋体" w:cs="Times New Roman"/>
                <w:b/>
                <w:bCs/>
                <w:color w:val="000000"/>
                <w:kern w:val="0"/>
                <w:sz w:val="18"/>
                <w:szCs w:val="18"/>
                <w:lang w:val="en-US" w:eastAsia="zh-CN" w:bidi="ar"/>
              </w:rPr>
              <w:t>14.89</w:t>
            </w:r>
          </w:p>
        </w:tc>
        <w:tc>
          <w:tcPr>
            <w:tcW w:w="1228" w:type="dxa"/>
            <w:shd w:val="clear" w:color="auto" w:fill="auto"/>
            <w:vAlign w:val="center"/>
          </w:tcPr>
          <w:p w14:paraId="7FA26805">
            <w:pPr>
              <w:widowControl/>
              <w:ind w:firstLine="0" w:firstLineChars="0"/>
              <w:jc w:val="center"/>
              <w:textAlignment w:val="center"/>
              <w:rPr>
                <w:rFonts w:eastAsia="等线" w:cs="Times New Roman"/>
                <w:b/>
                <w:bCs/>
                <w:color w:val="000000" w:themeColor="text1"/>
                <w:kern w:val="0"/>
                <w:sz w:val="18"/>
                <w:szCs w:val="18"/>
                <w14:textFill>
                  <w14:solidFill>
                    <w14:schemeClr w14:val="tx1"/>
                  </w14:solidFill>
                </w14:textFill>
              </w:rPr>
            </w:pPr>
            <w:r>
              <w:rPr>
                <w:rFonts w:eastAsia="宋体" w:cs="Times New Roman"/>
                <w:b/>
                <w:bCs/>
                <w:color w:val="000000"/>
                <w:kern w:val="0"/>
                <w:sz w:val="18"/>
                <w:szCs w:val="18"/>
                <w:lang w:bidi="ar"/>
              </w:rPr>
              <w:t>80.29</w:t>
            </w:r>
          </w:p>
        </w:tc>
      </w:tr>
    </w:tbl>
    <w:p w14:paraId="2E707E38">
      <w:pPr>
        <w:pStyle w:val="33"/>
        <w:rPr>
          <w:color w:val="000000" w:themeColor="text1"/>
          <w14:textFill>
            <w14:solidFill>
              <w14:schemeClr w14:val="tx1"/>
            </w14:solidFill>
          </w14:textFill>
        </w:rPr>
      </w:pPr>
    </w:p>
    <w:p w14:paraId="2CA7059C">
      <w:pPr>
        <w:pStyle w:val="33"/>
        <w:ind w:firstLine="2003" w:firstLineChars="950"/>
        <w:rPr>
          <w:color w:val="000000" w:themeColor="text1"/>
          <w14:textFill>
            <w14:solidFill>
              <w14:schemeClr w14:val="tx1"/>
            </w14:solidFill>
          </w14:textFill>
        </w:rPr>
      </w:pPr>
      <w:r>
        <w:rPr>
          <w:rFonts w:hint="eastAsia"/>
          <w:color w:val="000000" w:themeColor="text1"/>
          <w14:textFill>
            <w14:solidFill>
              <w14:schemeClr w14:val="tx1"/>
            </w14:solidFill>
          </w14:textFill>
        </w:rPr>
        <w:t>表7.1-</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 xml:space="preserve">                          独立费用计算表</w:t>
      </w:r>
    </w:p>
    <w:tbl>
      <w:tblPr>
        <w:tblStyle w:val="26"/>
        <w:tblW w:w="86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626"/>
        <w:gridCol w:w="2216"/>
        <w:gridCol w:w="4693"/>
        <w:gridCol w:w="1108"/>
      </w:tblGrid>
      <w:tr w14:paraId="01992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8" w:hRule="atLeast"/>
          <w:jc w:val="center"/>
        </w:trPr>
        <w:tc>
          <w:tcPr>
            <w:tcW w:w="626" w:type="dxa"/>
            <w:shd w:val="clear" w:color="auto" w:fill="auto"/>
            <w:vAlign w:val="center"/>
          </w:tcPr>
          <w:p w14:paraId="1E8EEE4B">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序号</w:t>
            </w:r>
          </w:p>
        </w:tc>
        <w:tc>
          <w:tcPr>
            <w:tcW w:w="2216" w:type="dxa"/>
            <w:shd w:val="clear" w:color="auto" w:fill="auto"/>
            <w:vAlign w:val="center"/>
          </w:tcPr>
          <w:p w14:paraId="6C5864B2">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工程或费用名称</w:t>
            </w:r>
          </w:p>
        </w:tc>
        <w:tc>
          <w:tcPr>
            <w:tcW w:w="4693" w:type="dxa"/>
            <w:shd w:val="clear" w:color="auto" w:fill="auto"/>
            <w:vAlign w:val="center"/>
          </w:tcPr>
          <w:p w14:paraId="161BFC60">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费率</w:t>
            </w:r>
          </w:p>
        </w:tc>
        <w:tc>
          <w:tcPr>
            <w:tcW w:w="1108" w:type="dxa"/>
            <w:shd w:val="clear" w:color="auto" w:fill="auto"/>
            <w:vAlign w:val="center"/>
          </w:tcPr>
          <w:p w14:paraId="4AAD9E28">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合计（元）</w:t>
            </w:r>
          </w:p>
        </w:tc>
      </w:tr>
      <w:tr w14:paraId="0544A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8" w:hRule="atLeast"/>
          <w:jc w:val="center"/>
        </w:trPr>
        <w:tc>
          <w:tcPr>
            <w:tcW w:w="626" w:type="dxa"/>
            <w:shd w:val="clear" w:color="auto" w:fill="auto"/>
            <w:vAlign w:val="center"/>
          </w:tcPr>
          <w:p w14:paraId="6CC44DA9">
            <w:pPr>
              <w:pStyle w:val="34"/>
              <w:rPr>
                <w:color w:val="000000" w:themeColor="text1"/>
                <w14:textFill>
                  <w14:solidFill>
                    <w14:schemeClr w14:val="tx1"/>
                  </w14:solidFill>
                </w14:textFill>
              </w:rPr>
            </w:pPr>
          </w:p>
        </w:tc>
        <w:tc>
          <w:tcPr>
            <w:tcW w:w="2216" w:type="dxa"/>
            <w:shd w:val="clear" w:color="auto" w:fill="auto"/>
            <w:vAlign w:val="center"/>
          </w:tcPr>
          <w:p w14:paraId="41E42C0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第五部分 独立费用</w:t>
            </w:r>
          </w:p>
        </w:tc>
        <w:tc>
          <w:tcPr>
            <w:tcW w:w="4693" w:type="dxa"/>
            <w:shd w:val="clear" w:color="auto" w:fill="auto"/>
            <w:vAlign w:val="center"/>
          </w:tcPr>
          <w:p w14:paraId="6978FF0C">
            <w:pPr>
              <w:pStyle w:val="34"/>
              <w:rPr>
                <w:color w:val="000000" w:themeColor="text1"/>
                <w14:textFill>
                  <w14:solidFill>
                    <w14:schemeClr w14:val="tx1"/>
                  </w14:solidFill>
                </w14:textFill>
              </w:rPr>
            </w:pPr>
          </w:p>
        </w:tc>
        <w:tc>
          <w:tcPr>
            <w:tcW w:w="1108" w:type="dxa"/>
            <w:shd w:val="clear" w:color="auto" w:fill="auto"/>
            <w:vAlign w:val="center"/>
          </w:tcPr>
          <w:p w14:paraId="61DD63A5">
            <w:pPr>
              <w:widowControl/>
              <w:ind w:firstLine="0" w:firstLineChars="0"/>
              <w:jc w:val="center"/>
              <w:textAlignment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172172</w:t>
            </w:r>
          </w:p>
        </w:tc>
      </w:tr>
      <w:tr w14:paraId="69049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8" w:hRule="atLeast"/>
          <w:jc w:val="center"/>
        </w:trPr>
        <w:tc>
          <w:tcPr>
            <w:tcW w:w="626" w:type="dxa"/>
            <w:shd w:val="clear" w:color="auto" w:fill="auto"/>
            <w:vAlign w:val="center"/>
          </w:tcPr>
          <w:p w14:paraId="36C2B05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一</w:t>
            </w:r>
          </w:p>
        </w:tc>
        <w:tc>
          <w:tcPr>
            <w:tcW w:w="2216" w:type="dxa"/>
            <w:shd w:val="clear" w:color="auto" w:fill="auto"/>
            <w:vAlign w:val="center"/>
          </w:tcPr>
          <w:p w14:paraId="65F3192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建设管理费</w:t>
            </w:r>
          </w:p>
        </w:tc>
        <w:tc>
          <w:tcPr>
            <w:tcW w:w="4693" w:type="dxa"/>
            <w:shd w:val="clear" w:color="auto" w:fill="auto"/>
            <w:vAlign w:val="center"/>
          </w:tcPr>
          <w:p w14:paraId="3A198F9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按一至四部分之和的2%</w:t>
            </w:r>
          </w:p>
        </w:tc>
        <w:tc>
          <w:tcPr>
            <w:tcW w:w="1108" w:type="dxa"/>
            <w:shd w:val="clear" w:color="auto" w:fill="auto"/>
            <w:vAlign w:val="center"/>
          </w:tcPr>
          <w:p w14:paraId="01A66F32">
            <w:pPr>
              <w:widowControl/>
              <w:ind w:firstLine="360"/>
              <w:textAlignment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3672</w:t>
            </w:r>
          </w:p>
        </w:tc>
      </w:tr>
      <w:tr w14:paraId="682FB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8" w:hRule="atLeast"/>
          <w:jc w:val="center"/>
        </w:trPr>
        <w:tc>
          <w:tcPr>
            <w:tcW w:w="626" w:type="dxa"/>
            <w:shd w:val="clear" w:color="auto" w:fill="auto"/>
            <w:vAlign w:val="center"/>
          </w:tcPr>
          <w:p w14:paraId="6FCB5D7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二</w:t>
            </w:r>
          </w:p>
        </w:tc>
        <w:tc>
          <w:tcPr>
            <w:tcW w:w="2216" w:type="dxa"/>
            <w:shd w:val="clear" w:color="auto" w:fill="auto"/>
            <w:vAlign w:val="center"/>
          </w:tcPr>
          <w:p w14:paraId="67CCBF9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科研勘测设计费</w:t>
            </w:r>
          </w:p>
        </w:tc>
        <w:tc>
          <w:tcPr>
            <w:tcW w:w="4693" w:type="dxa"/>
            <w:shd w:val="clear" w:color="auto" w:fill="auto"/>
            <w:vAlign w:val="center"/>
          </w:tcPr>
          <w:p w14:paraId="34DF1AB0">
            <w:pPr>
              <w:pStyle w:val="34"/>
              <w:jc w:val="left"/>
              <w:rPr>
                <w:color w:val="000000" w:themeColor="text1"/>
                <w14:textFill>
                  <w14:solidFill>
                    <w14:schemeClr w14:val="tx1"/>
                  </w14:solidFill>
                </w14:textFill>
              </w:rPr>
            </w:pPr>
            <w:r>
              <w:rPr>
                <w:rFonts w:hint="eastAsia" w:ascii="仿宋_GB2312"/>
                <w:color w:val="000000" w:themeColor="text1"/>
                <w:szCs w:val="18"/>
                <w14:textFill>
                  <w14:solidFill>
                    <w14:schemeClr w14:val="tx1"/>
                  </w14:solidFill>
                </w14:textFill>
              </w:rPr>
              <w:t>参照《四川省水利水电工程设计概（估)算编制规定》，结合该工程实际情况计算</w:t>
            </w:r>
          </w:p>
        </w:tc>
        <w:tc>
          <w:tcPr>
            <w:tcW w:w="1108" w:type="dxa"/>
            <w:shd w:val="clear" w:color="auto" w:fill="auto"/>
            <w:vAlign w:val="center"/>
          </w:tcPr>
          <w:p w14:paraId="6E0F9E10">
            <w:pPr>
              <w:widowControl/>
              <w:ind w:firstLine="360"/>
              <w:textAlignment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50000</w:t>
            </w:r>
          </w:p>
        </w:tc>
      </w:tr>
      <w:tr w14:paraId="041AF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8" w:hRule="atLeast"/>
          <w:jc w:val="center"/>
        </w:trPr>
        <w:tc>
          <w:tcPr>
            <w:tcW w:w="626" w:type="dxa"/>
            <w:shd w:val="clear" w:color="auto" w:fill="auto"/>
            <w:vAlign w:val="center"/>
          </w:tcPr>
          <w:p w14:paraId="0A17A53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三</w:t>
            </w:r>
          </w:p>
        </w:tc>
        <w:tc>
          <w:tcPr>
            <w:tcW w:w="2216" w:type="dxa"/>
            <w:shd w:val="clear" w:color="auto" w:fill="auto"/>
            <w:vAlign w:val="center"/>
          </w:tcPr>
          <w:p w14:paraId="4829994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工程建设监理费</w:t>
            </w:r>
          </w:p>
        </w:tc>
        <w:tc>
          <w:tcPr>
            <w:tcW w:w="4693" w:type="dxa"/>
            <w:shd w:val="clear" w:color="auto" w:fill="auto"/>
            <w:vAlign w:val="center"/>
          </w:tcPr>
          <w:p w14:paraId="7EE9128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主体工程计列</w:t>
            </w:r>
          </w:p>
        </w:tc>
        <w:tc>
          <w:tcPr>
            <w:tcW w:w="1108" w:type="dxa"/>
            <w:shd w:val="clear" w:color="auto" w:fill="auto"/>
            <w:vAlign w:val="center"/>
          </w:tcPr>
          <w:p w14:paraId="4E789C8F">
            <w:pPr>
              <w:widowControl/>
              <w:ind w:firstLine="360"/>
              <w:textAlignment w:val="center"/>
              <w:rPr>
                <w:color w:val="000000" w:themeColor="text1"/>
                <w:sz w:val="18"/>
                <w:szCs w:val="21"/>
                <w14:textFill>
                  <w14:solidFill>
                    <w14:schemeClr w14:val="tx1"/>
                  </w14:solidFill>
                </w14:textFill>
              </w:rPr>
            </w:pPr>
          </w:p>
        </w:tc>
      </w:tr>
      <w:tr w14:paraId="1298E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8" w:hRule="atLeast"/>
          <w:jc w:val="center"/>
        </w:trPr>
        <w:tc>
          <w:tcPr>
            <w:tcW w:w="626" w:type="dxa"/>
            <w:shd w:val="clear" w:color="auto" w:fill="auto"/>
            <w:vAlign w:val="center"/>
          </w:tcPr>
          <w:p w14:paraId="19ED53B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四</w:t>
            </w:r>
          </w:p>
        </w:tc>
        <w:tc>
          <w:tcPr>
            <w:tcW w:w="2216" w:type="dxa"/>
            <w:shd w:val="clear" w:color="auto" w:fill="auto"/>
            <w:vAlign w:val="center"/>
          </w:tcPr>
          <w:p w14:paraId="40B12FB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竣工验收技术评估费</w:t>
            </w:r>
          </w:p>
        </w:tc>
        <w:tc>
          <w:tcPr>
            <w:tcW w:w="4693" w:type="dxa"/>
            <w:shd w:val="clear" w:color="auto" w:fill="auto"/>
            <w:vAlign w:val="center"/>
          </w:tcPr>
          <w:p w14:paraId="6880DEC4">
            <w:pPr>
              <w:pStyle w:val="34"/>
              <w:jc w:val="left"/>
              <w:rPr>
                <w:color w:val="000000" w:themeColor="text1"/>
                <w14:textFill>
                  <w14:solidFill>
                    <w14:schemeClr w14:val="tx1"/>
                  </w14:solidFill>
                </w14:textFill>
              </w:rPr>
            </w:pPr>
            <w:r>
              <w:rPr>
                <w:rFonts w:hint="eastAsia" w:ascii="仿宋_GB2312"/>
                <w:color w:val="000000" w:themeColor="text1"/>
                <w:szCs w:val="18"/>
                <w14:textFill>
                  <w14:solidFill>
                    <w14:schemeClr w14:val="tx1"/>
                  </w14:solidFill>
                </w14:textFill>
              </w:rPr>
              <w:t>参照《四川省水利水电工程设计概（估)算编制规定》，结合该工程实际情况计算</w:t>
            </w:r>
          </w:p>
        </w:tc>
        <w:tc>
          <w:tcPr>
            <w:tcW w:w="1108" w:type="dxa"/>
            <w:shd w:val="clear" w:color="auto" w:fill="auto"/>
            <w:vAlign w:val="center"/>
          </w:tcPr>
          <w:p w14:paraId="32EEEA22">
            <w:pPr>
              <w:widowControl/>
              <w:ind w:firstLine="360"/>
              <w:textAlignment w:val="center"/>
              <w:rPr>
                <w:color w:val="000000" w:themeColor="text1"/>
                <w:sz w:val="18"/>
                <w:szCs w:val="21"/>
                <w14:textFill>
                  <w14:solidFill>
                    <w14:schemeClr w14:val="tx1"/>
                  </w14:solidFill>
                </w14:textFill>
              </w:rPr>
            </w:pPr>
            <w:r>
              <w:rPr>
                <w:rFonts w:hint="eastAsia"/>
                <w:color w:val="000000" w:themeColor="text1"/>
                <w:sz w:val="18"/>
                <w:szCs w:val="21"/>
                <w14:textFill>
                  <w14:solidFill>
                    <w14:schemeClr w14:val="tx1"/>
                  </w14:solidFill>
                </w14:textFill>
              </w:rPr>
              <w:t>40000</w:t>
            </w:r>
          </w:p>
        </w:tc>
      </w:tr>
    </w:tbl>
    <w:p w14:paraId="6BECD6ED">
      <w:pPr>
        <w:pStyle w:val="33"/>
        <w:ind w:firstLine="1792" w:firstLineChars="850"/>
        <w:rPr>
          <w:color w:val="000000" w:themeColor="text1"/>
          <w14:textFill>
            <w14:solidFill>
              <w14:schemeClr w14:val="tx1"/>
            </w14:solidFill>
          </w14:textFill>
        </w:rPr>
      </w:pPr>
      <w:r>
        <w:rPr>
          <w:rFonts w:hint="eastAsia"/>
          <w:color w:val="000000" w:themeColor="text1"/>
          <w14:textFill>
            <w14:solidFill>
              <w14:schemeClr w14:val="tx1"/>
            </w14:solidFill>
          </w14:textFill>
        </w:rPr>
        <w:t>表7.1-</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 xml:space="preserve">                        水土保持补偿费计算表</w:t>
      </w:r>
    </w:p>
    <w:tbl>
      <w:tblPr>
        <w:tblStyle w:val="26"/>
        <w:tblW w:w="88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0"/>
        <w:gridCol w:w="3714"/>
        <w:gridCol w:w="827"/>
        <w:gridCol w:w="1229"/>
        <w:gridCol w:w="1064"/>
        <w:gridCol w:w="1216"/>
      </w:tblGrid>
      <w:tr w14:paraId="2475B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790" w:type="dxa"/>
            <w:vMerge w:val="restart"/>
            <w:shd w:val="clear" w:color="auto" w:fill="auto"/>
            <w:tcMar>
              <w:top w:w="15" w:type="dxa"/>
              <w:left w:w="15" w:type="dxa"/>
              <w:right w:w="15" w:type="dxa"/>
            </w:tcMar>
            <w:vAlign w:val="center"/>
          </w:tcPr>
          <w:p w14:paraId="77FE2C6B">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序号</w:t>
            </w:r>
          </w:p>
        </w:tc>
        <w:tc>
          <w:tcPr>
            <w:tcW w:w="3714" w:type="dxa"/>
            <w:vMerge w:val="restart"/>
            <w:shd w:val="clear" w:color="auto" w:fill="auto"/>
            <w:tcMar>
              <w:top w:w="15" w:type="dxa"/>
              <w:left w:w="15" w:type="dxa"/>
              <w:right w:w="15" w:type="dxa"/>
            </w:tcMar>
            <w:vAlign w:val="center"/>
          </w:tcPr>
          <w:p w14:paraId="6CFAFB7B">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工程或费用名称</w:t>
            </w:r>
          </w:p>
        </w:tc>
        <w:tc>
          <w:tcPr>
            <w:tcW w:w="827" w:type="dxa"/>
            <w:vMerge w:val="restart"/>
            <w:shd w:val="clear" w:color="auto" w:fill="auto"/>
            <w:tcMar>
              <w:top w:w="15" w:type="dxa"/>
              <w:left w:w="15" w:type="dxa"/>
              <w:right w:w="15" w:type="dxa"/>
            </w:tcMar>
            <w:vAlign w:val="center"/>
          </w:tcPr>
          <w:p w14:paraId="738E8C33">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单位</w:t>
            </w:r>
          </w:p>
        </w:tc>
        <w:tc>
          <w:tcPr>
            <w:tcW w:w="1229" w:type="dxa"/>
            <w:vMerge w:val="restart"/>
            <w:shd w:val="clear" w:color="auto" w:fill="auto"/>
            <w:tcMar>
              <w:top w:w="15" w:type="dxa"/>
              <w:left w:w="15" w:type="dxa"/>
              <w:right w:w="15" w:type="dxa"/>
            </w:tcMar>
            <w:vAlign w:val="center"/>
          </w:tcPr>
          <w:p w14:paraId="3EA57DBC">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数量</w:t>
            </w:r>
          </w:p>
        </w:tc>
        <w:tc>
          <w:tcPr>
            <w:tcW w:w="1064" w:type="dxa"/>
            <w:vMerge w:val="restart"/>
            <w:shd w:val="clear" w:color="auto" w:fill="auto"/>
            <w:tcMar>
              <w:top w:w="15" w:type="dxa"/>
              <w:left w:w="15" w:type="dxa"/>
              <w:right w:w="15" w:type="dxa"/>
            </w:tcMar>
            <w:vAlign w:val="center"/>
          </w:tcPr>
          <w:p w14:paraId="6DD55CDA">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单价（元）</w:t>
            </w:r>
          </w:p>
        </w:tc>
        <w:tc>
          <w:tcPr>
            <w:tcW w:w="1216" w:type="dxa"/>
            <w:vMerge w:val="restart"/>
            <w:shd w:val="clear" w:color="auto" w:fill="auto"/>
            <w:tcMar>
              <w:top w:w="15" w:type="dxa"/>
              <w:left w:w="15" w:type="dxa"/>
              <w:right w:w="15" w:type="dxa"/>
            </w:tcMar>
            <w:vAlign w:val="center"/>
          </w:tcPr>
          <w:p w14:paraId="2D5802F2">
            <w:pPr>
              <w:pStyle w:val="3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合计（元）</w:t>
            </w:r>
          </w:p>
        </w:tc>
      </w:tr>
      <w:tr w14:paraId="5DB3D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790" w:type="dxa"/>
            <w:vMerge w:val="continue"/>
            <w:shd w:val="clear" w:color="auto" w:fill="auto"/>
            <w:tcMar>
              <w:top w:w="15" w:type="dxa"/>
              <w:left w:w="15" w:type="dxa"/>
              <w:right w:w="15" w:type="dxa"/>
            </w:tcMar>
            <w:vAlign w:val="center"/>
          </w:tcPr>
          <w:p w14:paraId="534E0D8D">
            <w:pPr>
              <w:pStyle w:val="34"/>
              <w:rPr>
                <w:color w:val="000000" w:themeColor="text1"/>
                <w14:textFill>
                  <w14:solidFill>
                    <w14:schemeClr w14:val="tx1"/>
                  </w14:solidFill>
                </w14:textFill>
              </w:rPr>
            </w:pPr>
          </w:p>
        </w:tc>
        <w:tc>
          <w:tcPr>
            <w:tcW w:w="3714" w:type="dxa"/>
            <w:vMerge w:val="continue"/>
            <w:shd w:val="clear" w:color="auto" w:fill="auto"/>
            <w:tcMar>
              <w:top w:w="15" w:type="dxa"/>
              <w:left w:w="15" w:type="dxa"/>
              <w:right w:w="15" w:type="dxa"/>
            </w:tcMar>
            <w:vAlign w:val="center"/>
          </w:tcPr>
          <w:p w14:paraId="746AAD04">
            <w:pPr>
              <w:pStyle w:val="34"/>
              <w:rPr>
                <w:color w:val="000000" w:themeColor="text1"/>
                <w14:textFill>
                  <w14:solidFill>
                    <w14:schemeClr w14:val="tx1"/>
                  </w14:solidFill>
                </w14:textFill>
              </w:rPr>
            </w:pPr>
          </w:p>
        </w:tc>
        <w:tc>
          <w:tcPr>
            <w:tcW w:w="827" w:type="dxa"/>
            <w:vMerge w:val="continue"/>
            <w:shd w:val="clear" w:color="auto" w:fill="auto"/>
            <w:tcMar>
              <w:top w:w="15" w:type="dxa"/>
              <w:left w:w="15" w:type="dxa"/>
              <w:right w:w="15" w:type="dxa"/>
            </w:tcMar>
            <w:vAlign w:val="center"/>
          </w:tcPr>
          <w:p w14:paraId="3B7C67A4">
            <w:pPr>
              <w:pStyle w:val="34"/>
              <w:rPr>
                <w:color w:val="000000" w:themeColor="text1"/>
                <w14:textFill>
                  <w14:solidFill>
                    <w14:schemeClr w14:val="tx1"/>
                  </w14:solidFill>
                </w14:textFill>
              </w:rPr>
            </w:pPr>
          </w:p>
        </w:tc>
        <w:tc>
          <w:tcPr>
            <w:tcW w:w="1229" w:type="dxa"/>
            <w:vMerge w:val="continue"/>
            <w:shd w:val="clear" w:color="auto" w:fill="auto"/>
            <w:tcMar>
              <w:top w:w="15" w:type="dxa"/>
              <w:left w:w="15" w:type="dxa"/>
              <w:right w:w="15" w:type="dxa"/>
            </w:tcMar>
            <w:vAlign w:val="center"/>
          </w:tcPr>
          <w:p w14:paraId="2EA0DBB7">
            <w:pPr>
              <w:pStyle w:val="34"/>
              <w:rPr>
                <w:color w:val="000000" w:themeColor="text1"/>
                <w14:textFill>
                  <w14:solidFill>
                    <w14:schemeClr w14:val="tx1"/>
                  </w14:solidFill>
                </w14:textFill>
              </w:rPr>
            </w:pPr>
          </w:p>
        </w:tc>
        <w:tc>
          <w:tcPr>
            <w:tcW w:w="1064" w:type="dxa"/>
            <w:vMerge w:val="continue"/>
            <w:shd w:val="clear" w:color="auto" w:fill="auto"/>
            <w:tcMar>
              <w:top w:w="15" w:type="dxa"/>
              <w:left w:w="15" w:type="dxa"/>
              <w:right w:w="15" w:type="dxa"/>
            </w:tcMar>
            <w:vAlign w:val="center"/>
          </w:tcPr>
          <w:p w14:paraId="6C19CCDA">
            <w:pPr>
              <w:pStyle w:val="34"/>
              <w:rPr>
                <w:color w:val="000000" w:themeColor="text1"/>
                <w14:textFill>
                  <w14:solidFill>
                    <w14:schemeClr w14:val="tx1"/>
                  </w14:solidFill>
                </w14:textFill>
              </w:rPr>
            </w:pPr>
          </w:p>
        </w:tc>
        <w:tc>
          <w:tcPr>
            <w:tcW w:w="1216" w:type="dxa"/>
            <w:vMerge w:val="continue"/>
            <w:shd w:val="clear" w:color="auto" w:fill="auto"/>
            <w:tcMar>
              <w:top w:w="15" w:type="dxa"/>
              <w:left w:w="15" w:type="dxa"/>
              <w:right w:w="15" w:type="dxa"/>
            </w:tcMar>
            <w:vAlign w:val="center"/>
          </w:tcPr>
          <w:p w14:paraId="34D4AB13">
            <w:pPr>
              <w:pStyle w:val="34"/>
              <w:rPr>
                <w:color w:val="000000" w:themeColor="text1"/>
                <w14:textFill>
                  <w14:solidFill>
                    <w14:schemeClr w14:val="tx1"/>
                  </w14:solidFill>
                </w14:textFill>
              </w:rPr>
            </w:pPr>
          </w:p>
        </w:tc>
      </w:tr>
      <w:tr w14:paraId="2E749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790" w:type="dxa"/>
            <w:shd w:val="clear" w:color="auto" w:fill="auto"/>
            <w:tcMar>
              <w:top w:w="15" w:type="dxa"/>
              <w:left w:w="15" w:type="dxa"/>
              <w:right w:w="15" w:type="dxa"/>
            </w:tcMar>
            <w:vAlign w:val="center"/>
          </w:tcPr>
          <w:p w14:paraId="573FEF29">
            <w:pPr>
              <w:pStyle w:val="34"/>
              <w:rPr>
                <w:color w:val="000000" w:themeColor="text1"/>
                <w14:textFill>
                  <w14:solidFill>
                    <w14:schemeClr w14:val="tx1"/>
                  </w14:solidFill>
                </w14:textFill>
              </w:rPr>
            </w:pPr>
          </w:p>
        </w:tc>
        <w:tc>
          <w:tcPr>
            <w:tcW w:w="3714" w:type="dxa"/>
            <w:shd w:val="clear" w:color="auto" w:fill="auto"/>
            <w:tcMar>
              <w:top w:w="15" w:type="dxa"/>
              <w:left w:w="15" w:type="dxa"/>
              <w:right w:w="15" w:type="dxa"/>
            </w:tcMar>
            <w:vAlign w:val="center"/>
          </w:tcPr>
          <w:p w14:paraId="4AC6CDD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水土保持补偿费</w:t>
            </w:r>
          </w:p>
        </w:tc>
        <w:tc>
          <w:tcPr>
            <w:tcW w:w="827" w:type="dxa"/>
            <w:shd w:val="clear" w:color="auto" w:fill="auto"/>
            <w:tcMar>
              <w:top w:w="15" w:type="dxa"/>
              <w:left w:w="15" w:type="dxa"/>
              <w:right w:w="15" w:type="dxa"/>
            </w:tcMar>
            <w:vAlign w:val="center"/>
          </w:tcPr>
          <w:p w14:paraId="47D371B2">
            <w:pPr>
              <w:pStyle w:val="34"/>
              <w:rPr>
                <w:color w:val="000000" w:themeColor="text1"/>
                <w14:textFill>
                  <w14:solidFill>
                    <w14:schemeClr w14:val="tx1"/>
                  </w14:solidFill>
                </w14:textFill>
              </w:rPr>
            </w:pPr>
          </w:p>
        </w:tc>
        <w:tc>
          <w:tcPr>
            <w:tcW w:w="1229" w:type="dxa"/>
            <w:shd w:val="clear" w:color="auto" w:fill="auto"/>
            <w:tcMar>
              <w:top w:w="15" w:type="dxa"/>
              <w:left w:w="15" w:type="dxa"/>
              <w:right w:w="15" w:type="dxa"/>
            </w:tcMar>
            <w:vAlign w:val="center"/>
          </w:tcPr>
          <w:p w14:paraId="15BD832C">
            <w:pPr>
              <w:pStyle w:val="34"/>
              <w:rPr>
                <w:color w:val="000000" w:themeColor="text1"/>
                <w14:textFill>
                  <w14:solidFill>
                    <w14:schemeClr w14:val="tx1"/>
                  </w14:solidFill>
                </w14:textFill>
              </w:rPr>
            </w:pPr>
          </w:p>
        </w:tc>
        <w:tc>
          <w:tcPr>
            <w:tcW w:w="1064" w:type="dxa"/>
            <w:shd w:val="clear" w:color="auto" w:fill="auto"/>
            <w:tcMar>
              <w:top w:w="15" w:type="dxa"/>
              <w:left w:w="15" w:type="dxa"/>
              <w:right w:w="15" w:type="dxa"/>
            </w:tcMar>
            <w:vAlign w:val="center"/>
          </w:tcPr>
          <w:p w14:paraId="225DE9BB">
            <w:pPr>
              <w:pStyle w:val="34"/>
              <w:rPr>
                <w:color w:val="000000" w:themeColor="text1"/>
                <w14:textFill>
                  <w14:solidFill>
                    <w14:schemeClr w14:val="tx1"/>
                  </w14:solidFill>
                </w14:textFill>
              </w:rPr>
            </w:pPr>
          </w:p>
        </w:tc>
        <w:tc>
          <w:tcPr>
            <w:tcW w:w="1216" w:type="dxa"/>
            <w:shd w:val="clear" w:color="auto" w:fill="auto"/>
            <w:tcMar>
              <w:top w:w="15" w:type="dxa"/>
              <w:left w:w="15" w:type="dxa"/>
              <w:right w:w="15" w:type="dxa"/>
            </w:tcMar>
            <w:vAlign w:val="center"/>
          </w:tcPr>
          <w:p w14:paraId="07DC6E0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12377.3</w:t>
            </w:r>
          </w:p>
        </w:tc>
      </w:tr>
      <w:tr w14:paraId="00D34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790" w:type="dxa"/>
            <w:shd w:val="clear" w:color="auto" w:fill="auto"/>
            <w:tcMar>
              <w:top w:w="15" w:type="dxa"/>
              <w:left w:w="15" w:type="dxa"/>
              <w:right w:w="15" w:type="dxa"/>
            </w:tcMar>
            <w:vAlign w:val="center"/>
          </w:tcPr>
          <w:p w14:paraId="4A1B3B9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一</w:t>
            </w:r>
          </w:p>
        </w:tc>
        <w:tc>
          <w:tcPr>
            <w:tcW w:w="3714" w:type="dxa"/>
            <w:shd w:val="clear" w:color="auto" w:fill="auto"/>
            <w:tcMar>
              <w:top w:w="15" w:type="dxa"/>
              <w:left w:w="15" w:type="dxa"/>
              <w:right w:w="15" w:type="dxa"/>
            </w:tcMar>
            <w:vAlign w:val="center"/>
          </w:tcPr>
          <w:p w14:paraId="11C945D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水土保持补偿费</w:t>
            </w:r>
          </w:p>
        </w:tc>
        <w:tc>
          <w:tcPr>
            <w:tcW w:w="827" w:type="dxa"/>
            <w:shd w:val="clear" w:color="auto" w:fill="auto"/>
            <w:tcMar>
              <w:top w:w="15" w:type="dxa"/>
              <w:left w:w="15" w:type="dxa"/>
              <w:right w:w="15" w:type="dxa"/>
            </w:tcMar>
            <w:vAlign w:val="center"/>
          </w:tcPr>
          <w:p w14:paraId="71889E2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1229" w:type="dxa"/>
            <w:shd w:val="clear" w:color="auto" w:fill="auto"/>
            <w:tcMar>
              <w:top w:w="15" w:type="dxa"/>
              <w:left w:w="15" w:type="dxa"/>
              <w:right w:w="15" w:type="dxa"/>
            </w:tcMar>
            <w:vAlign w:val="center"/>
          </w:tcPr>
          <w:p w14:paraId="2128D4C1">
            <w:pPr>
              <w:pStyle w:val="34"/>
              <w:rPr>
                <w:color w:val="000000" w:themeColor="text1"/>
                <w14:textFill>
                  <w14:solidFill>
                    <w14:schemeClr w14:val="tx1"/>
                  </w14:solidFill>
                </w14:textFill>
              </w:rPr>
            </w:pPr>
            <w:r>
              <w:rPr>
                <w:rFonts w:hint="eastAsia"/>
                <w:bCs/>
                <w:color w:val="000000" w:themeColor="text1"/>
                <w14:textFill>
                  <w14:solidFill>
                    <w14:schemeClr w14:val="tx1"/>
                  </w14:solidFill>
                </w14:textFill>
              </w:rPr>
              <w:t>9521</w:t>
            </w:r>
          </w:p>
        </w:tc>
        <w:tc>
          <w:tcPr>
            <w:tcW w:w="1064" w:type="dxa"/>
            <w:shd w:val="clear" w:color="auto" w:fill="auto"/>
            <w:tcMar>
              <w:top w:w="15" w:type="dxa"/>
              <w:left w:w="15" w:type="dxa"/>
              <w:right w:w="15" w:type="dxa"/>
            </w:tcMar>
            <w:vAlign w:val="center"/>
          </w:tcPr>
          <w:p w14:paraId="3676B0C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1.30</w:t>
            </w:r>
          </w:p>
        </w:tc>
        <w:tc>
          <w:tcPr>
            <w:tcW w:w="1216" w:type="dxa"/>
            <w:shd w:val="clear" w:color="auto" w:fill="auto"/>
            <w:tcMar>
              <w:top w:w="15" w:type="dxa"/>
              <w:left w:w="15" w:type="dxa"/>
              <w:right w:w="15" w:type="dxa"/>
            </w:tcMar>
            <w:vAlign w:val="center"/>
          </w:tcPr>
          <w:p w14:paraId="026892C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12377.3</w:t>
            </w:r>
          </w:p>
        </w:tc>
      </w:tr>
    </w:tbl>
    <w:p w14:paraId="4438893D">
      <w:pPr>
        <w:pStyle w:val="33"/>
        <w:ind w:firstLine="2530" w:firstLineChars="1200"/>
        <w:rPr>
          <w:color w:val="000000" w:themeColor="text1"/>
          <w14:textFill>
            <w14:solidFill>
              <w14:schemeClr w14:val="tx1"/>
            </w14:solidFill>
          </w14:textFill>
        </w:rPr>
      </w:pPr>
      <w:r>
        <w:rPr>
          <w:rFonts w:hint="eastAsia"/>
          <w:color w:val="000000" w:themeColor="text1"/>
          <w14:textFill>
            <w14:solidFill>
              <w14:schemeClr w14:val="tx1"/>
            </w14:solidFill>
          </w14:textFill>
        </w:rPr>
        <w:t>表7.1-</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 xml:space="preserve">                         工程单价汇总表</w:t>
      </w:r>
    </w:p>
    <w:tbl>
      <w:tblPr>
        <w:tblStyle w:val="26"/>
        <w:tblW w:w="53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1"/>
        <w:gridCol w:w="1421"/>
        <w:gridCol w:w="646"/>
        <w:gridCol w:w="662"/>
        <w:gridCol w:w="628"/>
        <w:gridCol w:w="628"/>
        <w:gridCol w:w="628"/>
        <w:gridCol w:w="628"/>
        <w:gridCol w:w="628"/>
        <w:gridCol w:w="628"/>
        <w:gridCol w:w="628"/>
        <w:gridCol w:w="668"/>
        <w:gridCol w:w="680"/>
      </w:tblGrid>
      <w:tr w14:paraId="2CC46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37" w:type="pct"/>
            <w:vMerge w:val="restart"/>
            <w:shd w:val="clear" w:color="auto" w:fill="auto"/>
            <w:vAlign w:val="center"/>
          </w:tcPr>
          <w:p w14:paraId="47F5C5E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799" w:type="pct"/>
            <w:vMerge w:val="restart"/>
            <w:shd w:val="clear" w:color="auto" w:fill="auto"/>
            <w:vAlign w:val="center"/>
          </w:tcPr>
          <w:p w14:paraId="3AB68A2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工程名称</w:t>
            </w:r>
          </w:p>
        </w:tc>
        <w:tc>
          <w:tcPr>
            <w:tcW w:w="363" w:type="pct"/>
            <w:vMerge w:val="restart"/>
            <w:shd w:val="clear" w:color="auto" w:fill="auto"/>
            <w:vAlign w:val="center"/>
          </w:tcPr>
          <w:p w14:paraId="07DF0CC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372" w:type="pct"/>
            <w:vMerge w:val="restart"/>
            <w:shd w:val="clear" w:color="auto" w:fill="auto"/>
            <w:vAlign w:val="center"/>
          </w:tcPr>
          <w:p w14:paraId="12FB005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单价</w:t>
            </w:r>
          </w:p>
        </w:tc>
        <w:tc>
          <w:tcPr>
            <w:tcW w:w="3228" w:type="pct"/>
            <w:gridSpan w:val="9"/>
            <w:shd w:val="clear" w:color="auto" w:fill="auto"/>
            <w:vAlign w:val="center"/>
          </w:tcPr>
          <w:p w14:paraId="424A059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其     中</w:t>
            </w:r>
          </w:p>
        </w:tc>
      </w:tr>
      <w:tr w14:paraId="56EBA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4" w:hRule="atLeast"/>
          <w:jc w:val="center"/>
        </w:trPr>
        <w:tc>
          <w:tcPr>
            <w:tcW w:w="237" w:type="pct"/>
            <w:vMerge w:val="continue"/>
            <w:shd w:val="clear" w:color="auto" w:fill="auto"/>
            <w:vAlign w:val="center"/>
          </w:tcPr>
          <w:p w14:paraId="0609E409">
            <w:pPr>
              <w:pStyle w:val="34"/>
              <w:rPr>
                <w:color w:val="000000" w:themeColor="text1"/>
                <w14:textFill>
                  <w14:solidFill>
                    <w14:schemeClr w14:val="tx1"/>
                  </w14:solidFill>
                </w14:textFill>
              </w:rPr>
            </w:pPr>
          </w:p>
        </w:tc>
        <w:tc>
          <w:tcPr>
            <w:tcW w:w="799" w:type="pct"/>
            <w:vMerge w:val="continue"/>
            <w:shd w:val="clear" w:color="auto" w:fill="auto"/>
            <w:vAlign w:val="center"/>
          </w:tcPr>
          <w:p w14:paraId="447DCDF0">
            <w:pPr>
              <w:pStyle w:val="34"/>
              <w:rPr>
                <w:color w:val="000000" w:themeColor="text1"/>
                <w14:textFill>
                  <w14:solidFill>
                    <w14:schemeClr w14:val="tx1"/>
                  </w14:solidFill>
                </w14:textFill>
              </w:rPr>
            </w:pPr>
          </w:p>
        </w:tc>
        <w:tc>
          <w:tcPr>
            <w:tcW w:w="363" w:type="pct"/>
            <w:vMerge w:val="continue"/>
            <w:shd w:val="clear" w:color="auto" w:fill="auto"/>
            <w:vAlign w:val="center"/>
          </w:tcPr>
          <w:p w14:paraId="29525185">
            <w:pPr>
              <w:pStyle w:val="34"/>
              <w:rPr>
                <w:color w:val="000000" w:themeColor="text1"/>
                <w14:textFill>
                  <w14:solidFill>
                    <w14:schemeClr w14:val="tx1"/>
                  </w14:solidFill>
                </w14:textFill>
              </w:rPr>
            </w:pPr>
          </w:p>
        </w:tc>
        <w:tc>
          <w:tcPr>
            <w:tcW w:w="372" w:type="pct"/>
            <w:vMerge w:val="continue"/>
            <w:shd w:val="clear" w:color="auto" w:fill="auto"/>
            <w:vAlign w:val="center"/>
          </w:tcPr>
          <w:p w14:paraId="560E3348">
            <w:pPr>
              <w:pStyle w:val="34"/>
              <w:rPr>
                <w:color w:val="000000" w:themeColor="text1"/>
                <w14:textFill>
                  <w14:solidFill>
                    <w14:schemeClr w14:val="tx1"/>
                  </w14:solidFill>
                </w14:textFill>
              </w:rPr>
            </w:pPr>
          </w:p>
        </w:tc>
        <w:tc>
          <w:tcPr>
            <w:tcW w:w="353" w:type="pct"/>
            <w:shd w:val="clear" w:color="auto" w:fill="auto"/>
            <w:vAlign w:val="center"/>
          </w:tcPr>
          <w:p w14:paraId="79D2346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人工费</w:t>
            </w:r>
          </w:p>
        </w:tc>
        <w:tc>
          <w:tcPr>
            <w:tcW w:w="353" w:type="pct"/>
            <w:shd w:val="clear" w:color="auto" w:fill="auto"/>
            <w:vAlign w:val="center"/>
          </w:tcPr>
          <w:p w14:paraId="10327A0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材料费</w:t>
            </w:r>
          </w:p>
        </w:tc>
        <w:tc>
          <w:tcPr>
            <w:tcW w:w="353" w:type="pct"/>
            <w:shd w:val="clear" w:color="auto" w:fill="auto"/>
            <w:vAlign w:val="center"/>
          </w:tcPr>
          <w:p w14:paraId="7B7FB04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机械使 </w:t>
            </w:r>
          </w:p>
          <w:p w14:paraId="6C9BC42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用费</w:t>
            </w:r>
          </w:p>
        </w:tc>
        <w:tc>
          <w:tcPr>
            <w:tcW w:w="353" w:type="pct"/>
            <w:shd w:val="clear" w:color="auto" w:fill="auto"/>
            <w:vAlign w:val="center"/>
          </w:tcPr>
          <w:p w14:paraId="2EC0028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其他 </w:t>
            </w:r>
          </w:p>
          <w:p w14:paraId="172DB51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直接费</w:t>
            </w:r>
          </w:p>
        </w:tc>
        <w:tc>
          <w:tcPr>
            <w:tcW w:w="353" w:type="pct"/>
            <w:shd w:val="clear" w:color="auto" w:fill="auto"/>
            <w:vAlign w:val="center"/>
          </w:tcPr>
          <w:p w14:paraId="4F89B24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间接费</w:t>
            </w:r>
          </w:p>
        </w:tc>
        <w:tc>
          <w:tcPr>
            <w:tcW w:w="353" w:type="pct"/>
            <w:shd w:val="clear" w:color="auto" w:fill="auto"/>
            <w:vAlign w:val="center"/>
          </w:tcPr>
          <w:p w14:paraId="70888BE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利润</w:t>
            </w:r>
          </w:p>
        </w:tc>
        <w:tc>
          <w:tcPr>
            <w:tcW w:w="353" w:type="pct"/>
            <w:shd w:val="clear" w:color="auto" w:fill="auto"/>
            <w:vAlign w:val="center"/>
          </w:tcPr>
          <w:p w14:paraId="416D104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价差</w:t>
            </w:r>
          </w:p>
        </w:tc>
        <w:tc>
          <w:tcPr>
            <w:tcW w:w="375" w:type="pct"/>
            <w:shd w:val="clear" w:color="auto" w:fill="auto"/>
            <w:vAlign w:val="center"/>
          </w:tcPr>
          <w:p w14:paraId="1015BC4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税金</w:t>
            </w:r>
          </w:p>
        </w:tc>
        <w:tc>
          <w:tcPr>
            <w:tcW w:w="380" w:type="pct"/>
            <w:vAlign w:val="center"/>
          </w:tcPr>
          <w:p w14:paraId="2CE48C6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扩大</w:t>
            </w:r>
          </w:p>
        </w:tc>
      </w:tr>
      <w:tr w14:paraId="491D9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37" w:type="pct"/>
            <w:shd w:val="clear" w:color="auto" w:fill="auto"/>
            <w:vAlign w:val="center"/>
          </w:tcPr>
          <w:p w14:paraId="29798666">
            <w:pPr>
              <w:pStyle w:val="34"/>
              <w:rPr>
                <w:color w:val="000000" w:themeColor="text1"/>
                <w14:textFill>
                  <w14:solidFill>
                    <w14:schemeClr w14:val="tx1"/>
                  </w14:solidFill>
                </w14:textFill>
              </w:rPr>
            </w:pPr>
            <w:r>
              <w:rPr>
                <w:color w:val="000000" w:themeColor="text1"/>
                <w14:textFill>
                  <w14:solidFill>
                    <w14:schemeClr w14:val="tx1"/>
                  </w14:solidFill>
                </w14:textFill>
              </w:rPr>
              <w:t>1</w:t>
            </w:r>
          </w:p>
        </w:tc>
        <w:tc>
          <w:tcPr>
            <w:tcW w:w="799" w:type="pct"/>
            <w:shd w:val="clear" w:color="auto" w:fill="auto"/>
            <w:vAlign w:val="center"/>
          </w:tcPr>
          <w:p w14:paraId="3625C61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土地整治</w:t>
            </w:r>
          </w:p>
        </w:tc>
        <w:tc>
          <w:tcPr>
            <w:tcW w:w="363" w:type="pct"/>
            <w:shd w:val="clear" w:color="auto" w:fill="auto"/>
            <w:vAlign w:val="center"/>
          </w:tcPr>
          <w:p w14:paraId="622DC57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p>
        </w:tc>
        <w:tc>
          <w:tcPr>
            <w:tcW w:w="372" w:type="pct"/>
            <w:shd w:val="clear" w:color="auto" w:fill="auto"/>
            <w:vAlign w:val="center"/>
          </w:tcPr>
          <w:p w14:paraId="10FE116C">
            <w:pPr>
              <w:pStyle w:val="34"/>
              <w:rPr>
                <w:color w:val="000000" w:themeColor="text1"/>
                <w14:textFill>
                  <w14:solidFill>
                    <w14:schemeClr w14:val="tx1"/>
                  </w14:solidFill>
                </w14:textFill>
              </w:rPr>
            </w:pPr>
            <w:r>
              <w:rPr>
                <w:color w:val="000000" w:themeColor="text1"/>
                <w14:textFill>
                  <w14:solidFill>
                    <w14:schemeClr w14:val="tx1"/>
                  </w14:solidFill>
                </w14:textFill>
              </w:rPr>
              <w:t>1712.08</w:t>
            </w:r>
          </w:p>
        </w:tc>
        <w:tc>
          <w:tcPr>
            <w:tcW w:w="353" w:type="pct"/>
            <w:shd w:val="clear" w:color="auto" w:fill="auto"/>
            <w:vAlign w:val="center"/>
          </w:tcPr>
          <w:p w14:paraId="7DEF1AD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08.25</w:t>
            </w:r>
          </w:p>
        </w:tc>
        <w:tc>
          <w:tcPr>
            <w:tcW w:w="353" w:type="pct"/>
            <w:shd w:val="clear" w:color="auto" w:fill="auto"/>
            <w:vAlign w:val="center"/>
          </w:tcPr>
          <w:p w14:paraId="58E6D785">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7.8</w:t>
            </w:r>
          </w:p>
        </w:tc>
        <w:tc>
          <w:tcPr>
            <w:tcW w:w="353" w:type="pct"/>
            <w:shd w:val="clear" w:color="auto" w:fill="auto"/>
            <w:vAlign w:val="center"/>
          </w:tcPr>
          <w:p w14:paraId="2AE6E28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46.96</w:t>
            </w:r>
          </w:p>
        </w:tc>
        <w:tc>
          <w:tcPr>
            <w:tcW w:w="353" w:type="pct"/>
            <w:shd w:val="clear" w:color="auto" w:fill="auto"/>
            <w:vAlign w:val="center"/>
          </w:tcPr>
          <w:p w14:paraId="768E483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2.97</w:t>
            </w:r>
          </w:p>
        </w:tc>
        <w:tc>
          <w:tcPr>
            <w:tcW w:w="353" w:type="pct"/>
            <w:shd w:val="clear" w:color="auto" w:fill="auto"/>
            <w:vAlign w:val="center"/>
          </w:tcPr>
          <w:p w14:paraId="4B76202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7.97</w:t>
            </w:r>
          </w:p>
        </w:tc>
        <w:tc>
          <w:tcPr>
            <w:tcW w:w="353" w:type="pct"/>
            <w:shd w:val="clear" w:color="auto" w:fill="auto"/>
            <w:vAlign w:val="center"/>
          </w:tcPr>
          <w:p w14:paraId="0DBC69D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7.98</w:t>
            </w:r>
          </w:p>
        </w:tc>
        <w:tc>
          <w:tcPr>
            <w:tcW w:w="353" w:type="pct"/>
            <w:shd w:val="clear" w:color="auto" w:fill="auto"/>
            <w:vAlign w:val="center"/>
          </w:tcPr>
          <w:p w14:paraId="1034FF4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36.00</w:t>
            </w:r>
          </w:p>
        </w:tc>
        <w:tc>
          <w:tcPr>
            <w:tcW w:w="375" w:type="pct"/>
            <w:shd w:val="clear" w:color="auto" w:fill="auto"/>
            <w:vAlign w:val="center"/>
          </w:tcPr>
          <w:p w14:paraId="5C31F3A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28.51</w:t>
            </w:r>
          </w:p>
        </w:tc>
        <w:tc>
          <w:tcPr>
            <w:tcW w:w="380" w:type="pct"/>
            <w:vAlign w:val="center"/>
          </w:tcPr>
          <w:p w14:paraId="035E061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55.64</w:t>
            </w:r>
          </w:p>
        </w:tc>
      </w:tr>
      <w:tr w14:paraId="5DF53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37" w:type="pct"/>
            <w:shd w:val="clear" w:color="auto" w:fill="auto"/>
            <w:vAlign w:val="center"/>
          </w:tcPr>
          <w:p w14:paraId="0F50751C">
            <w:pPr>
              <w:pStyle w:val="34"/>
              <w:rPr>
                <w:color w:val="000000" w:themeColor="text1"/>
                <w14:textFill>
                  <w14:solidFill>
                    <w14:schemeClr w14:val="tx1"/>
                  </w14:solidFill>
                </w14:textFill>
              </w:rPr>
            </w:pPr>
            <w:r>
              <w:rPr>
                <w:color w:val="000000" w:themeColor="text1"/>
                <w14:textFill>
                  <w14:solidFill>
                    <w14:schemeClr w14:val="tx1"/>
                  </w14:solidFill>
                </w14:textFill>
              </w:rPr>
              <w:t>2</w:t>
            </w:r>
          </w:p>
        </w:tc>
        <w:tc>
          <w:tcPr>
            <w:tcW w:w="799" w:type="pct"/>
            <w:shd w:val="clear" w:color="auto" w:fill="auto"/>
            <w:vAlign w:val="center"/>
          </w:tcPr>
          <w:p w14:paraId="1CA95B9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密目网遮盖</w:t>
            </w:r>
          </w:p>
        </w:tc>
        <w:tc>
          <w:tcPr>
            <w:tcW w:w="363" w:type="pct"/>
            <w:shd w:val="clear" w:color="auto" w:fill="auto"/>
            <w:vAlign w:val="center"/>
          </w:tcPr>
          <w:p w14:paraId="282A531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372" w:type="pct"/>
            <w:shd w:val="clear" w:color="auto" w:fill="auto"/>
            <w:vAlign w:val="center"/>
          </w:tcPr>
          <w:p w14:paraId="7AC37B6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70</w:t>
            </w:r>
          </w:p>
        </w:tc>
        <w:tc>
          <w:tcPr>
            <w:tcW w:w="353" w:type="pct"/>
            <w:shd w:val="clear" w:color="auto" w:fill="auto"/>
            <w:vAlign w:val="center"/>
          </w:tcPr>
          <w:p w14:paraId="38618ED5">
            <w:pPr>
              <w:pStyle w:val="34"/>
              <w:rPr>
                <w:color w:val="000000" w:themeColor="text1"/>
                <w14:textFill>
                  <w14:solidFill>
                    <w14:schemeClr w14:val="tx1"/>
                  </w14:solidFill>
                </w14:textFill>
              </w:rPr>
            </w:pPr>
            <w:r>
              <w:rPr>
                <w:color w:val="000000" w:themeColor="text1"/>
                <w14:textFill>
                  <w14:solidFill>
                    <w14:schemeClr w14:val="tx1"/>
                  </w14:solidFill>
                </w14:textFill>
              </w:rPr>
              <w:t>1.91</w:t>
            </w:r>
          </w:p>
        </w:tc>
        <w:tc>
          <w:tcPr>
            <w:tcW w:w="353" w:type="pct"/>
            <w:shd w:val="clear" w:color="auto" w:fill="auto"/>
            <w:vAlign w:val="center"/>
          </w:tcPr>
          <w:p w14:paraId="11B1639D">
            <w:pPr>
              <w:pStyle w:val="34"/>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75</w:t>
            </w:r>
          </w:p>
        </w:tc>
        <w:tc>
          <w:tcPr>
            <w:tcW w:w="353" w:type="pct"/>
            <w:shd w:val="clear" w:color="auto" w:fill="auto"/>
            <w:vAlign w:val="center"/>
          </w:tcPr>
          <w:p w14:paraId="5D473688">
            <w:pPr>
              <w:pStyle w:val="34"/>
              <w:rPr>
                <w:color w:val="000000" w:themeColor="text1"/>
                <w14:textFill>
                  <w14:solidFill>
                    <w14:schemeClr w14:val="tx1"/>
                  </w14:solidFill>
                </w14:textFill>
              </w:rPr>
            </w:pPr>
          </w:p>
        </w:tc>
        <w:tc>
          <w:tcPr>
            <w:tcW w:w="353" w:type="pct"/>
            <w:shd w:val="clear" w:color="auto" w:fill="auto"/>
            <w:vAlign w:val="center"/>
          </w:tcPr>
          <w:p w14:paraId="1003D79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19</w:t>
            </w:r>
          </w:p>
        </w:tc>
        <w:tc>
          <w:tcPr>
            <w:tcW w:w="353" w:type="pct"/>
            <w:shd w:val="clear" w:color="auto" w:fill="auto"/>
            <w:vAlign w:val="center"/>
          </w:tcPr>
          <w:p w14:paraId="7E72DA6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0.3</w:t>
            </w:r>
            <w:r>
              <w:rPr>
                <w:color w:val="000000" w:themeColor="text1"/>
                <w14:textFill>
                  <w14:solidFill>
                    <w14:schemeClr w14:val="tx1"/>
                  </w14:solidFill>
                </w14:textFill>
              </w:rPr>
              <w:t>6</w:t>
            </w:r>
          </w:p>
        </w:tc>
        <w:tc>
          <w:tcPr>
            <w:tcW w:w="353" w:type="pct"/>
            <w:shd w:val="clear" w:color="auto" w:fill="auto"/>
            <w:vAlign w:val="center"/>
          </w:tcPr>
          <w:p w14:paraId="173188B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0.37</w:t>
            </w:r>
          </w:p>
        </w:tc>
        <w:tc>
          <w:tcPr>
            <w:tcW w:w="353" w:type="pct"/>
            <w:shd w:val="clear" w:color="auto" w:fill="auto"/>
            <w:vAlign w:val="center"/>
          </w:tcPr>
          <w:p w14:paraId="6257CD71">
            <w:pPr>
              <w:pStyle w:val="34"/>
              <w:rPr>
                <w:color w:val="000000" w:themeColor="text1"/>
                <w14:textFill>
                  <w14:solidFill>
                    <w14:schemeClr w14:val="tx1"/>
                  </w14:solidFill>
                </w14:textFill>
              </w:rPr>
            </w:pPr>
          </w:p>
        </w:tc>
        <w:tc>
          <w:tcPr>
            <w:tcW w:w="375" w:type="pct"/>
            <w:shd w:val="clear" w:color="auto" w:fill="auto"/>
            <w:vAlign w:val="center"/>
          </w:tcPr>
          <w:p w14:paraId="5D7161E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50</w:t>
            </w:r>
          </w:p>
        </w:tc>
        <w:tc>
          <w:tcPr>
            <w:tcW w:w="380" w:type="pct"/>
            <w:vAlign w:val="center"/>
          </w:tcPr>
          <w:p w14:paraId="61C5024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1</w:t>
            </w:r>
          </w:p>
        </w:tc>
      </w:tr>
      <w:tr w14:paraId="3F6DC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37" w:type="pct"/>
            <w:shd w:val="clear" w:color="auto" w:fill="auto"/>
            <w:vAlign w:val="center"/>
          </w:tcPr>
          <w:p w14:paraId="24136BA3">
            <w:pPr>
              <w:pStyle w:val="34"/>
              <w:rPr>
                <w:color w:val="000000" w:themeColor="text1"/>
                <w14:textFill>
                  <w14:solidFill>
                    <w14:schemeClr w14:val="tx1"/>
                  </w14:solidFill>
                </w14:textFill>
              </w:rPr>
            </w:pPr>
            <w:r>
              <w:rPr>
                <w:color w:val="000000" w:themeColor="text1"/>
                <w14:textFill>
                  <w14:solidFill>
                    <w14:schemeClr w14:val="tx1"/>
                  </w14:solidFill>
                </w14:textFill>
              </w:rPr>
              <w:t>3</w:t>
            </w:r>
          </w:p>
        </w:tc>
        <w:tc>
          <w:tcPr>
            <w:tcW w:w="799" w:type="pct"/>
            <w:shd w:val="clear" w:color="auto" w:fill="auto"/>
            <w:vAlign w:val="center"/>
          </w:tcPr>
          <w:p w14:paraId="1815106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开挖土方</w:t>
            </w:r>
          </w:p>
        </w:tc>
        <w:tc>
          <w:tcPr>
            <w:tcW w:w="363" w:type="pct"/>
            <w:shd w:val="clear" w:color="auto" w:fill="auto"/>
            <w:vAlign w:val="center"/>
          </w:tcPr>
          <w:p w14:paraId="7B22FE2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p>
        </w:tc>
        <w:tc>
          <w:tcPr>
            <w:tcW w:w="372" w:type="pct"/>
            <w:shd w:val="clear" w:color="auto" w:fill="auto"/>
            <w:vAlign w:val="center"/>
          </w:tcPr>
          <w:p w14:paraId="087C397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.91</w:t>
            </w:r>
          </w:p>
        </w:tc>
        <w:tc>
          <w:tcPr>
            <w:tcW w:w="353" w:type="pct"/>
            <w:shd w:val="clear" w:color="auto" w:fill="auto"/>
            <w:vAlign w:val="center"/>
          </w:tcPr>
          <w:p w14:paraId="20B55F4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.28</w:t>
            </w:r>
          </w:p>
        </w:tc>
        <w:tc>
          <w:tcPr>
            <w:tcW w:w="353" w:type="pct"/>
            <w:shd w:val="clear" w:color="auto" w:fill="auto"/>
            <w:vAlign w:val="center"/>
          </w:tcPr>
          <w:p w14:paraId="6914E07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78</w:t>
            </w:r>
          </w:p>
        </w:tc>
        <w:tc>
          <w:tcPr>
            <w:tcW w:w="353" w:type="pct"/>
            <w:shd w:val="clear" w:color="auto" w:fill="auto"/>
            <w:vAlign w:val="center"/>
          </w:tcPr>
          <w:p w14:paraId="60F4F00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2.09</w:t>
            </w:r>
          </w:p>
        </w:tc>
        <w:tc>
          <w:tcPr>
            <w:tcW w:w="353" w:type="pct"/>
            <w:shd w:val="clear" w:color="auto" w:fill="auto"/>
            <w:vAlign w:val="center"/>
          </w:tcPr>
          <w:p w14:paraId="2FA832F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0.1</w:t>
            </w:r>
            <w:r>
              <w:rPr>
                <w:color w:val="000000" w:themeColor="text1"/>
                <w14:textFill>
                  <w14:solidFill>
                    <w14:schemeClr w14:val="tx1"/>
                  </w14:solidFill>
                </w14:textFill>
              </w:rPr>
              <w:t>7</w:t>
            </w:r>
          </w:p>
        </w:tc>
        <w:tc>
          <w:tcPr>
            <w:tcW w:w="353" w:type="pct"/>
            <w:shd w:val="clear" w:color="auto" w:fill="auto"/>
            <w:vAlign w:val="center"/>
          </w:tcPr>
          <w:p w14:paraId="62B867C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0.19</w:t>
            </w:r>
          </w:p>
        </w:tc>
        <w:tc>
          <w:tcPr>
            <w:tcW w:w="353" w:type="pct"/>
            <w:shd w:val="clear" w:color="auto" w:fill="auto"/>
            <w:vAlign w:val="center"/>
          </w:tcPr>
          <w:p w14:paraId="577217A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0.3</w:t>
            </w:r>
            <w:r>
              <w:rPr>
                <w:color w:val="000000" w:themeColor="text1"/>
                <w14:textFill>
                  <w14:solidFill>
                    <w14:schemeClr w14:val="tx1"/>
                  </w14:solidFill>
                </w14:textFill>
              </w:rPr>
              <w:t>2</w:t>
            </w:r>
          </w:p>
        </w:tc>
        <w:tc>
          <w:tcPr>
            <w:tcW w:w="353" w:type="pct"/>
            <w:shd w:val="clear" w:color="auto" w:fill="auto"/>
            <w:vAlign w:val="center"/>
          </w:tcPr>
          <w:p w14:paraId="4F02641E">
            <w:pPr>
              <w:pStyle w:val="34"/>
              <w:rPr>
                <w:color w:val="000000" w:themeColor="text1"/>
                <w14:textFill>
                  <w14:solidFill>
                    <w14:schemeClr w14:val="tx1"/>
                  </w14:solidFill>
                </w14:textFill>
              </w:rPr>
            </w:pPr>
            <w:r>
              <w:rPr>
                <w:color w:val="000000" w:themeColor="text1"/>
                <w14:textFill>
                  <w14:solidFill>
                    <w14:schemeClr w14:val="tx1"/>
                  </w14:solidFill>
                </w14:textFill>
              </w:rPr>
              <w:t>0.92</w:t>
            </w:r>
          </w:p>
        </w:tc>
        <w:tc>
          <w:tcPr>
            <w:tcW w:w="375" w:type="pct"/>
            <w:shd w:val="clear" w:color="auto" w:fill="auto"/>
            <w:vAlign w:val="center"/>
          </w:tcPr>
          <w:p w14:paraId="29C7B5C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52</w:t>
            </w:r>
          </w:p>
        </w:tc>
        <w:tc>
          <w:tcPr>
            <w:tcW w:w="380" w:type="pct"/>
            <w:vAlign w:val="center"/>
          </w:tcPr>
          <w:p w14:paraId="6D9670A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.63</w:t>
            </w:r>
          </w:p>
        </w:tc>
      </w:tr>
      <w:tr w14:paraId="245CF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37" w:type="pct"/>
            <w:shd w:val="clear" w:color="auto" w:fill="auto"/>
            <w:vAlign w:val="center"/>
          </w:tcPr>
          <w:p w14:paraId="70E02BF9">
            <w:pPr>
              <w:pStyle w:val="34"/>
              <w:rPr>
                <w:color w:val="000000" w:themeColor="text1"/>
                <w14:textFill>
                  <w14:solidFill>
                    <w14:schemeClr w14:val="tx1"/>
                  </w14:solidFill>
                </w14:textFill>
              </w:rPr>
            </w:pPr>
            <w:r>
              <w:rPr>
                <w:color w:val="000000" w:themeColor="text1"/>
                <w14:textFill>
                  <w14:solidFill>
                    <w14:schemeClr w14:val="tx1"/>
                  </w14:solidFill>
                </w14:textFill>
              </w:rPr>
              <w:t>4</w:t>
            </w:r>
          </w:p>
        </w:tc>
        <w:tc>
          <w:tcPr>
            <w:tcW w:w="799" w:type="pct"/>
            <w:shd w:val="clear" w:color="auto" w:fill="auto"/>
            <w:vAlign w:val="center"/>
          </w:tcPr>
          <w:p w14:paraId="6303EB6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砂浆抹面</w:t>
            </w:r>
          </w:p>
        </w:tc>
        <w:tc>
          <w:tcPr>
            <w:tcW w:w="363" w:type="pct"/>
            <w:shd w:val="clear" w:color="auto" w:fill="auto"/>
            <w:vAlign w:val="center"/>
          </w:tcPr>
          <w:p w14:paraId="286A1F9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p>
        </w:tc>
        <w:tc>
          <w:tcPr>
            <w:tcW w:w="372" w:type="pct"/>
            <w:shd w:val="clear" w:color="auto" w:fill="auto"/>
            <w:vAlign w:val="center"/>
          </w:tcPr>
          <w:p w14:paraId="0A4AA98B">
            <w:pPr>
              <w:pStyle w:val="34"/>
              <w:rPr>
                <w:color w:val="000000" w:themeColor="text1"/>
                <w14:textFill>
                  <w14:solidFill>
                    <w14:schemeClr w14:val="tx1"/>
                  </w14:solidFill>
                </w14:textFill>
              </w:rPr>
            </w:pPr>
            <w:r>
              <w:rPr>
                <w:color w:val="000000" w:themeColor="text1"/>
                <w14:textFill>
                  <w14:solidFill>
                    <w14:schemeClr w14:val="tx1"/>
                  </w14:solidFill>
                </w14:textFill>
              </w:rPr>
              <w:t>32.91</w:t>
            </w:r>
          </w:p>
        </w:tc>
        <w:tc>
          <w:tcPr>
            <w:tcW w:w="353" w:type="pct"/>
            <w:shd w:val="clear" w:color="auto" w:fill="auto"/>
            <w:vAlign w:val="center"/>
          </w:tcPr>
          <w:p w14:paraId="6D56EA1F">
            <w:pPr>
              <w:pStyle w:val="34"/>
              <w:rPr>
                <w:color w:val="000000" w:themeColor="text1"/>
                <w14:textFill>
                  <w14:solidFill>
                    <w14:schemeClr w14:val="tx1"/>
                  </w14:solidFill>
                </w14:textFill>
              </w:rPr>
            </w:pPr>
            <w:r>
              <w:rPr>
                <w:color w:val="000000" w:themeColor="text1"/>
                <w14:textFill>
                  <w14:solidFill>
                    <w14:schemeClr w14:val="tx1"/>
                  </w14:solidFill>
                </w14:textFill>
              </w:rPr>
              <w:t>12.98</w:t>
            </w:r>
          </w:p>
        </w:tc>
        <w:tc>
          <w:tcPr>
            <w:tcW w:w="353" w:type="pct"/>
            <w:shd w:val="clear" w:color="auto" w:fill="auto"/>
            <w:vAlign w:val="center"/>
          </w:tcPr>
          <w:p w14:paraId="3A60A30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0.31</w:t>
            </w:r>
          </w:p>
        </w:tc>
        <w:tc>
          <w:tcPr>
            <w:tcW w:w="353" w:type="pct"/>
            <w:shd w:val="clear" w:color="auto" w:fill="auto"/>
            <w:vAlign w:val="center"/>
          </w:tcPr>
          <w:p w14:paraId="285BB989">
            <w:pPr>
              <w:pStyle w:val="34"/>
              <w:rPr>
                <w:color w:val="000000" w:themeColor="text1"/>
                <w14:textFill>
                  <w14:solidFill>
                    <w14:schemeClr w14:val="tx1"/>
                  </w14:solidFill>
                </w14:textFill>
              </w:rPr>
            </w:pPr>
            <w:r>
              <w:rPr>
                <w:color w:val="000000" w:themeColor="text1"/>
                <w14:textFill>
                  <w14:solidFill>
                    <w14:schemeClr w14:val="tx1"/>
                  </w14:solidFill>
                </w14:textFill>
              </w:rPr>
              <w:t>0.25</w:t>
            </w:r>
          </w:p>
        </w:tc>
        <w:tc>
          <w:tcPr>
            <w:tcW w:w="353" w:type="pct"/>
            <w:shd w:val="clear" w:color="auto" w:fill="auto"/>
            <w:vAlign w:val="center"/>
          </w:tcPr>
          <w:p w14:paraId="61E97CC2">
            <w:pPr>
              <w:pStyle w:val="34"/>
              <w:rPr>
                <w:color w:val="000000" w:themeColor="text1"/>
                <w14:textFill>
                  <w14:solidFill>
                    <w14:schemeClr w14:val="tx1"/>
                  </w14:solidFill>
                </w14:textFill>
              </w:rPr>
            </w:pPr>
            <w:r>
              <w:rPr>
                <w:color w:val="000000" w:themeColor="text1"/>
                <w14:textFill>
                  <w14:solidFill>
                    <w14:schemeClr w14:val="tx1"/>
                  </w14:solidFill>
                </w14:textFill>
              </w:rPr>
              <w:t>0.99</w:t>
            </w:r>
          </w:p>
        </w:tc>
        <w:tc>
          <w:tcPr>
            <w:tcW w:w="353" w:type="pct"/>
            <w:shd w:val="clear" w:color="auto" w:fill="auto"/>
            <w:vAlign w:val="center"/>
          </w:tcPr>
          <w:p w14:paraId="5563FCF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.10</w:t>
            </w:r>
          </w:p>
        </w:tc>
        <w:tc>
          <w:tcPr>
            <w:tcW w:w="353" w:type="pct"/>
            <w:shd w:val="clear" w:color="auto" w:fill="auto"/>
            <w:vAlign w:val="center"/>
          </w:tcPr>
          <w:p w14:paraId="77EC4514">
            <w:pPr>
              <w:pStyle w:val="34"/>
              <w:rPr>
                <w:color w:val="000000" w:themeColor="text1"/>
                <w14:textFill>
                  <w14:solidFill>
                    <w14:schemeClr w14:val="tx1"/>
                  </w14:solidFill>
                </w14:textFill>
              </w:rPr>
            </w:pPr>
            <w:r>
              <w:rPr>
                <w:color w:val="000000" w:themeColor="text1"/>
                <w14:textFill>
                  <w14:solidFill>
                    <w14:schemeClr w14:val="tx1"/>
                  </w14:solidFill>
                </w14:textFill>
              </w:rPr>
              <w:t>1.79</w:t>
            </w:r>
          </w:p>
        </w:tc>
        <w:tc>
          <w:tcPr>
            <w:tcW w:w="353" w:type="pct"/>
            <w:shd w:val="clear" w:color="auto" w:fill="auto"/>
            <w:vAlign w:val="center"/>
          </w:tcPr>
          <w:p w14:paraId="3E22F6B1">
            <w:pPr>
              <w:pStyle w:val="34"/>
              <w:rPr>
                <w:color w:val="000000" w:themeColor="text1"/>
                <w14:textFill>
                  <w14:solidFill>
                    <w14:schemeClr w14:val="tx1"/>
                  </w14:solidFill>
                </w14:textFill>
              </w:rPr>
            </w:pPr>
            <w:r>
              <w:rPr>
                <w:color w:val="000000" w:themeColor="text1"/>
                <w14:textFill>
                  <w14:solidFill>
                    <w14:schemeClr w14:val="tx1"/>
                  </w14:solidFill>
                </w14:textFill>
              </w:rPr>
              <w:t>0.02</w:t>
            </w:r>
          </w:p>
        </w:tc>
        <w:tc>
          <w:tcPr>
            <w:tcW w:w="375" w:type="pct"/>
            <w:shd w:val="clear" w:color="auto" w:fill="auto"/>
            <w:vAlign w:val="center"/>
          </w:tcPr>
          <w:p w14:paraId="5E5EC9D4">
            <w:pPr>
              <w:pStyle w:val="34"/>
              <w:rPr>
                <w:color w:val="000000" w:themeColor="text1"/>
                <w14:textFill>
                  <w14:solidFill>
                    <w14:schemeClr w14:val="tx1"/>
                  </w14:solidFill>
                </w14:textFill>
              </w:rPr>
            </w:pPr>
            <w:r>
              <w:rPr>
                <w:color w:val="000000" w:themeColor="text1"/>
                <w14:textFill>
                  <w14:solidFill>
                    <w14:schemeClr w14:val="tx1"/>
                  </w14:solidFill>
                </w14:textFill>
              </w:rPr>
              <w:t>2.47</w:t>
            </w:r>
          </w:p>
        </w:tc>
        <w:tc>
          <w:tcPr>
            <w:tcW w:w="380" w:type="pct"/>
            <w:vAlign w:val="center"/>
          </w:tcPr>
          <w:p w14:paraId="7571A89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.99</w:t>
            </w:r>
          </w:p>
        </w:tc>
      </w:tr>
      <w:tr w14:paraId="0E33C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37" w:type="pct"/>
            <w:shd w:val="clear" w:color="auto" w:fill="auto"/>
            <w:vAlign w:val="center"/>
          </w:tcPr>
          <w:p w14:paraId="1CBFF20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799" w:type="pct"/>
            <w:shd w:val="clear" w:color="auto" w:fill="auto"/>
            <w:vAlign w:val="center"/>
          </w:tcPr>
          <w:p w14:paraId="0AB4238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砌砖</w:t>
            </w:r>
          </w:p>
        </w:tc>
        <w:tc>
          <w:tcPr>
            <w:tcW w:w="363" w:type="pct"/>
            <w:shd w:val="clear" w:color="auto" w:fill="auto"/>
            <w:vAlign w:val="center"/>
          </w:tcPr>
          <w:p w14:paraId="3BC39BA1">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p>
        </w:tc>
        <w:tc>
          <w:tcPr>
            <w:tcW w:w="372" w:type="pct"/>
            <w:shd w:val="clear" w:color="auto" w:fill="auto"/>
            <w:vAlign w:val="center"/>
          </w:tcPr>
          <w:p w14:paraId="5A36420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389.05</w:t>
            </w:r>
          </w:p>
        </w:tc>
        <w:tc>
          <w:tcPr>
            <w:tcW w:w="353" w:type="pct"/>
            <w:shd w:val="clear" w:color="auto" w:fill="auto"/>
            <w:vAlign w:val="center"/>
          </w:tcPr>
          <w:p w14:paraId="6E9119BB">
            <w:pPr>
              <w:pStyle w:val="34"/>
              <w:rPr>
                <w:color w:val="000000" w:themeColor="text1"/>
                <w14:textFill>
                  <w14:solidFill>
                    <w14:schemeClr w14:val="tx1"/>
                  </w14:solidFill>
                </w14:textFill>
              </w:rPr>
            </w:pPr>
            <w:r>
              <w:rPr>
                <w:color w:val="000000" w:themeColor="text1"/>
                <w14:textFill>
                  <w14:solidFill>
                    <w14:schemeClr w14:val="tx1"/>
                  </w14:solidFill>
                </w14:textFill>
              </w:rPr>
              <w:t>170.10</w:t>
            </w:r>
          </w:p>
        </w:tc>
        <w:tc>
          <w:tcPr>
            <w:tcW w:w="353" w:type="pct"/>
            <w:shd w:val="clear" w:color="auto" w:fill="auto"/>
            <w:vAlign w:val="center"/>
          </w:tcPr>
          <w:p w14:paraId="4F95046F">
            <w:pPr>
              <w:pStyle w:val="34"/>
              <w:rPr>
                <w:color w:val="000000" w:themeColor="text1"/>
                <w14:textFill>
                  <w14:solidFill>
                    <w14:schemeClr w14:val="tx1"/>
                  </w14:solidFill>
                </w14:textFill>
              </w:rPr>
            </w:pPr>
            <w:r>
              <w:rPr>
                <w:color w:val="000000" w:themeColor="text1"/>
                <w14:textFill>
                  <w14:solidFill>
                    <w14:schemeClr w14:val="tx1"/>
                  </w14:solidFill>
                </w14:textFill>
              </w:rPr>
              <w:t>105.48</w:t>
            </w:r>
          </w:p>
        </w:tc>
        <w:tc>
          <w:tcPr>
            <w:tcW w:w="353" w:type="pct"/>
            <w:shd w:val="clear" w:color="auto" w:fill="auto"/>
            <w:vAlign w:val="center"/>
          </w:tcPr>
          <w:p w14:paraId="22D7E69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.74</w:t>
            </w:r>
          </w:p>
        </w:tc>
        <w:tc>
          <w:tcPr>
            <w:tcW w:w="353" w:type="pct"/>
            <w:shd w:val="clear" w:color="auto" w:fill="auto"/>
            <w:vAlign w:val="center"/>
          </w:tcPr>
          <w:p w14:paraId="4FB55D7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1.69</w:t>
            </w:r>
          </w:p>
        </w:tc>
        <w:tc>
          <w:tcPr>
            <w:tcW w:w="353" w:type="pct"/>
            <w:shd w:val="clear" w:color="auto" w:fill="auto"/>
            <w:vAlign w:val="center"/>
          </w:tcPr>
          <w:p w14:paraId="7BD02DD8">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3.05</w:t>
            </w:r>
          </w:p>
        </w:tc>
        <w:tc>
          <w:tcPr>
            <w:tcW w:w="353" w:type="pct"/>
            <w:shd w:val="clear" w:color="auto" w:fill="auto"/>
            <w:vAlign w:val="center"/>
          </w:tcPr>
          <w:p w14:paraId="7C7BA27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1.22</w:t>
            </w:r>
          </w:p>
        </w:tc>
        <w:tc>
          <w:tcPr>
            <w:tcW w:w="353" w:type="pct"/>
            <w:shd w:val="clear" w:color="auto" w:fill="auto"/>
            <w:vAlign w:val="center"/>
          </w:tcPr>
          <w:p w14:paraId="2E1497C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.20</w:t>
            </w:r>
          </w:p>
        </w:tc>
        <w:tc>
          <w:tcPr>
            <w:tcW w:w="375" w:type="pct"/>
            <w:shd w:val="clear" w:color="auto" w:fill="auto"/>
            <w:vAlign w:val="center"/>
          </w:tcPr>
          <w:p w14:paraId="670EAFF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9.20</w:t>
            </w:r>
          </w:p>
        </w:tc>
        <w:tc>
          <w:tcPr>
            <w:tcW w:w="380" w:type="pct"/>
            <w:vAlign w:val="center"/>
          </w:tcPr>
          <w:p w14:paraId="3980687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5.37</w:t>
            </w:r>
          </w:p>
        </w:tc>
      </w:tr>
      <w:tr w14:paraId="4C663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37" w:type="pct"/>
            <w:shd w:val="clear" w:color="auto" w:fill="auto"/>
            <w:vAlign w:val="center"/>
          </w:tcPr>
          <w:p w14:paraId="73EFA8EB">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799" w:type="pct"/>
            <w:shd w:val="clear" w:color="auto" w:fill="auto"/>
            <w:vAlign w:val="center"/>
          </w:tcPr>
          <w:p w14:paraId="4C3023B3">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抚育管理</w:t>
            </w:r>
          </w:p>
        </w:tc>
        <w:tc>
          <w:tcPr>
            <w:tcW w:w="363" w:type="pct"/>
            <w:shd w:val="clear" w:color="auto" w:fill="auto"/>
            <w:vAlign w:val="center"/>
          </w:tcPr>
          <w:p w14:paraId="6DD66C42">
            <w:pPr>
              <w:pStyle w:val="34"/>
              <w:rPr>
                <w:color w:val="000000" w:themeColor="text1"/>
                <w14:textFill>
                  <w14:solidFill>
                    <w14:schemeClr w14:val="tx1"/>
                  </w14:solidFill>
                </w14:textFill>
              </w:rPr>
            </w:pPr>
            <w:r>
              <w:rPr>
                <w:color w:val="000000" w:themeColor="text1"/>
                <w14:textFill>
                  <w14:solidFill>
                    <w14:schemeClr w14:val="tx1"/>
                  </w14:solidFill>
                </w14:textFill>
              </w:rPr>
              <w:t>1hm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年</w:t>
            </w:r>
          </w:p>
        </w:tc>
        <w:tc>
          <w:tcPr>
            <w:tcW w:w="372" w:type="pct"/>
            <w:shd w:val="clear" w:color="auto" w:fill="auto"/>
            <w:vAlign w:val="center"/>
          </w:tcPr>
          <w:p w14:paraId="5603FED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53.88 </w:t>
            </w:r>
          </w:p>
        </w:tc>
        <w:tc>
          <w:tcPr>
            <w:tcW w:w="353" w:type="pct"/>
            <w:shd w:val="clear" w:color="auto" w:fill="auto"/>
            <w:vAlign w:val="center"/>
          </w:tcPr>
          <w:p w14:paraId="7254301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754.72</w:t>
            </w:r>
          </w:p>
        </w:tc>
        <w:tc>
          <w:tcPr>
            <w:tcW w:w="353" w:type="pct"/>
            <w:shd w:val="clear" w:color="auto" w:fill="auto"/>
            <w:vAlign w:val="center"/>
          </w:tcPr>
          <w:p w14:paraId="22C5756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101.89</w:t>
            </w:r>
          </w:p>
        </w:tc>
        <w:tc>
          <w:tcPr>
            <w:tcW w:w="353" w:type="pct"/>
            <w:shd w:val="clear" w:color="auto" w:fill="auto"/>
            <w:vAlign w:val="center"/>
          </w:tcPr>
          <w:p w14:paraId="0C353634">
            <w:pPr>
              <w:pStyle w:val="34"/>
              <w:rPr>
                <w:color w:val="000000" w:themeColor="text1"/>
                <w14:textFill>
                  <w14:solidFill>
                    <w14:schemeClr w14:val="tx1"/>
                  </w14:solidFill>
                </w14:textFill>
              </w:rPr>
            </w:pPr>
          </w:p>
        </w:tc>
        <w:tc>
          <w:tcPr>
            <w:tcW w:w="353" w:type="pct"/>
            <w:shd w:val="clear" w:color="auto" w:fill="auto"/>
            <w:vAlign w:val="center"/>
          </w:tcPr>
          <w:p w14:paraId="706D173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61.98</w:t>
            </w:r>
          </w:p>
        </w:tc>
        <w:tc>
          <w:tcPr>
            <w:tcW w:w="353" w:type="pct"/>
            <w:shd w:val="clear" w:color="auto" w:fill="auto"/>
            <w:vAlign w:val="center"/>
          </w:tcPr>
          <w:p w14:paraId="241FBCB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80.84</w:t>
            </w:r>
          </w:p>
        </w:tc>
        <w:tc>
          <w:tcPr>
            <w:tcW w:w="353" w:type="pct"/>
            <w:shd w:val="clear" w:color="auto" w:fill="auto"/>
            <w:vAlign w:val="center"/>
          </w:tcPr>
          <w:p w14:paraId="7098AE4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93.96</w:t>
            </w:r>
          </w:p>
        </w:tc>
        <w:tc>
          <w:tcPr>
            <w:tcW w:w="353" w:type="pct"/>
            <w:shd w:val="clear" w:color="auto" w:fill="auto"/>
            <w:vAlign w:val="center"/>
          </w:tcPr>
          <w:p w14:paraId="2C637B51">
            <w:pPr>
              <w:pStyle w:val="34"/>
              <w:rPr>
                <w:color w:val="000000" w:themeColor="text1"/>
                <w14:textFill>
                  <w14:solidFill>
                    <w14:schemeClr w14:val="tx1"/>
                  </w14:solidFill>
                </w14:textFill>
              </w:rPr>
            </w:pPr>
          </w:p>
        </w:tc>
        <w:tc>
          <w:tcPr>
            <w:tcW w:w="375" w:type="pct"/>
            <w:shd w:val="clear" w:color="auto" w:fill="auto"/>
            <w:vAlign w:val="center"/>
          </w:tcPr>
          <w:p w14:paraId="7F7EA6DE">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04.4</w:t>
            </w:r>
          </w:p>
        </w:tc>
        <w:tc>
          <w:tcPr>
            <w:tcW w:w="380" w:type="pct"/>
            <w:vAlign w:val="center"/>
          </w:tcPr>
          <w:p w14:paraId="38D487B0">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89.78</w:t>
            </w:r>
          </w:p>
        </w:tc>
      </w:tr>
    </w:tbl>
    <w:p w14:paraId="08D6EA13">
      <w:pPr>
        <w:pStyle w:val="3"/>
        <w:rPr>
          <w:color w:val="000000" w:themeColor="text1"/>
          <w14:textFill>
            <w14:solidFill>
              <w14:schemeClr w14:val="tx1"/>
            </w14:solidFill>
          </w14:textFill>
        </w:rPr>
      </w:pPr>
      <w:bookmarkStart w:id="119" w:name="_Toc27749"/>
      <w:r>
        <w:rPr>
          <w:rFonts w:hint="eastAsia"/>
          <w:color w:val="000000" w:themeColor="text1"/>
          <w14:textFill>
            <w14:solidFill>
              <w14:schemeClr w14:val="tx1"/>
            </w14:solidFill>
          </w14:textFill>
        </w:rPr>
        <w:t>7.2效益分析</w:t>
      </w:r>
      <w:bookmarkEnd w:id="119"/>
    </w:p>
    <w:p w14:paraId="37DE8F6E">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的水土保持方案以减轻和控制防治责任范围内的水土流失为目的，落实国家及地方有关水土保持法律法规的要求，通过水土保持工程措施和植物措施的实施，项目区内被破坏的水土保持设施将得到有效治理，可恢复项目区的植被，提高林草覆盖率，防治产生新的水土流失，促进区域生态环境的改善，使项目区的水土保持效益、生态效益、经济效益等方面都有较大的改善和提高。</w:t>
      </w:r>
    </w:p>
    <w:p w14:paraId="70312F19">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7.2.1水土保持效益</w:t>
      </w:r>
    </w:p>
    <w:p w14:paraId="29E8BE81">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通过对项目建设区采取工程措施、植物措施和临时措施相结合的水土保持综合防治，待措施充分发挥效益后，基本能够减少或遏制因项目建设而引起的水土流失量，促进项目区的生态系统的恢复。</w:t>
      </w:r>
    </w:p>
    <w:p w14:paraId="60E12E68">
      <w:pPr>
        <w:ind w:firstLine="480"/>
        <w:rPr>
          <w:rFonts w:hint="eastAsia"/>
          <w:color w:val="000000" w:themeColor="text1"/>
          <w14:textFill>
            <w14:solidFill>
              <w14:schemeClr w14:val="tx1"/>
            </w14:solidFill>
          </w14:textFill>
        </w:rPr>
      </w:pPr>
      <w:r>
        <w:rPr>
          <w:color w:val="000000" w:themeColor="text1"/>
          <w14:textFill>
            <w14:solidFill>
              <w14:schemeClr w14:val="tx1"/>
            </w14:solidFill>
          </w14:textFill>
        </w:rPr>
        <w:t>水土保持效益指标包括</w:t>
      </w:r>
      <w:r>
        <w:rPr>
          <w:rFonts w:hint="eastAsia"/>
          <w:color w:val="000000" w:themeColor="text1"/>
          <w14:textFill>
            <w14:solidFill>
              <w14:schemeClr w14:val="tx1"/>
            </w14:solidFill>
          </w14:textFill>
        </w:rPr>
        <w:t>水土流失治理度</w:t>
      </w:r>
      <w:r>
        <w:rPr>
          <w:color w:val="000000" w:themeColor="text1"/>
          <w14:textFill>
            <w14:solidFill>
              <w14:schemeClr w14:val="tx1"/>
            </w14:solidFill>
          </w14:textFill>
        </w:rPr>
        <w:t>、土壤流失控制比、</w:t>
      </w:r>
      <w:r>
        <w:rPr>
          <w:rFonts w:hint="eastAsia"/>
          <w:color w:val="000000" w:themeColor="text1"/>
          <w14:textFill>
            <w14:solidFill>
              <w14:schemeClr w14:val="tx1"/>
            </w14:solidFill>
          </w14:textFill>
        </w:rPr>
        <w:t>渣土防护率、</w:t>
      </w:r>
      <w:r>
        <w:rPr>
          <w:color w:val="000000" w:themeColor="text1"/>
          <w14:textFill>
            <w14:solidFill>
              <w14:schemeClr w14:val="tx1"/>
            </w14:solidFill>
          </w14:textFill>
        </w:rPr>
        <w:t>林草植被恢复率和林草覆盖率等。根据本方案采取的措施，计算结果详见表</w:t>
      </w:r>
      <w:r>
        <w:rPr>
          <w:rFonts w:hint="eastAsia"/>
          <w:color w:val="000000" w:themeColor="text1"/>
          <w14:textFill>
            <w14:solidFill>
              <w14:schemeClr w14:val="tx1"/>
            </w14:solidFill>
          </w14:textFill>
        </w:rPr>
        <w:t>7.2-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p>
    <w:p w14:paraId="02FE9D5D">
      <w:pPr>
        <w:pStyle w:val="33"/>
        <w:ind w:firstLine="1581" w:firstLineChars="750"/>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7.2-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设计水平年</w:t>
      </w:r>
      <w:r>
        <w:rPr>
          <w:rFonts w:hint="eastAsia"/>
          <w:color w:val="000000" w:themeColor="text1"/>
          <w14:textFill>
            <w14:solidFill>
              <w14:schemeClr w14:val="tx1"/>
            </w14:solidFill>
          </w14:textFill>
        </w:rPr>
        <w:t>本</w:t>
      </w:r>
      <w:r>
        <w:rPr>
          <w:color w:val="000000" w:themeColor="text1"/>
          <w14:textFill>
            <w14:solidFill>
              <w14:schemeClr w14:val="tx1"/>
            </w14:solidFill>
          </w14:textFill>
        </w:rPr>
        <w:t>方案6项指标目标值分析对比表</w:t>
      </w:r>
    </w:p>
    <w:tbl>
      <w:tblPr>
        <w:tblStyle w:val="26"/>
        <w:tblW w:w="898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393"/>
        <w:gridCol w:w="739"/>
        <w:gridCol w:w="2492"/>
        <w:gridCol w:w="1050"/>
        <w:gridCol w:w="844"/>
        <w:gridCol w:w="918"/>
        <w:gridCol w:w="1552"/>
      </w:tblGrid>
      <w:tr w14:paraId="71D01C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393" w:type="dxa"/>
            <w:tcBorders>
              <w:tl2br w:val="nil"/>
              <w:tr2bl w:val="nil"/>
            </w:tcBorders>
            <w:vAlign w:val="center"/>
          </w:tcPr>
          <w:p w14:paraId="39BE39ED">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指标名称</w:t>
            </w:r>
          </w:p>
        </w:tc>
        <w:tc>
          <w:tcPr>
            <w:tcW w:w="739" w:type="dxa"/>
            <w:tcBorders>
              <w:tl2br w:val="nil"/>
              <w:tr2bl w:val="nil"/>
            </w:tcBorders>
            <w:vAlign w:val="center"/>
          </w:tcPr>
          <w:p w14:paraId="51C11363">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目标值（%）</w:t>
            </w:r>
          </w:p>
        </w:tc>
        <w:tc>
          <w:tcPr>
            <w:tcW w:w="2492" w:type="dxa"/>
            <w:tcBorders>
              <w:tl2br w:val="nil"/>
              <w:tr2bl w:val="nil"/>
            </w:tcBorders>
            <w:vAlign w:val="center"/>
          </w:tcPr>
          <w:p w14:paraId="77119215">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计算依据</w:t>
            </w:r>
          </w:p>
        </w:tc>
        <w:tc>
          <w:tcPr>
            <w:tcW w:w="1050" w:type="dxa"/>
            <w:tcBorders>
              <w:tl2br w:val="nil"/>
              <w:tr2bl w:val="nil"/>
            </w:tcBorders>
            <w:vAlign w:val="center"/>
          </w:tcPr>
          <w:p w14:paraId="781E16A7">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单位</w:t>
            </w:r>
          </w:p>
        </w:tc>
        <w:tc>
          <w:tcPr>
            <w:tcW w:w="844" w:type="dxa"/>
            <w:tcBorders>
              <w:tl2br w:val="nil"/>
              <w:tr2bl w:val="nil"/>
            </w:tcBorders>
            <w:vAlign w:val="center"/>
          </w:tcPr>
          <w:p w14:paraId="3557FB95">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数量</w:t>
            </w:r>
          </w:p>
        </w:tc>
        <w:tc>
          <w:tcPr>
            <w:tcW w:w="918" w:type="dxa"/>
            <w:tcBorders>
              <w:tl2br w:val="nil"/>
              <w:tr2bl w:val="nil"/>
            </w:tcBorders>
            <w:vAlign w:val="center"/>
          </w:tcPr>
          <w:p w14:paraId="0B5B40CC">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设计值（%）</w:t>
            </w:r>
          </w:p>
        </w:tc>
        <w:tc>
          <w:tcPr>
            <w:tcW w:w="1552" w:type="dxa"/>
            <w:tcBorders>
              <w:tl2br w:val="nil"/>
              <w:tr2bl w:val="nil"/>
            </w:tcBorders>
            <w:vAlign w:val="center"/>
          </w:tcPr>
          <w:p w14:paraId="46D19864">
            <w:pPr>
              <w:pStyle w:val="34"/>
              <w:rPr>
                <w:color w:val="000000" w:themeColor="text1"/>
                <w:szCs w:val="18"/>
                <w14:textFill>
                  <w14:solidFill>
                    <w14:schemeClr w14:val="tx1"/>
                  </w14:solidFill>
                </w14:textFill>
              </w:rPr>
            </w:pPr>
            <w:r>
              <w:rPr>
                <w:color w:val="000000" w:themeColor="text1"/>
                <w:szCs w:val="18"/>
                <w14:textFill>
                  <w14:solidFill>
                    <w14:schemeClr w14:val="tx1"/>
                  </w14:solidFill>
                </w14:textFill>
              </w:rPr>
              <w:t>达标情况</w:t>
            </w:r>
          </w:p>
        </w:tc>
      </w:tr>
      <w:tr w14:paraId="2633FA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393" w:type="dxa"/>
            <w:vMerge w:val="restart"/>
            <w:tcBorders>
              <w:tl2br w:val="nil"/>
              <w:tr2bl w:val="nil"/>
            </w:tcBorders>
            <w:vAlign w:val="center"/>
          </w:tcPr>
          <w:p w14:paraId="57EA0034">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水土流失治理度</w:t>
            </w:r>
          </w:p>
        </w:tc>
        <w:tc>
          <w:tcPr>
            <w:tcW w:w="739" w:type="dxa"/>
            <w:vMerge w:val="restart"/>
            <w:tcBorders>
              <w:tl2br w:val="nil"/>
              <w:tr2bl w:val="nil"/>
            </w:tcBorders>
            <w:vAlign w:val="center"/>
          </w:tcPr>
          <w:p w14:paraId="4716AA6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97</w:t>
            </w:r>
          </w:p>
        </w:tc>
        <w:tc>
          <w:tcPr>
            <w:tcW w:w="2492" w:type="dxa"/>
            <w:tcBorders>
              <w:tl2br w:val="nil"/>
              <w:tr2bl w:val="nil"/>
            </w:tcBorders>
            <w:vAlign w:val="center"/>
          </w:tcPr>
          <w:p w14:paraId="4B94E1C7">
            <w:pPr>
              <w:pStyle w:val="34"/>
              <w:rPr>
                <w:color w:val="000000" w:themeColor="text1"/>
                <w14:textFill>
                  <w14:solidFill>
                    <w14:schemeClr w14:val="tx1"/>
                  </w14:solidFill>
                </w14:textFill>
              </w:rPr>
            </w:pPr>
            <w:r>
              <w:rPr>
                <w:color w:val="000000" w:themeColor="text1"/>
                <w14:textFill>
                  <w14:solidFill>
                    <w14:schemeClr w14:val="tx1"/>
                  </w14:solidFill>
                </w14:textFill>
              </w:rPr>
              <w:t>水土</w:t>
            </w:r>
            <w:r>
              <w:rPr>
                <w:rFonts w:hint="eastAsia"/>
                <w:color w:val="000000" w:themeColor="text1"/>
                <w14:textFill>
                  <w14:solidFill>
                    <w14:schemeClr w14:val="tx1"/>
                  </w14:solidFill>
                </w14:textFill>
              </w:rPr>
              <w:t>流失治理达标面积</w:t>
            </w:r>
          </w:p>
        </w:tc>
        <w:tc>
          <w:tcPr>
            <w:tcW w:w="1050" w:type="dxa"/>
            <w:tcBorders>
              <w:tl2br w:val="nil"/>
              <w:tr2bl w:val="nil"/>
            </w:tcBorders>
            <w:vAlign w:val="center"/>
          </w:tcPr>
          <w:p w14:paraId="29A66264">
            <w:pPr>
              <w:pStyle w:val="34"/>
              <w:rPr>
                <w:color w:val="000000" w:themeColor="text1"/>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844" w:type="dxa"/>
            <w:tcBorders>
              <w:tl2br w:val="nil"/>
              <w:tr2bl w:val="nil"/>
            </w:tcBorders>
            <w:vAlign w:val="center"/>
          </w:tcPr>
          <w:p w14:paraId="6F195AA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0.93</w:t>
            </w:r>
          </w:p>
        </w:tc>
        <w:tc>
          <w:tcPr>
            <w:tcW w:w="918" w:type="dxa"/>
            <w:vMerge w:val="restart"/>
            <w:tcBorders>
              <w:tl2br w:val="nil"/>
              <w:tr2bl w:val="nil"/>
            </w:tcBorders>
            <w:vAlign w:val="center"/>
          </w:tcPr>
          <w:p w14:paraId="3AB7F869">
            <w:pPr>
              <w:pStyle w:val="34"/>
              <w:rPr>
                <w:color w:val="000000" w:themeColor="text1"/>
                <w14:textFill>
                  <w14:solidFill>
                    <w14:schemeClr w14:val="tx1"/>
                  </w14:solidFill>
                </w14:textFill>
              </w:rPr>
            </w:pPr>
            <w:r>
              <w:rPr>
                <w:color w:val="000000" w:themeColor="text1"/>
                <w14:textFill>
                  <w14:solidFill>
                    <w14:schemeClr w14:val="tx1"/>
                  </w14:solidFill>
                </w14:textFill>
              </w:rPr>
              <w:t>9</w:t>
            </w:r>
            <w:r>
              <w:rPr>
                <w:rFonts w:hint="eastAsia"/>
                <w:color w:val="000000" w:themeColor="text1"/>
                <w14:textFill>
                  <w14:solidFill>
                    <w14:schemeClr w14:val="tx1"/>
                  </w14:solidFill>
                </w14:textFill>
              </w:rPr>
              <w:t>7.89</w:t>
            </w:r>
          </w:p>
        </w:tc>
        <w:tc>
          <w:tcPr>
            <w:tcW w:w="1552" w:type="dxa"/>
            <w:vMerge w:val="restart"/>
            <w:tcBorders>
              <w:tl2br w:val="nil"/>
              <w:tr2bl w:val="nil"/>
            </w:tcBorders>
            <w:vAlign w:val="center"/>
          </w:tcPr>
          <w:p w14:paraId="3EC1A717">
            <w:pPr>
              <w:pStyle w:val="34"/>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01AD6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393" w:type="dxa"/>
            <w:vMerge w:val="continue"/>
            <w:tcBorders>
              <w:tl2br w:val="nil"/>
              <w:tr2bl w:val="nil"/>
            </w:tcBorders>
            <w:vAlign w:val="center"/>
          </w:tcPr>
          <w:p w14:paraId="330F25CB">
            <w:pPr>
              <w:pStyle w:val="34"/>
              <w:rPr>
                <w:color w:val="000000" w:themeColor="text1"/>
                <w14:textFill>
                  <w14:solidFill>
                    <w14:schemeClr w14:val="tx1"/>
                  </w14:solidFill>
                </w14:textFill>
              </w:rPr>
            </w:pPr>
          </w:p>
        </w:tc>
        <w:tc>
          <w:tcPr>
            <w:tcW w:w="739" w:type="dxa"/>
            <w:vMerge w:val="continue"/>
            <w:tcBorders>
              <w:tl2br w:val="nil"/>
              <w:tr2bl w:val="nil"/>
            </w:tcBorders>
            <w:vAlign w:val="center"/>
          </w:tcPr>
          <w:p w14:paraId="6729AEDE">
            <w:pPr>
              <w:pStyle w:val="34"/>
              <w:rPr>
                <w:color w:val="000000" w:themeColor="text1"/>
                <w14:textFill>
                  <w14:solidFill>
                    <w14:schemeClr w14:val="tx1"/>
                  </w14:solidFill>
                </w14:textFill>
              </w:rPr>
            </w:pPr>
          </w:p>
        </w:tc>
        <w:tc>
          <w:tcPr>
            <w:tcW w:w="2492" w:type="dxa"/>
            <w:tcBorders>
              <w:tl2br w:val="nil"/>
              <w:tr2bl w:val="nil"/>
            </w:tcBorders>
            <w:vAlign w:val="center"/>
          </w:tcPr>
          <w:p w14:paraId="4526577C">
            <w:pPr>
              <w:pStyle w:val="34"/>
              <w:rPr>
                <w:color w:val="000000" w:themeColor="text1"/>
                <w14:textFill>
                  <w14:solidFill>
                    <w14:schemeClr w14:val="tx1"/>
                  </w14:solidFill>
                </w14:textFill>
              </w:rPr>
            </w:pPr>
            <w:r>
              <w:rPr>
                <w:color w:val="000000" w:themeColor="text1"/>
                <w14:textFill>
                  <w14:solidFill>
                    <w14:schemeClr w14:val="tx1"/>
                  </w14:solidFill>
                </w14:textFill>
              </w:rPr>
              <w:t>水土流失</w:t>
            </w:r>
            <w:r>
              <w:rPr>
                <w:rFonts w:hint="eastAsia"/>
                <w:color w:val="000000" w:themeColor="text1"/>
                <w14:textFill>
                  <w14:solidFill>
                    <w14:schemeClr w14:val="tx1"/>
                  </w14:solidFill>
                </w14:textFill>
              </w:rPr>
              <w:t>总</w:t>
            </w:r>
            <w:r>
              <w:rPr>
                <w:color w:val="000000" w:themeColor="text1"/>
                <w14:textFill>
                  <w14:solidFill>
                    <w14:schemeClr w14:val="tx1"/>
                  </w14:solidFill>
                </w14:textFill>
              </w:rPr>
              <w:t>面积</w:t>
            </w:r>
          </w:p>
        </w:tc>
        <w:tc>
          <w:tcPr>
            <w:tcW w:w="1050" w:type="dxa"/>
            <w:tcBorders>
              <w:tl2br w:val="nil"/>
              <w:tr2bl w:val="nil"/>
            </w:tcBorders>
            <w:vAlign w:val="center"/>
          </w:tcPr>
          <w:p w14:paraId="6AF70BE8">
            <w:pPr>
              <w:pStyle w:val="34"/>
              <w:rPr>
                <w:color w:val="000000" w:themeColor="text1"/>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844" w:type="dxa"/>
            <w:tcBorders>
              <w:tl2br w:val="nil"/>
              <w:tr2bl w:val="nil"/>
            </w:tcBorders>
            <w:vAlign w:val="center"/>
          </w:tcPr>
          <w:p w14:paraId="2290B7A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0.95</w:t>
            </w:r>
          </w:p>
        </w:tc>
        <w:tc>
          <w:tcPr>
            <w:tcW w:w="918" w:type="dxa"/>
            <w:vMerge w:val="continue"/>
            <w:tcBorders>
              <w:tl2br w:val="nil"/>
              <w:tr2bl w:val="nil"/>
            </w:tcBorders>
            <w:vAlign w:val="center"/>
          </w:tcPr>
          <w:p w14:paraId="24E2123B">
            <w:pPr>
              <w:pStyle w:val="34"/>
              <w:rPr>
                <w:color w:val="000000" w:themeColor="text1"/>
                <w14:textFill>
                  <w14:solidFill>
                    <w14:schemeClr w14:val="tx1"/>
                  </w14:solidFill>
                </w14:textFill>
              </w:rPr>
            </w:pPr>
          </w:p>
        </w:tc>
        <w:tc>
          <w:tcPr>
            <w:tcW w:w="1552" w:type="dxa"/>
            <w:vMerge w:val="continue"/>
            <w:tcBorders>
              <w:tl2br w:val="nil"/>
              <w:tr2bl w:val="nil"/>
            </w:tcBorders>
            <w:vAlign w:val="center"/>
          </w:tcPr>
          <w:p w14:paraId="0FE21A62">
            <w:pPr>
              <w:pStyle w:val="34"/>
              <w:rPr>
                <w:color w:val="000000" w:themeColor="text1"/>
                <w14:textFill>
                  <w14:solidFill>
                    <w14:schemeClr w14:val="tx1"/>
                  </w14:solidFill>
                </w14:textFill>
              </w:rPr>
            </w:pPr>
          </w:p>
        </w:tc>
      </w:tr>
      <w:tr w14:paraId="5186B1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393" w:type="dxa"/>
            <w:vMerge w:val="restart"/>
            <w:tcBorders>
              <w:tl2br w:val="nil"/>
              <w:tr2bl w:val="nil"/>
            </w:tcBorders>
            <w:vAlign w:val="center"/>
          </w:tcPr>
          <w:p w14:paraId="50B22ED5">
            <w:pPr>
              <w:pStyle w:val="34"/>
              <w:rPr>
                <w:color w:val="000000" w:themeColor="text1"/>
                <w14:textFill>
                  <w14:solidFill>
                    <w14:schemeClr w14:val="tx1"/>
                  </w14:solidFill>
                </w14:textFill>
              </w:rPr>
            </w:pPr>
            <w:r>
              <w:rPr>
                <w:color w:val="000000" w:themeColor="text1"/>
                <w14:textFill>
                  <w14:solidFill>
                    <w14:schemeClr w14:val="tx1"/>
                  </w14:solidFill>
                </w14:textFill>
              </w:rPr>
              <w:t>土壤流失控制比</w:t>
            </w:r>
          </w:p>
        </w:tc>
        <w:tc>
          <w:tcPr>
            <w:tcW w:w="739" w:type="dxa"/>
            <w:vMerge w:val="restart"/>
            <w:tcBorders>
              <w:tl2br w:val="nil"/>
              <w:tr2bl w:val="nil"/>
            </w:tcBorders>
            <w:vAlign w:val="center"/>
          </w:tcPr>
          <w:p w14:paraId="5EBB8B1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2492" w:type="dxa"/>
            <w:tcBorders>
              <w:tl2br w:val="nil"/>
              <w:tr2bl w:val="nil"/>
            </w:tcBorders>
            <w:vAlign w:val="center"/>
          </w:tcPr>
          <w:p w14:paraId="5BD4499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水土流失防治责任范围内</w:t>
            </w:r>
            <w:r>
              <w:rPr>
                <w:color w:val="000000" w:themeColor="text1"/>
                <w14:textFill>
                  <w14:solidFill>
                    <w14:schemeClr w14:val="tx1"/>
                  </w14:solidFill>
                </w14:textFill>
              </w:rPr>
              <w:t>容许土壤流失量</w:t>
            </w:r>
          </w:p>
        </w:tc>
        <w:tc>
          <w:tcPr>
            <w:tcW w:w="1050" w:type="dxa"/>
            <w:tcBorders>
              <w:tl2br w:val="nil"/>
              <w:tr2bl w:val="nil"/>
            </w:tcBorders>
            <w:vAlign w:val="center"/>
          </w:tcPr>
          <w:p w14:paraId="7A1854A9">
            <w:pPr>
              <w:pStyle w:val="34"/>
              <w:rPr>
                <w:color w:val="000000" w:themeColor="text1"/>
                <w14:textFill>
                  <w14:solidFill>
                    <w14:schemeClr w14:val="tx1"/>
                  </w14:solidFill>
                </w14:textFill>
              </w:rPr>
            </w:pPr>
            <w:r>
              <w:rPr>
                <w:color w:val="000000" w:themeColor="text1"/>
                <w14:textFill>
                  <w14:solidFill>
                    <w14:schemeClr w14:val="tx1"/>
                  </w14:solidFill>
                </w14:textFill>
              </w:rPr>
              <w:t>t/(km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·a)</w:t>
            </w:r>
          </w:p>
        </w:tc>
        <w:tc>
          <w:tcPr>
            <w:tcW w:w="844" w:type="dxa"/>
            <w:tcBorders>
              <w:tl2br w:val="nil"/>
              <w:tr2bl w:val="nil"/>
            </w:tcBorders>
            <w:vAlign w:val="center"/>
          </w:tcPr>
          <w:p w14:paraId="1274CEAF">
            <w:pPr>
              <w:pStyle w:val="34"/>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918" w:type="dxa"/>
            <w:vMerge w:val="restart"/>
            <w:tcBorders>
              <w:tl2br w:val="nil"/>
              <w:tr2bl w:val="nil"/>
            </w:tcBorders>
            <w:vAlign w:val="center"/>
          </w:tcPr>
          <w:p w14:paraId="2629C9A5">
            <w:pPr>
              <w:pStyle w:val="34"/>
              <w:rPr>
                <w:rFonts w:hint="eastAsia" w:eastAsia="仿宋_GB2312"/>
                <w:color w:val="000000" w:themeColor="text1"/>
                <w:lang w:eastAsia="zh-CN"/>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0</w:t>
            </w:r>
          </w:p>
        </w:tc>
        <w:tc>
          <w:tcPr>
            <w:tcW w:w="1552" w:type="dxa"/>
            <w:vMerge w:val="restart"/>
            <w:tcBorders>
              <w:tl2br w:val="nil"/>
              <w:tr2bl w:val="nil"/>
            </w:tcBorders>
            <w:vAlign w:val="center"/>
          </w:tcPr>
          <w:p w14:paraId="2C299004">
            <w:pPr>
              <w:pStyle w:val="34"/>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989E9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393" w:type="dxa"/>
            <w:vMerge w:val="continue"/>
            <w:tcBorders>
              <w:tl2br w:val="nil"/>
              <w:tr2bl w:val="nil"/>
            </w:tcBorders>
            <w:vAlign w:val="center"/>
          </w:tcPr>
          <w:p w14:paraId="3752C4B3">
            <w:pPr>
              <w:pStyle w:val="34"/>
              <w:rPr>
                <w:color w:val="000000" w:themeColor="text1"/>
                <w14:textFill>
                  <w14:solidFill>
                    <w14:schemeClr w14:val="tx1"/>
                  </w14:solidFill>
                </w14:textFill>
              </w:rPr>
            </w:pPr>
          </w:p>
        </w:tc>
        <w:tc>
          <w:tcPr>
            <w:tcW w:w="739" w:type="dxa"/>
            <w:vMerge w:val="continue"/>
            <w:tcBorders>
              <w:tl2br w:val="nil"/>
              <w:tr2bl w:val="nil"/>
            </w:tcBorders>
            <w:vAlign w:val="center"/>
          </w:tcPr>
          <w:p w14:paraId="7D50CFC8">
            <w:pPr>
              <w:pStyle w:val="34"/>
              <w:rPr>
                <w:color w:val="000000" w:themeColor="text1"/>
                <w14:textFill>
                  <w14:solidFill>
                    <w14:schemeClr w14:val="tx1"/>
                  </w14:solidFill>
                </w14:textFill>
              </w:rPr>
            </w:pPr>
          </w:p>
        </w:tc>
        <w:tc>
          <w:tcPr>
            <w:tcW w:w="2492" w:type="dxa"/>
            <w:tcBorders>
              <w:tl2br w:val="nil"/>
              <w:tr2bl w:val="nil"/>
            </w:tcBorders>
            <w:vAlign w:val="center"/>
          </w:tcPr>
          <w:p w14:paraId="204013C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治理后每平方公里年均土壤流失量</w:t>
            </w:r>
          </w:p>
        </w:tc>
        <w:tc>
          <w:tcPr>
            <w:tcW w:w="1050" w:type="dxa"/>
            <w:tcBorders>
              <w:tl2br w:val="nil"/>
              <w:tr2bl w:val="nil"/>
            </w:tcBorders>
            <w:vAlign w:val="center"/>
          </w:tcPr>
          <w:p w14:paraId="5544B242">
            <w:pPr>
              <w:pStyle w:val="34"/>
              <w:rPr>
                <w:color w:val="000000" w:themeColor="text1"/>
                <w14:textFill>
                  <w14:solidFill>
                    <w14:schemeClr w14:val="tx1"/>
                  </w14:solidFill>
                </w14:textFill>
              </w:rPr>
            </w:pPr>
            <w:r>
              <w:rPr>
                <w:color w:val="000000" w:themeColor="text1"/>
                <w14:textFill>
                  <w14:solidFill>
                    <w14:schemeClr w14:val="tx1"/>
                  </w14:solidFill>
                </w14:textFill>
              </w:rPr>
              <w:t>t/(km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·a)</w:t>
            </w:r>
          </w:p>
        </w:tc>
        <w:tc>
          <w:tcPr>
            <w:tcW w:w="844" w:type="dxa"/>
            <w:tcBorders>
              <w:tl2br w:val="nil"/>
              <w:tr2bl w:val="nil"/>
            </w:tcBorders>
            <w:vAlign w:val="center"/>
          </w:tcPr>
          <w:p w14:paraId="47776172">
            <w:pPr>
              <w:pStyle w:val="34"/>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918" w:type="dxa"/>
            <w:vMerge w:val="continue"/>
            <w:tcBorders>
              <w:tl2br w:val="nil"/>
              <w:tr2bl w:val="nil"/>
            </w:tcBorders>
            <w:vAlign w:val="center"/>
          </w:tcPr>
          <w:p w14:paraId="49E23997">
            <w:pPr>
              <w:pStyle w:val="34"/>
              <w:rPr>
                <w:color w:val="000000" w:themeColor="text1"/>
                <w14:textFill>
                  <w14:solidFill>
                    <w14:schemeClr w14:val="tx1"/>
                  </w14:solidFill>
                </w14:textFill>
              </w:rPr>
            </w:pPr>
          </w:p>
        </w:tc>
        <w:tc>
          <w:tcPr>
            <w:tcW w:w="1552" w:type="dxa"/>
            <w:vMerge w:val="continue"/>
            <w:tcBorders>
              <w:tl2br w:val="nil"/>
              <w:tr2bl w:val="nil"/>
            </w:tcBorders>
            <w:vAlign w:val="center"/>
          </w:tcPr>
          <w:p w14:paraId="06C83445">
            <w:pPr>
              <w:pStyle w:val="34"/>
              <w:rPr>
                <w:color w:val="000000" w:themeColor="text1"/>
                <w14:textFill>
                  <w14:solidFill>
                    <w14:schemeClr w14:val="tx1"/>
                  </w14:solidFill>
                </w14:textFill>
              </w:rPr>
            </w:pPr>
          </w:p>
        </w:tc>
      </w:tr>
      <w:tr w14:paraId="59B7E7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393" w:type="dxa"/>
            <w:vMerge w:val="restart"/>
            <w:tcBorders>
              <w:tl2br w:val="nil"/>
              <w:tr2bl w:val="nil"/>
            </w:tcBorders>
            <w:vAlign w:val="center"/>
          </w:tcPr>
          <w:p w14:paraId="4ACDA4F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渣土防护率</w:t>
            </w:r>
          </w:p>
        </w:tc>
        <w:tc>
          <w:tcPr>
            <w:tcW w:w="739" w:type="dxa"/>
            <w:vMerge w:val="restart"/>
            <w:tcBorders>
              <w:tl2br w:val="nil"/>
              <w:tr2bl w:val="nil"/>
            </w:tcBorders>
            <w:vAlign w:val="center"/>
          </w:tcPr>
          <w:p w14:paraId="4E3E567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94</w:t>
            </w:r>
          </w:p>
        </w:tc>
        <w:tc>
          <w:tcPr>
            <w:tcW w:w="2492" w:type="dxa"/>
            <w:tcBorders>
              <w:tl2br w:val="nil"/>
              <w:tr2bl w:val="nil"/>
            </w:tcBorders>
            <w:vAlign w:val="center"/>
          </w:tcPr>
          <w:p w14:paraId="48872E87">
            <w:pPr>
              <w:pStyle w:val="34"/>
              <w:rPr>
                <w:color w:val="000000" w:themeColor="text1"/>
                <w14:textFill>
                  <w14:solidFill>
                    <w14:schemeClr w14:val="tx1"/>
                  </w14:solidFill>
                </w14:textFill>
              </w:rPr>
            </w:pPr>
            <w:r>
              <w:rPr>
                <w:color w:val="000000" w:themeColor="text1"/>
                <w14:textFill>
                  <w14:solidFill>
                    <w14:schemeClr w14:val="tx1"/>
                  </w14:solidFill>
                </w14:textFill>
              </w:rPr>
              <w:t>实际挡护的永久弃渣、临时堆土数量</w:t>
            </w:r>
          </w:p>
        </w:tc>
        <w:tc>
          <w:tcPr>
            <w:tcW w:w="1050" w:type="dxa"/>
            <w:tcBorders>
              <w:tl2br w:val="nil"/>
              <w:tr2bl w:val="nil"/>
            </w:tcBorders>
            <w:vAlign w:val="center"/>
          </w:tcPr>
          <w:p w14:paraId="0510C617">
            <w:pPr>
              <w:pStyle w:val="34"/>
              <w:rPr>
                <w:color w:val="000000" w:themeColor="text1"/>
                <w14:textFill>
                  <w14:solidFill>
                    <w14:schemeClr w14:val="tx1"/>
                  </w14:solidFill>
                </w14:textFill>
              </w:rPr>
            </w:pP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p>
        </w:tc>
        <w:tc>
          <w:tcPr>
            <w:tcW w:w="844" w:type="dxa"/>
            <w:tcBorders>
              <w:tl2br w:val="nil"/>
              <w:tr2bl w:val="nil"/>
            </w:tcBorders>
            <w:vAlign w:val="center"/>
          </w:tcPr>
          <w:p w14:paraId="6F8C1A0C">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3.29</w:t>
            </w:r>
          </w:p>
        </w:tc>
        <w:tc>
          <w:tcPr>
            <w:tcW w:w="918" w:type="dxa"/>
            <w:vMerge w:val="restart"/>
            <w:tcBorders>
              <w:tl2br w:val="nil"/>
              <w:tr2bl w:val="nil"/>
            </w:tcBorders>
            <w:vAlign w:val="center"/>
          </w:tcPr>
          <w:p w14:paraId="6CD03950">
            <w:pPr>
              <w:pStyle w:val="34"/>
              <w:rPr>
                <w:color w:val="000000" w:themeColor="text1"/>
                <w14:textFill>
                  <w14:solidFill>
                    <w14:schemeClr w14:val="tx1"/>
                  </w14:solidFill>
                </w14:textFill>
              </w:rPr>
            </w:pPr>
            <w:r>
              <w:rPr>
                <w:color w:val="000000" w:themeColor="text1"/>
                <w14:textFill>
                  <w14:solidFill>
                    <w14:schemeClr w14:val="tx1"/>
                  </w14:solidFill>
                </w14:textFill>
              </w:rPr>
              <w:t>9</w:t>
            </w:r>
            <w:r>
              <w:rPr>
                <w:rFonts w:hint="eastAsia"/>
                <w:color w:val="000000" w:themeColor="text1"/>
                <w14:textFill>
                  <w14:solidFill>
                    <w14:schemeClr w14:val="tx1"/>
                  </w14:solidFill>
                </w14:textFill>
              </w:rPr>
              <w:t>6.48</w:t>
            </w:r>
          </w:p>
        </w:tc>
        <w:tc>
          <w:tcPr>
            <w:tcW w:w="1552" w:type="dxa"/>
            <w:vMerge w:val="restart"/>
            <w:tcBorders>
              <w:tl2br w:val="nil"/>
              <w:tr2bl w:val="nil"/>
            </w:tcBorders>
            <w:vAlign w:val="center"/>
          </w:tcPr>
          <w:p w14:paraId="0B33B51E">
            <w:pPr>
              <w:pStyle w:val="34"/>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2251A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393" w:type="dxa"/>
            <w:vMerge w:val="continue"/>
            <w:tcBorders>
              <w:tl2br w:val="nil"/>
              <w:tr2bl w:val="nil"/>
            </w:tcBorders>
            <w:vAlign w:val="center"/>
          </w:tcPr>
          <w:p w14:paraId="7F3A4FFA">
            <w:pPr>
              <w:pStyle w:val="34"/>
              <w:rPr>
                <w:color w:val="000000" w:themeColor="text1"/>
                <w14:textFill>
                  <w14:solidFill>
                    <w14:schemeClr w14:val="tx1"/>
                  </w14:solidFill>
                </w14:textFill>
              </w:rPr>
            </w:pPr>
          </w:p>
        </w:tc>
        <w:tc>
          <w:tcPr>
            <w:tcW w:w="739" w:type="dxa"/>
            <w:vMerge w:val="continue"/>
            <w:tcBorders>
              <w:tl2br w:val="nil"/>
              <w:tr2bl w:val="nil"/>
            </w:tcBorders>
            <w:vAlign w:val="center"/>
          </w:tcPr>
          <w:p w14:paraId="7B1B2885">
            <w:pPr>
              <w:pStyle w:val="34"/>
              <w:rPr>
                <w:color w:val="000000" w:themeColor="text1"/>
                <w14:textFill>
                  <w14:solidFill>
                    <w14:schemeClr w14:val="tx1"/>
                  </w14:solidFill>
                </w14:textFill>
              </w:rPr>
            </w:pPr>
          </w:p>
        </w:tc>
        <w:tc>
          <w:tcPr>
            <w:tcW w:w="2492" w:type="dxa"/>
            <w:tcBorders>
              <w:tl2br w:val="nil"/>
              <w:tr2bl w:val="nil"/>
            </w:tcBorders>
            <w:vAlign w:val="center"/>
          </w:tcPr>
          <w:p w14:paraId="5BEE7C83">
            <w:pPr>
              <w:pStyle w:val="34"/>
              <w:rPr>
                <w:color w:val="000000" w:themeColor="text1"/>
                <w14:textFill>
                  <w14:solidFill>
                    <w14:schemeClr w14:val="tx1"/>
                  </w14:solidFill>
                </w14:textFill>
              </w:rPr>
            </w:pPr>
            <w:r>
              <w:rPr>
                <w:color w:val="000000" w:themeColor="text1"/>
                <w14:textFill>
                  <w14:solidFill>
                    <w14:schemeClr w14:val="tx1"/>
                  </w14:solidFill>
                </w14:textFill>
              </w:rPr>
              <w:t>永久弃渣和临时堆土总量</w:t>
            </w:r>
          </w:p>
        </w:tc>
        <w:tc>
          <w:tcPr>
            <w:tcW w:w="1050" w:type="dxa"/>
            <w:tcBorders>
              <w:tl2br w:val="nil"/>
              <w:tr2bl w:val="nil"/>
            </w:tcBorders>
            <w:vAlign w:val="center"/>
          </w:tcPr>
          <w:p w14:paraId="672B93B7">
            <w:pPr>
              <w:pStyle w:val="34"/>
              <w:rPr>
                <w:color w:val="000000" w:themeColor="text1"/>
                <w14:textFill>
                  <w14:solidFill>
                    <w14:schemeClr w14:val="tx1"/>
                  </w14:solidFill>
                </w14:textFill>
              </w:rPr>
            </w:pP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p>
        </w:tc>
        <w:tc>
          <w:tcPr>
            <w:tcW w:w="844" w:type="dxa"/>
            <w:tcBorders>
              <w:tl2br w:val="nil"/>
              <w:tr2bl w:val="nil"/>
            </w:tcBorders>
            <w:vAlign w:val="center"/>
          </w:tcPr>
          <w:p w14:paraId="0DCEC36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3.41</w:t>
            </w:r>
          </w:p>
        </w:tc>
        <w:tc>
          <w:tcPr>
            <w:tcW w:w="918" w:type="dxa"/>
            <w:vMerge w:val="continue"/>
            <w:tcBorders>
              <w:tl2br w:val="nil"/>
              <w:tr2bl w:val="nil"/>
            </w:tcBorders>
            <w:vAlign w:val="center"/>
          </w:tcPr>
          <w:p w14:paraId="502BEE4F">
            <w:pPr>
              <w:pStyle w:val="34"/>
              <w:rPr>
                <w:color w:val="000000" w:themeColor="text1"/>
                <w14:textFill>
                  <w14:solidFill>
                    <w14:schemeClr w14:val="tx1"/>
                  </w14:solidFill>
                </w14:textFill>
              </w:rPr>
            </w:pPr>
          </w:p>
        </w:tc>
        <w:tc>
          <w:tcPr>
            <w:tcW w:w="1552" w:type="dxa"/>
            <w:vMerge w:val="continue"/>
            <w:tcBorders>
              <w:tl2br w:val="nil"/>
              <w:tr2bl w:val="nil"/>
            </w:tcBorders>
            <w:vAlign w:val="center"/>
          </w:tcPr>
          <w:p w14:paraId="40623201">
            <w:pPr>
              <w:pStyle w:val="34"/>
              <w:rPr>
                <w:color w:val="000000" w:themeColor="text1"/>
                <w14:textFill>
                  <w14:solidFill>
                    <w14:schemeClr w14:val="tx1"/>
                  </w14:solidFill>
                </w14:textFill>
              </w:rPr>
            </w:pPr>
          </w:p>
        </w:tc>
      </w:tr>
      <w:tr w14:paraId="1CB84A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393" w:type="dxa"/>
            <w:vMerge w:val="restart"/>
            <w:tcBorders>
              <w:tl2br w:val="nil"/>
              <w:tr2bl w:val="nil"/>
            </w:tcBorders>
            <w:vAlign w:val="center"/>
          </w:tcPr>
          <w:p w14:paraId="3463FA7F">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表土保护率</w:t>
            </w:r>
          </w:p>
        </w:tc>
        <w:tc>
          <w:tcPr>
            <w:tcW w:w="739" w:type="dxa"/>
            <w:vMerge w:val="restart"/>
            <w:tcBorders>
              <w:tl2br w:val="nil"/>
              <w:tr2bl w:val="nil"/>
            </w:tcBorders>
            <w:vAlign w:val="center"/>
          </w:tcPr>
          <w:p w14:paraId="7A8DBB51">
            <w:pPr>
              <w:pStyle w:val="34"/>
              <w:rPr>
                <w:color w:val="000000" w:themeColor="text1"/>
                <w14:textFill>
                  <w14:solidFill>
                    <w14:schemeClr w14:val="tx1"/>
                  </w14:solidFill>
                </w14:textFill>
              </w:rPr>
            </w:pPr>
            <w:r>
              <w:rPr>
                <w:color w:val="000000" w:themeColor="text1"/>
                <w14:textFill>
                  <w14:solidFill>
                    <w14:schemeClr w14:val="tx1"/>
                  </w14:solidFill>
                </w14:textFill>
              </w:rPr>
              <w:t>92</w:t>
            </w:r>
          </w:p>
        </w:tc>
        <w:tc>
          <w:tcPr>
            <w:tcW w:w="2492" w:type="dxa"/>
            <w:tcBorders>
              <w:tl2br w:val="nil"/>
              <w:tr2bl w:val="nil"/>
            </w:tcBorders>
            <w:vAlign w:val="center"/>
          </w:tcPr>
          <w:p w14:paraId="2A5802D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水土流失防治责任范围内保护的表土数量</w:t>
            </w:r>
          </w:p>
        </w:tc>
        <w:tc>
          <w:tcPr>
            <w:tcW w:w="1050" w:type="dxa"/>
            <w:tcBorders>
              <w:tl2br w:val="nil"/>
              <w:tr2bl w:val="nil"/>
            </w:tcBorders>
            <w:vAlign w:val="center"/>
          </w:tcPr>
          <w:p w14:paraId="0D70F774">
            <w:pPr>
              <w:pStyle w:val="34"/>
              <w:rPr>
                <w:color w:val="000000" w:themeColor="text1"/>
                <w14:textFill>
                  <w14:solidFill>
                    <w14:schemeClr w14:val="tx1"/>
                  </w14:solidFill>
                </w14:textFill>
              </w:rPr>
            </w:pP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p>
        </w:tc>
        <w:tc>
          <w:tcPr>
            <w:tcW w:w="844" w:type="dxa"/>
            <w:tcBorders>
              <w:tl2br w:val="nil"/>
              <w:tr2bl w:val="nil"/>
            </w:tcBorders>
            <w:vAlign w:val="center"/>
          </w:tcPr>
          <w:p w14:paraId="41D1C35B">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0.10</w:t>
            </w:r>
          </w:p>
        </w:tc>
        <w:tc>
          <w:tcPr>
            <w:tcW w:w="918" w:type="dxa"/>
            <w:vMerge w:val="restart"/>
            <w:tcBorders>
              <w:tl2br w:val="nil"/>
              <w:tr2bl w:val="nil"/>
            </w:tcBorders>
            <w:vAlign w:val="center"/>
          </w:tcPr>
          <w:p w14:paraId="274045F6">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95.64</w:t>
            </w:r>
          </w:p>
        </w:tc>
        <w:tc>
          <w:tcPr>
            <w:tcW w:w="1552" w:type="dxa"/>
            <w:vMerge w:val="restart"/>
            <w:tcBorders>
              <w:tl2br w:val="nil"/>
              <w:tr2bl w:val="nil"/>
            </w:tcBorders>
            <w:vAlign w:val="center"/>
          </w:tcPr>
          <w:p w14:paraId="67C8C847">
            <w:pPr>
              <w:pStyle w:val="34"/>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4EA5B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393" w:type="dxa"/>
            <w:vMerge w:val="continue"/>
            <w:tcBorders>
              <w:tl2br w:val="nil"/>
              <w:tr2bl w:val="nil"/>
            </w:tcBorders>
            <w:vAlign w:val="center"/>
          </w:tcPr>
          <w:p w14:paraId="651A4960">
            <w:pPr>
              <w:pStyle w:val="34"/>
              <w:rPr>
                <w:color w:val="000000" w:themeColor="text1"/>
                <w14:textFill>
                  <w14:solidFill>
                    <w14:schemeClr w14:val="tx1"/>
                  </w14:solidFill>
                </w14:textFill>
              </w:rPr>
            </w:pPr>
          </w:p>
        </w:tc>
        <w:tc>
          <w:tcPr>
            <w:tcW w:w="739" w:type="dxa"/>
            <w:vMerge w:val="continue"/>
            <w:tcBorders>
              <w:tl2br w:val="nil"/>
              <w:tr2bl w:val="nil"/>
            </w:tcBorders>
            <w:vAlign w:val="center"/>
          </w:tcPr>
          <w:p w14:paraId="3C7DDCD7">
            <w:pPr>
              <w:pStyle w:val="34"/>
              <w:rPr>
                <w:color w:val="000000" w:themeColor="text1"/>
                <w14:textFill>
                  <w14:solidFill>
                    <w14:schemeClr w14:val="tx1"/>
                  </w14:solidFill>
                </w14:textFill>
              </w:rPr>
            </w:pPr>
          </w:p>
        </w:tc>
        <w:tc>
          <w:tcPr>
            <w:tcW w:w="2492" w:type="dxa"/>
            <w:tcBorders>
              <w:tl2br w:val="nil"/>
              <w:tr2bl w:val="nil"/>
            </w:tcBorders>
            <w:vAlign w:val="center"/>
          </w:tcPr>
          <w:p w14:paraId="438DEC56">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可剥离的表土总量</w:t>
            </w:r>
          </w:p>
        </w:tc>
        <w:tc>
          <w:tcPr>
            <w:tcW w:w="1050" w:type="dxa"/>
            <w:tcBorders>
              <w:tl2br w:val="nil"/>
              <w:tr2bl w:val="nil"/>
            </w:tcBorders>
            <w:vAlign w:val="center"/>
          </w:tcPr>
          <w:p w14:paraId="36B07CFA">
            <w:pPr>
              <w:pStyle w:val="34"/>
              <w:rPr>
                <w:color w:val="000000" w:themeColor="text1"/>
                <w14:textFill>
                  <w14:solidFill>
                    <w14:schemeClr w14:val="tx1"/>
                  </w14:solidFill>
                </w14:textFill>
              </w:rPr>
            </w:pP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p>
        </w:tc>
        <w:tc>
          <w:tcPr>
            <w:tcW w:w="844" w:type="dxa"/>
            <w:tcBorders>
              <w:tl2br w:val="nil"/>
              <w:tr2bl w:val="nil"/>
            </w:tcBorders>
            <w:vAlign w:val="center"/>
          </w:tcPr>
          <w:p w14:paraId="2BB76594">
            <w:pPr>
              <w:pStyle w:val="34"/>
              <w:rPr>
                <w:rFonts w:hint="default" w:eastAsia="仿宋_GB2312"/>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0.10</w:t>
            </w:r>
          </w:p>
        </w:tc>
        <w:tc>
          <w:tcPr>
            <w:tcW w:w="918" w:type="dxa"/>
            <w:vMerge w:val="continue"/>
            <w:tcBorders>
              <w:tl2br w:val="nil"/>
              <w:tr2bl w:val="nil"/>
            </w:tcBorders>
            <w:vAlign w:val="center"/>
          </w:tcPr>
          <w:p w14:paraId="35C0A1AD">
            <w:pPr>
              <w:pStyle w:val="34"/>
              <w:rPr>
                <w:color w:val="000000" w:themeColor="text1"/>
                <w14:textFill>
                  <w14:solidFill>
                    <w14:schemeClr w14:val="tx1"/>
                  </w14:solidFill>
                </w14:textFill>
              </w:rPr>
            </w:pPr>
          </w:p>
        </w:tc>
        <w:tc>
          <w:tcPr>
            <w:tcW w:w="1552" w:type="dxa"/>
            <w:vMerge w:val="continue"/>
            <w:tcBorders>
              <w:tl2br w:val="nil"/>
              <w:tr2bl w:val="nil"/>
            </w:tcBorders>
            <w:vAlign w:val="center"/>
          </w:tcPr>
          <w:p w14:paraId="3A074B8E">
            <w:pPr>
              <w:pStyle w:val="34"/>
              <w:rPr>
                <w:color w:val="000000" w:themeColor="text1"/>
                <w14:textFill>
                  <w14:solidFill>
                    <w14:schemeClr w14:val="tx1"/>
                  </w14:solidFill>
                </w14:textFill>
              </w:rPr>
            </w:pPr>
          </w:p>
        </w:tc>
      </w:tr>
      <w:tr w14:paraId="2DF802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exact"/>
          <w:jc w:val="center"/>
        </w:trPr>
        <w:tc>
          <w:tcPr>
            <w:tcW w:w="1393" w:type="dxa"/>
            <w:vMerge w:val="restart"/>
            <w:tcBorders>
              <w:tl2br w:val="nil"/>
              <w:tr2bl w:val="nil"/>
            </w:tcBorders>
            <w:vAlign w:val="center"/>
          </w:tcPr>
          <w:p w14:paraId="6DB31094">
            <w:pPr>
              <w:pStyle w:val="34"/>
              <w:rPr>
                <w:color w:val="000000" w:themeColor="text1"/>
                <w14:textFill>
                  <w14:solidFill>
                    <w14:schemeClr w14:val="tx1"/>
                  </w14:solidFill>
                </w14:textFill>
              </w:rPr>
            </w:pPr>
            <w:r>
              <w:rPr>
                <w:color w:val="000000" w:themeColor="text1"/>
                <w14:textFill>
                  <w14:solidFill>
                    <w14:schemeClr w14:val="tx1"/>
                  </w14:solidFill>
                </w14:textFill>
              </w:rPr>
              <w:t>林草植被恢复率</w:t>
            </w:r>
          </w:p>
        </w:tc>
        <w:tc>
          <w:tcPr>
            <w:tcW w:w="739" w:type="dxa"/>
            <w:vMerge w:val="restart"/>
            <w:tcBorders>
              <w:tl2br w:val="nil"/>
              <w:tr2bl w:val="nil"/>
            </w:tcBorders>
            <w:vAlign w:val="center"/>
          </w:tcPr>
          <w:p w14:paraId="098FF355">
            <w:pPr>
              <w:pStyle w:val="34"/>
              <w:rPr>
                <w:rFonts w:hint="eastAsia" w:eastAsia="仿宋_GB2312"/>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9</w:t>
            </w:r>
            <w:r>
              <w:rPr>
                <w:rFonts w:hint="eastAsia"/>
                <w:color w:val="000000" w:themeColor="text1"/>
                <w:lang w:val="en-US" w:eastAsia="zh-CN"/>
                <w14:textFill>
                  <w14:solidFill>
                    <w14:schemeClr w14:val="tx1"/>
                  </w14:solidFill>
                </w14:textFill>
              </w:rPr>
              <w:t>7</w:t>
            </w:r>
          </w:p>
        </w:tc>
        <w:tc>
          <w:tcPr>
            <w:tcW w:w="2492" w:type="dxa"/>
            <w:tcBorders>
              <w:tl2br w:val="nil"/>
              <w:tr2bl w:val="nil"/>
            </w:tcBorders>
            <w:vAlign w:val="center"/>
          </w:tcPr>
          <w:p w14:paraId="7276B734">
            <w:pPr>
              <w:pStyle w:val="34"/>
              <w:rPr>
                <w:color w:val="000000" w:themeColor="text1"/>
                <w14:textFill>
                  <w14:solidFill>
                    <w14:schemeClr w14:val="tx1"/>
                  </w14:solidFill>
                </w14:textFill>
              </w:rPr>
            </w:pPr>
            <w:r>
              <w:rPr>
                <w:color w:val="000000" w:themeColor="text1"/>
                <w14:textFill>
                  <w14:solidFill>
                    <w14:schemeClr w14:val="tx1"/>
                  </w14:solidFill>
                </w14:textFill>
              </w:rPr>
              <w:t>林草植被面积</w:t>
            </w:r>
          </w:p>
        </w:tc>
        <w:tc>
          <w:tcPr>
            <w:tcW w:w="1050" w:type="dxa"/>
            <w:tcBorders>
              <w:tl2br w:val="nil"/>
              <w:tr2bl w:val="nil"/>
            </w:tcBorders>
            <w:vAlign w:val="center"/>
          </w:tcPr>
          <w:p w14:paraId="4F5F2FFD">
            <w:pPr>
              <w:pStyle w:val="34"/>
              <w:rPr>
                <w:color w:val="000000" w:themeColor="text1"/>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844" w:type="dxa"/>
            <w:tcBorders>
              <w:tl2br w:val="nil"/>
              <w:tr2bl w:val="nil"/>
            </w:tcBorders>
            <w:vAlign w:val="center"/>
          </w:tcPr>
          <w:p w14:paraId="11C0DE8B">
            <w:pPr>
              <w:pStyle w:val="34"/>
              <w:rPr>
                <w:rFonts w:hint="eastAsia" w:eastAsia="仿宋_GB2312"/>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0.1</w:t>
            </w:r>
            <w:r>
              <w:rPr>
                <w:rFonts w:hint="eastAsia"/>
                <w:color w:val="000000" w:themeColor="text1"/>
                <w:lang w:val="en-US" w:eastAsia="zh-CN"/>
                <w14:textFill>
                  <w14:solidFill>
                    <w14:schemeClr w14:val="tx1"/>
                  </w14:solidFill>
                </w14:textFill>
              </w:rPr>
              <w:t>2</w:t>
            </w:r>
          </w:p>
        </w:tc>
        <w:tc>
          <w:tcPr>
            <w:tcW w:w="918" w:type="dxa"/>
            <w:vMerge w:val="restart"/>
            <w:tcBorders>
              <w:tl2br w:val="nil"/>
              <w:tr2bl w:val="nil"/>
            </w:tcBorders>
            <w:vAlign w:val="center"/>
          </w:tcPr>
          <w:p w14:paraId="2F2647F9">
            <w:pPr>
              <w:pStyle w:val="34"/>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97.32</w:t>
            </w:r>
          </w:p>
        </w:tc>
        <w:tc>
          <w:tcPr>
            <w:tcW w:w="1552" w:type="dxa"/>
            <w:vMerge w:val="restart"/>
            <w:tcBorders>
              <w:tl2br w:val="nil"/>
              <w:tr2bl w:val="nil"/>
            </w:tcBorders>
            <w:vAlign w:val="center"/>
          </w:tcPr>
          <w:p w14:paraId="6AA3EE40">
            <w:pPr>
              <w:pStyle w:val="34"/>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4CA790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exact"/>
          <w:jc w:val="center"/>
        </w:trPr>
        <w:tc>
          <w:tcPr>
            <w:tcW w:w="1393" w:type="dxa"/>
            <w:vMerge w:val="continue"/>
            <w:tcBorders>
              <w:tl2br w:val="nil"/>
              <w:tr2bl w:val="nil"/>
            </w:tcBorders>
            <w:vAlign w:val="center"/>
          </w:tcPr>
          <w:p w14:paraId="1E825FD3">
            <w:pPr>
              <w:pStyle w:val="34"/>
              <w:rPr>
                <w:color w:val="000000" w:themeColor="text1"/>
                <w14:textFill>
                  <w14:solidFill>
                    <w14:schemeClr w14:val="tx1"/>
                  </w14:solidFill>
                </w14:textFill>
              </w:rPr>
            </w:pPr>
          </w:p>
        </w:tc>
        <w:tc>
          <w:tcPr>
            <w:tcW w:w="739" w:type="dxa"/>
            <w:vMerge w:val="continue"/>
            <w:tcBorders>
              <w:tl2br w:val="nil"/>
              <w:tr2bl w:val="nil"/>
            </w:tcBorders>
            <w:vAlign w:val="center"/>
          </w:tcPr>
          <w:p w14:paraId="0AA2F307">
            <w:pPr>
              <w:pStyle w:val="34"/>
              <w:rPr>
                <w:color w:val="000000" w:themeColor="text1"/>
                <w14:textFill>
                  <w14:solidFill>
                    <w14:schemeClr w14:val="tx1"/>
                  </w14:solidFill>
                </w14:textFill>
              </w:rPr>
            </w:pPr>
          </w:p>
        </w:tc>
        <w:tc>
          <w:tcPr>
            <w:tcW w:w="2492" w:type="dxa"/>
            <w:tcBorders>
              <w:tl2br w:val="nil"/>
              <w:tr2bl w:val="nil"/>
            </w:tcBorders>
            <w:vAlign w:val="center"/>
          </w:tcPr>
          <w:p w14:paraId="28521110">
            <w:pPr>
              <w:pStyle w:val="34"/>
              <w:rPr>
                <w:color w:val="000000" w:themeColor="text1"/>
                <w14:textFill>
                  <w14:solidFill>
                    <w14:schemeClr w14:val="tx1"/>
                  </w14:solidFill>
                </w14:textFill>
              </w:rPr>
            </w:pPr>
            <w:r>
              <w:rPr>
                <w:color w:val="000000" w:themeColor="text1"/>
                <w14:textFill>
                  <w14:solidFill>
                    <w14:schemeClr w14:val="tx1"/>
                  </w14:solidFill>
                </w14:textFill>
              </w:rPr>
              <w:t>可恢复林草植被面积</w:t>
            </w:r>
          </w:p>
        </w:tc>
        <w:tc>
          <w:tcPr>
            <w:tcW w:w="1050" w:type="dxa"/>
            <w:tcBorders>
              <w:tl2br w:val="nil"/>
              <w:tr2bl w:val="nil"/>
            </w:tcBorders>
            <w:vAlign w:val="center"/>
          </w:tcPr>
          <w:p w14:paraId="6F654B28">
            <w:pPr>
              <w:pStyle w:val="34"/>
              <w:rPr>
                <w:color w:val="000000" w:themeColor="text1"/>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844" w:type="dxa"/>
            <w:tcBorders>
              <w:tl2br w:val="nil"/>
              <w:tr2bl w:val="nil"/>
            </w:tcBorders>
            <w:vAlign w:val="center"/>
          </w:tcPr>
          <w:p w14:paraId="1C012E27">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0.12</w:t>
            </w:r>
          </w:p>
        </w:tc>
        <w:tc>
          <w:tcPr>
            <w:tcW w:w="918" w:type="dxa"/>
            <w:vMerge w:val="continue"/>
            <w:tcBorders>
              <w:tl2br w:val="nil"/>
              <w:tr2bl w:val="nil"/>
            </w:tcBorders>
            <w:vAlign w:val="center"/>
          </w:tcPr>
          <w:p w14:paraId="745441F1">
            <w:pPr>
              <w:pStyle w:val="34"/>
              <w:rPr>
                <w:color w:val="000000" w:themeColor="text1"/>
                <w14:textFill>
                  <w14:solidFill>
                    <w14:schemeClr w14:val="tx1"/>
                  </w14:solidFill>
                </w14:textFill>
              </w:rPr>
            </w:pPr>
          </w:p>
        </w:tc>
        <w:tc>
          <w:tcPr>
            <w:tcW w:w="1552" w:type="dxa"/>
            <w:vMerge w:val="continue"/>
            <w:tcBorders>
              <w:tl2br w:val="nil"/>
              <w:tr2bl w:val="nil"/>
            </w:tcBorders>
            <w:vAlign w:val="center"/>
          </w:tcPr>
          <w:p w14:paraId="5F72A818">
            <w:pPr>
              <w:pStyle w:val="34"/>
              <w:rPr>
                <w:color w:val="000000" w:themeColor="text1"/>
                <w14:textFill>
                  <w14:solidFill>
                    <w14:schemeClr w14:val="tx1"/>
                  </w14:solidFill>
                </w14:textFill>
              </w:rPr>
            </w:pPr>
          </w:p>
        </w:tc>
      </w:tr>
      <w:tr w14:paraId="480106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exact"/>
          <w:jc w:val="center"/>
        </w:trPr>
        <w:tc>
          <w:tcPr>
            <w:tcW w:w="1393" w:type="dxa"/>
            <w:vMerge w:val="restart"/>
            <w:tcBorders>
              <w:tl2br w:val="nil"/>
              <w:tr2bl w:val="nil"/>
            </w:tcBorders>
            <w:vAlign w:val="center"/>
          </w:tcPr>
          <w:p w14:paraId="53516C60">
            <w:pPr>
              <w:pStyle w:val="34"/>
              <w:rPr>
                <w:color w:val="000000" w:themeColor="text1"/>
                <w14:textFill>
                  <w14:solidFill>
                    <w14:schemeClr w14:val="tx1"/>
                  </w14:solidFill>
                </w14:textFill>
              </w:rPr>
            </w:pPr>
            <w:r>
              <w:rPr>
                <w:color w:val="000000" w:themeColor="text1"/>
                <w14:textFill>
                  <w14:solidFill>
                    <w14:schemeClr w14:val="tx1"/>
                  </w14:solidFill>
                </w14:textFill>
              </w:rPr>
              <w:t>林草覆盖率</w:t>
            </w:r>
          </w:p>
        </w:tc>
        <w:tc>
          <w:tcPr>
            <w:tcW w:w="739" w:type="dxa"/>
            <w:vMerge w:val="restart"/>
            <w:tcBorders>
              <w:tl2br w:val="nil"/>
              <w:tr2bl w:val="nil"/>
            </w:tcBorders>
            <w:vAlign w:val="center"/>
          </w:tcPr>
          <w:p w14:paraId="75B77AA9">
            <w:pPr>
              <w:pStyle w:val="34"/>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p>
        </w:tc>
        <w:tc>
          <w:tcPr>
            <w:tcW w:w="2492" w:type="dxa"/>
            <w:tcBorders>
              <w:tl2br w:val="nil"/>
              <w:tr2bl w:val="nil"/>
            </w:tcBorders>
            <w:vAlign w:val="center"/>
          </w:tcPr>
          <w:p w14:paraId="1AE992CB">
            <w:pPr>
              <w:pStyle w:val="34"/>
              <w:rPr>
                <w:color w:val="000000" w:themeColor="text1"/>
                <w14:textFill>
                  <w14:solidFill>
                    <w14:schemeClr w14:val="tx1"/>
                  </w14:solidFill>
                </w14:textFill>
              </w:rPr>
            </w:pPr>
            <w:r>
              <w:rPr>
                <w:color w:val="000000" w:themeColor="text1"/>
                <w14:textFill>
                  <w14:solidFill>
                    <w14:schemeClr w14:val="tx1"/>
                  </w14:solidFill>
                </w14:textFill>
              </w:rPr>
              <w:t>林草植被面积</w:t>
            </w:r>
          </w:p>
        </w:tc>
        <w:tc>
          <w:tcPr>
            <w:tcW w:w="1050" w:type="dxa"/>
            <w:tcBorders>
              <w:tl2br w:val="nil"/>
              <w:tr2bl w:val="nil"/>
            </w:tcBorders>
            <w:vAlign w:val="center"/>
          </w:tcPr>
          <w:p w14:paraId="0DB130B8">
            <w:pPr>
              <w:pStyle w:val="34"/>
              <w:rPr>
                <w:color w:val="000000" w:themeColor="text1"/>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844" w:type="dxa"/>
            <w:tcBorders>
              <w:tl2br w:val="nil"/>
              <w:tr2bl w:val="nil"/>
            </w:tcBorders>
            <w:vAlign w:val="center"/>
          </w:tcPr>
          <w:p w14:paraId="61A6B472">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0.12</w:t>
            </w:r>
          </w:p>
        </w:tc>
        <w:tc>
          <w:tcPr>
            <w:tcW w:w="918" w:type="dxa"/>
            <w:vMerge w:val="restart"/>
            <w:tcBorders>
              <w:tl2br w:val="nil"/>
              <w:tr2bl w:val="nil"/>
            </w:tcBorders>
            <w:vAlign w:val="center"/>
          </w:tcPr>
          <w:p w14:paraId="53655CB1">
            <w:pPr>
              <w:pStyle w:val="34"/>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2.63</w:t>
            </w:r>
          </w:p>
        </w:tc>
        <w:tc>
          <w:tcPr>
            <w:tcW w:w="1552" w:type="dxa"/>
            <w:vMerge w:val="restart"/>
            <w:tcBorders>
              <w:tl2br w:val="nil"/>
              <w:tr2bl w:val="nil"/>
            </w:tcBorders>
            <w:vAlign w:val="center"/>
          </w:tcPr>
          <w:p w14:paraId="72A1E5FD">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满足工业用地绿地率标准达标</w:t>
            </w:r>
          </w:p>
        </w:tc>
      </w:tr>
      <w:tr w14:paraId="3B2C5F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4" w:hRule="exact"/>
          <w:jc w:val="center"/>
        </w:trPr>
        <w:tc>
          <w:tcPr>
            <w:tcW w:w="1393" w:type="dxa"/>
            <w:vMerge w:val="continue"/>
            <w:tcBorders>
              <w:tl2br w:val="nil"/>
              <w:tr2bl w:val="nil"/>
            </w:tcBorders>
            <w:vAlign w:val="center"/>
          </w:tcPr>
          <w:p w14:paraId="6A551D7E">
            <w:pPr>
              <w:pStyle w:val="34"/>
              <w:rPr>
                <w:color w:val="000000" w:themeColor="text1"/>
                <w14:textFill>
                  <w14:solidFill>
                    <w14:schemeClr w14:val="tx1"/>
                  </w14:solidFill>
                </w14:textFill>
              </w:rPr>
            </w:pPr>
          </w:p>
        </w:tc>
        <w:tc>
          <w:tcPr>
            <w:tcW w:w="739" w:type="dxa"/>
            <w:vMerge w:val="continue"/>
            <w:tcBorders>
              <w:tl2br w:val="nil"/>
              <w:tr2bl w:val="nil"/>
            </w:tcBorders>
            <w:vAlign w:val="center"/>
          </w:tcPr>
          <w:p w14:paraId="5E594E20">
            <w:pPr>
              <w:pStyle w:val="34"/>
              <w:rPr>
                <w:color w:val="000000" w:themeColor="text1"/>
                <w14:textFill>
                  <w14:solidFill>
                    <w14:schemeClr w14:val="tx1"/>
                  </w14:solidFill>
                </w14:textFill>
              </w:rPr>
            </w:pPr>
          </w:p>
        </w:tc>
        <w:tc>
          <w:tcPr>
            <w:tcW w:w="2492" w:type="dxa"/>
            <w:tcBorders>
              <w:tl2br w:val="nil"/>
              <w:tr2bl w:val="nil"/>
            </w:tcBorders>
            <w:vAlign w:val="center"/>
          </w:tcPr>
          <w:p w14:paraId="23171C49">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项目区总面积</w:t>
            </w:r>
          </w:p>
        </w:tc>
        <w:tc>
          <w:tcPr>
            <w:tcW w:w="1050" w:type="dxa"/>
            <w:tcBorders>
              <w:tl2br w:val="nil"/>
              <w:tr2bl w:val="nil"/>
            </w:tcBorders>
            <w:vAlign w:val="center"/>
          </w:tcPr>
          <w:p w14:paraId="48A4DD42">
            <w:pPr>
              <w:pStyle w:val="34"/>
              <w:rPr>
                <w:color w:val="000000" w:themeColor="text1"/>
                <w14:textFill>
                  <w14:solidFill>
                    <w14:schemeClr w14:val="tx1"/>
                  </w14:solidFill>
                </w14:textFill>
              </w:rPr>
            </w:pP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p>
        </w:tc>
        <w:tc>
          <w:tcPr>
            <w:tcW w:w="844" w:type="dxa"/>
            <w:tcBorders>
              <w:tl2br w:val="nil"/>
              <w:tr2bl w:val="nil"/>
            </w:tcBorders>
            <w:vAlign w:val="center"/>
          </w:tcPr>
          <w:p w14:paraId="77C9046A">
            <w:pPr>
              <w:pStyle w:val="34"/>
              <w:rPr>
                <w:color w:val="000000" w:themeColor="text1"/>
                <w14:textFill>
                  <w14:solidFill>
                    <w14:schemeClr w14:val="tx1"/>
                  </w14:solidFill>
                </w14:textFill>
              </w:rPr>
            </w:pPr>
            <w:r>
              <w:rPr>
                <w:rFonts w:hint="eastAsia"/>
                <w:color w:val="000000" w:themeColor="text1"/>
                <w14:textFill>
                  <w14:solidFill>
                    <w14:schemeClr w14:val="tx1"/>
                  </w14:solidFill>
                </w14:textFill>
              </w:rPr>
              <w:t>0.95</w:t>
            </w:r>
          </w:p>
        </w:tc>
        <w:tc>
          <w:tcPr>
            <w:tcW w:w="918" w:type="dxa"/>
            <w:vMerge w:val="continue"/>
            <w:tcBorders>
              <w:tl2br w:val="nil"/>
              <w:tr2bl w:val="nil"/>
            </w:tcBorders>
            <w:vAlign w:val="center"/>
          </w:tcPr>
          <w:p w14:paraId="75BB55BC">
            <w:pPr>
              <w:pStyle w:val="34"/>
              <w:rPr>
                <w:color w:val="000000" w:themeColor="text1"/>
                <w:szCs w:val="18"/>
                <w14:textFill>
                  <w14:solidFill>
                    <w14:schemeClr w14:val="tx1"/>
                  </w14:solidFill>
                </w14:textFill>
              </w:rPr>
            </w:pPr>
          </w:p>
        </w:tc>
        <w:tc>
          <w:tcPr>
            <w:tcW w:w="1552" w:type="dxa"/>
            <w:vMerge w:val="continue"/>
            <w:tcBorders>
              <w:tl2br w:val="nil"/>
              <w:tr2bl w:val="nil"/>
            </w:tcBorders>
            <w:vAlign w:val="center"/>
          </w:tcPr>
          <w:p w14:paraId="2ED4F79F">
            <w:pPr>
              <w:pStyle w:val="34"/>
              <w:rPr>
                <w:color w:val="000000" w:themeColor="text1"/>
                <w:szCs w:val="18"/>
                <w14:textFill>
                  <w14:solidFill>
                    <w14:schemeClr w14:val="tx1"/>
                  </w14:solidFill>
                </w14:textFill>
              </w:rPr>
            </w:pPr>
          </w:p>
        </w:tc>
      </w:tr>
    </w:tbl>
    <w:p w14:paraId="78897CA7">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由上表可以看出</w:t>
      </w:r>
      <w:r>
        <w:rPr>
          <w:rFonts w:hint="eastAsia" w:cs="Times New Roman"/>
          <w:color w:val="000000" w:themeColor="text1"/>
          <w14:textFill>
            <w14:solidFill>
              <w14:schemeClr w14:val="tx1"/>
            </w14:solidFill>
          </w14:textFill>
        </w:rPr>
        <w:t>，本项目</w:t>
      </w:r>
      <w:r>
        <w:rPr>
          <w:rFonts w:hint="eastAsia"/>
          <w:color w:val="000000" w:themeColor="text1"/>
          <w14:textFill>
            <w14:solidFill>
              <w14:schemeClr w14:val="tx1"/>
            </w14:solidFill>
          </w14:textFill>
        </w:rPr>
        <w:t>林草植被建设面积0.12hm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rFonts w:cs="Times New Roman"/>
          <w:color w:val="000000" w:themeColor="text1"/>
          <w14:textFill>
            <w14:solidFill>
              <w14:schemeClr w14:val="tx1"/>
            </w14:solidFill>
          </w14:textFill>
        </w:rPr>
        <w:t>至设计水平年，</w:t>
      </w:r>
      <w:r>
        <w:rPr>
          <w:rFonts w:hint="eastAsia" w:cs="Times New Roman"/>
          <w:color w:val="000000" w:themeColor="text1"/>
          <w14:textFill>
            <w14:solidFill>
              <w14:schemeClr w14:val="tx1"/>
            </w14:solidFill>
          </w14:textFill>
        </w:rPr>
        <w:t>水土流失治理度</w:t>
      </w:r>
      <w:r>
        <w:rPr>
          <w:rFonts w:cs="Times New Roman"/>
          <w:color w:val="000000" w:themeColor="text1"/>
          <w14:textFill>
            <w14:solidFill>
              <w14:schemeClr w14:val="tx1"/>
            </w14:solidFill>
          </w14:textFill>
        </w:rPr>
        <w:t>为</w:t>
      </w:r>
      <w:r>
        <w:rPr>
          <w:rFonts w:hint="eastAsia" w:cs="Times New Roman"/>
          <w:color w:val="000000" w:themeColor="text1"/>
          <w14:textFill>
            <w14:solidFill>
              <w14:schemeClr w14:val="tx1"/>
            </w14:solidFill>
          </w14:textFill>
        </w:rPr>
        <w:t>97.89</w:t>
      </w:r>
      <w:r>
        <w:rPr>
          <w:rFonts w:cs="Times New Roman"/>
          <w:color w:val="000000" w:themeColor="text1"/>
          <w14:textFill>
            <w14:solidFill>
              <w14:schemeClr w14:val="tx1"/>
            </w14:solidFill>
          </w14:textFill>
        </w:rPr>
        <w:t>%，土壤流失控制比1.</w:t>
      </w:r>
      <w:r>
        <w:rPr>
          <w:rFonts w:hint="eastAsia" w:cs="Times New Roman"/>
          <w:color w:val="000000" w:themeColor="text1"/>
          <w:lang w:val="en-US" w:eastAsia="zh-CN"/>
          <w14:textFill>
            <w14:solidFill>
              <w14:schemeClr w14:val="tx1"/>
            </w14:solidFill>
          </w14:textFill>
        </w:rPr>
        <w:t>0</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渣土防护率达到96.48%，</w:t>
      </w:r>
      <w:r>
        <w:rPr>
          <w:rFonts w:cs="Times New Roman"/>
          <w:color w:val="000000" w:themeColor="text1"/>
          <w14:textFill>
            <w14:solidFill>
              <w14:schemeClr w14:val="tx1"/>
            </w14:solidFill>
          </w14:textFill>
        </w:rPr>
        <w:t>林草植被恢复率为</w:t>
      </w:r>
      <w:r>
        <w:rPr>
          <w:rFonts w:hint="eastAsia" w:cs="Times New Roman"/>
          <w:color w:val="000000" w:themeColor="text1"/>
          <w:lang w:val="en-US" w:eastAsia="zh-CN"/>
          <w14:textFill>
            <w14:solidFill>
              <w14:schemeClr w14:val="tx1"/>
            </w14:solidFill>
          </w14:textFill>
        </w:rPr>
        <w:t>97.32</w:t>
      </w:r>
      <w:r>
        <w:rPr>
          <w:rFonts w:cs="Times New Roman"/>
          <w:color w:val="000000" w:themeColor="text1"/>
          <w14:textFill>
            <w14:solidFill>
              <w14:schemeClr w14:val="tx1"/>
            </w14:solidFill>
          </w14:textFill>
        </w:rPr>
        <w:t>%，林草覆盖率为1</w:t>
      </w:r>
      <w:r>
        <w:rPr>
          <w:rFonts w:hint="eastAsia" w:cs="Times New Roman"/>
          <w:color w:val="000000" w:themeColor="text1"/>
          <w14:textFill>
            <w14:solidFill>
              <w14:schemeClr w14:val="tx1"/>
            </w14:solidFill>
          </w14:textFill>
        </w:rPr>
        <w:t>2.63</w:t>
      </w:r>
      <w:r>
        <w:rPr>
          <w:rFonts w:cs="Times New Roman"/>
          <w:color w:val="000000" w:themeColor="text1"/>
          <w14:textFill>
            <w14:solidFill>
              <w14:schemeClr w14:val="tx1"/>
            </w14:solidFill>
          </w14:textFill>
        </w:rPr>
        <w:t>%。水土保持效益指标均达到</w:t>
      </w:r>
      <w:r>
        <w:rPr>
          <w:rFonts w:hint="eastAsia" w:cs="Times New Roman"/>
          <w:color w:val="000000" w:themeColor="text1"/>
          <w14:textFill>
            <w14:solidFill>
              <w14:schemeClr w14:val="tx1"/>
            </w14:solidFill>
          </w14:textFill>
        </w:rPr>
        <w:t>方案设计的目标值</w:t>
      </w:r>
      <w:r>
        <w:rPr>
          <w:rFonts w:cs="Times New Roman"/>
          <w:color w:val="000000" w:themeColor="text1"/>
          <w14:textFill>
            <w14:solidFill>
              <w14:schemeClr w14:val="tx1"/>
            </w14:solidFill>
          </w14:textFill>
        </w:rPr>
        <w:t>，项目总体水土保持效果明显，符合水土保持要求。</w:t>
      </w:r>
    </w:p>
    <w:p w14:paraId="4D7FFB31">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7.2.2生态效益</w:t>
      </w:r>
    </w:p>
    <w:p w14:paraId="41D46FA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方案实施后，使项目区扰动区域水土流失得到治理。各工程区等皆采取相关的水土保持措施，减少可能造成的水土流失危害，并结合水土流失防治和生态景观要求，采用工程措施和植物措施，恢复原有的水土保持功能和自然景观。通过水土保持各项措施的有效实施，在水、土和生物方面改善生态环境，提高生态效益，使建设区的生态环境得到逐步完善，生态环境走向良性循环。</w:t>
      </w:r>
    </w:p>
    <w:p w14:paraId="0DCB2B63">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7.2.3社会效益</w:t>
      </w:r>
    </w:p>
    <w:p w14:paraId="464C3BC6">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水土保持方案的实施，减少了因工程建设而产生的水土流失，保证</w:t>
      </w:r>
      <w:r>
        <w:rPr>
          <w:rFonts w:hint="eastAsia" w:cs="Times New Roman"/>
          <w:color w:val="000000" w:themeColor="text1"/>
          <w14:textFill>
            <w14:solidFill>
              <w14:schemeClr w14:val="tx1"/>
            </w14:solidFill>
          </w14:textFill>
        </w:rPr>
        <w:t>了</w:t>
      </w:r>
      <w:r>
        <w:rPr>
          <w:rFonts w:cs="Times New Roman"/>
          <w:color w:val="000000" w:themeColor="text1"/>
          <w14:textFill>
            <w14:solidFill>
              <w14:schemeClr w14:val="tx1"/>
            </w14:solidFill>
          </w14:textFill>
        </w:rPr>
        <w:t>工程顺利建设和运行，</w:t>
      </w:r>
      <w:r>
        <w:rPr>
          <w:rFonts w:hint="eastAsia" w:cs="Times New Roman"/>
          <w:color w:val="000000" w:themeColor="text1"/>
          <w14:textFill>
            <w14:solidFill>
              <w14:schemeClr w14:val="tx1"/>
            </w14:solidFill>
          </w14:textFill>
        </w:rPr>
        <w:t>同时也</w:t>
      </w:r>
      <w:r>
        <w:rPr>
          <w:rFonts w:cs="Times New Roman"/>
          <w:color w:val="000000" w:themeColor="text1"/>
          <w14:textFill>
            <w14:solidFill>
              <w14:schemeClr w14:val="tx1"/>
            </w14:solidFill>
          </w14:textFill>
        </w:rPr>
        <w:t>保障</w:t>
      </w:r>
      <w:r>
        <w:rPr>
          <w:rFonts w:hint="eastAsia" w:cs="Times New Roman"/>
          <w:color w:val="000000" w:themeColor="text1"/>
          <w14:textFill>
            <w14:solidFill>
              <w14:schemeClr w14:val="tx1"/>
            </w14:solidFill>
          </w14:textFill>
        </w:rPr>
        <w:t>了</w:t>
      </w:r>
      <w:r>
        <w:rPr>
          <w:rFonts w:cs="Times New Roman"/>
          <w:color w:val="000000" w:themeColor="text1"/>
          <w14:textFill>
            <w14:solidFill>
              <w14:schemeClr w14:val="tx1"/>
            </w14:solidFill>
          </w14:textFill>
        </w:rPr>
        <w:t>项目区附近环境的稳定，周边雨水管网畅通，</w:t>
      </w:r>
      <w:r>
        <w:rPr>
          <w:rFonts w:hint="eastAsia" w:cs="Times New Roman"/>
          <w:color w:val="000000" w:themeColor="text1"/>
          <w14:textFill>
            <w14:solidFill>
              <w14:schemeClr w14:val="tx1"/>
            </w14:solidFill>
          </w14:textFill>
        </w:rPr>
        <w:t>未</w:t>
      </w:r>
      <w:r>
        <w:rPr>
          <w:rFonts w:cs="Times New Roman"/>
          <w:color w:val="000000" w:themeColor="text1"/>
          <w14:textFill>
            <w14:solidFill>
              <w14:schemeClr w14:val="tx1"/>
            </w14:solidFill>
          </w14:textFill>
        </w:rPr>
        <w:t>影响项目区周围基础设施和居民的通行安全。</w:t>
      </w:r>
    </w:p>
    <w:p w14:paraId="759DE75B">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7.2.4效益分析结论</w:t>
      </w:r>
    </w:p>
    <w:p w14:paraId="0BD76792">
      <w:pPr>
        <w:ind w:firstLine="480"/>
        <w:rPr>
          <w:color w:val="000000" w:themeColor="text1"/>
          <w14:textFill>
            <w14:solidFill>
              <w14:schemeClr w14:val="tx1"/>
            </w14:solidFill>
          </w14:textFill>
        </w:rPr>
        <w:sectPr>
          <w:headerReference r:id="rId27" w:type="default"/>
          <w:headerReference r:id="rId28" w:type="even"/>
          <w:pgSz w:w="11906" w:h="16838"/>
          <w:pgMar w:top="1440" w:right="1800" w:bottom="1440" w:left="1800" w:header="851" w:footer="992" w:gutter="0"/>
          <w:cols w:space="425" w:num="1"/>
          <w:docGrid w:type="lines" w:linePitch="312" w:charSpace="0"/>
        </w:sectPr>
      </w:pPr>
      <w:r>
        <w:rPr>
          <w:rFonts w:hint="eastAsia"/>
          <w:color w:val="000000" w:themeColor="text1"/>
          <w14:textFill>
            <w14:solidFill>
              <w14:schemeClr w14:val="tx1"/>
            </w14:solidFill>
          </w14:textFill>
        </w:rPr>
        <w:t>通过效益分析可知，本方案设计的水土保持措施与主体工程设计的水保措施形成了完善的水土流失防治体系，若施工过程中落实好相关水土保持措施，可有效的控制工程建设产生的水土流失，水土保持效益较为明显，生态效益和社会效益好，它对于防治项目区水土流失起着十分重要的作用。</w:t>
      </w:r>
    </w:p>
    <w:p w14:paraId="294E2233">
      <w:pPr>
        <w:pStyle w:val="2"/>
        <w:rPr>
          <w:color w:val="000000" w:themeColor="text1"/>
          <w14:textFill>
            <w14:solidFill>
              <w14:schemeClr w14:val="tx1"/>
            </w14:solidFill>
          </w14:textFill>
        </w:rPr>
      </w:pPr>
      <w:bookmarkStart w:id="120" w:name="_Toc13720"/>
      <w:bookmarkStart w:id="121" w:name="_Toc19464"/>
      <w:r>
        <w:rPr>
          <w:rFonts w:hint="eastAsia"/>
          <w:color w:val="000000" w:themeColor="text1"/>
          <w14:textFill>
            <w14:solidFill>
              <w14:schemeClr w14:val="tx1"/>
            </w14:solidFill>
          </w14:textFill>
        </w:rPr>
        <w:t>8水土保持管理</w:t>
      </w:r>
      <w:bookmarkEnd w:id="120"/>
      <w:bookmarkEnd w:id="121"/>
    </w:p>
    <w:p w14:paraId="3582B70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现场调查及资料核查，项目建设过程中采取的各项水土保持措施，起到了一定保持水土，治理水土流失的作用，新增水土流失得到了一定控制。为了保证本项目后续水土保持方案顺利有效地实施，制定部分保证措施。</w:t>
      </w:r>
    </w:p>
    <w:p w14:paraId="72B4395E">
      <w:pPr>
        <w:pStyle w:val="3"/>
        <w:keepNext w:val="0"/>
        <w:rPr>
          <w:color w:val="000000" w:themeColor="text1"/>
          <w14:textFill>
            <w14:solidFill>
              <w14:schemeClr w14:val="tx1"/>
            </w14:solidFill>
          </w14:textFill>
        </w:rPr>
      </w:pPr>
      <w:bookmarkStart w:id="122" w:name="_Toc10984"/>
      <w:bookmarkStart w:id="123" w:name="_Toc28325"/>
      <w:bookmarkStart w:id="124" w:name="_Toc9737"/>
      <w:r>
        <w:rPr>
          <w:rFonts w:hint="eastAsia"/>
          <w:color w:val="000000" w:themeColor="text1"/>
          <w14:textFill>
            <w14:solidFill>
              <w14:schemeClr w14:val="tx1"/>
            </w14:solidFill>
          </w14:textFill>
        </w:rPr>
        <w:t>8.1组织管理</w:t>
      </w:r>
      <w:bookmarkEnd w:id="122"/>
      <w:bookmarkEnd w:id="123"/>
      <w:bookmarkEnd w:id="124"/>
    </w:p>
    <w:p w14:paraId="0709C3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方案经水行政主管部门批准后，建设单位应成立本方案实施的组织管理机构，并设专人（专职或兼职）负责本方案的组织实施工作。在工作中，向水行政主管部门报告本方案实施情况；负责申报本方案水土保持措施完工后的专项验收；落实水土保持措施验收合格后的管理维护责任和措施。</w:t>
      </w:r>
    </w:p>
    <w:p w14:paraId="1C977B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组织管理机构负责组织实施审批的本水土保持方案，开展水土保持方案的实施检查，全力保证该项工程的水土保持工作按年度</w:t>
      </w:r>
      <w:r>
        <w:rPr>
          <w:rFonts w:hint="eastAsia" w:ascii="微软雅黑" w:hAnsi="微软雅黑" w:eastAsia="微软雅黑" w:cs="微软雅黑"/>
          <w:color w:val="000000" w:themeColor="text1"/>
          <w14:textFill>
            <w14:solidFill>
              <w14:schemeClr w14:val="tx1"/>
            </w14:solidFill>
          </w14:textFill>
        </w:rPr>
        <w:t>﹑</w:t>
      </w:r>
      <w:r>
        <w:rPr>
          <w:rFonts w:hint="eastAsia" w:ascii="仿宋_GB2312" w:hAnsi="仿宋_GB2312" w:cs="仿宋_GB2312"/>
          <w:color w:val="000000" w:themeColor="text1"/>
          <w14:textFill>
            <w14:solidFill>
              <w14:schemeClr w14:val="tx1"/>
            </w14:solidFill>
          </w14:textFill>
        </w:rPr>
        <w:t>按计划进行，并主动与当地水行政主管部门密切配合，自觉接受地方水行政主管部门的监督检查</w:t>
      </w:r>
      <w:r>
        <w:rPr>
          <w:rFonts w:hint="eastAsia"/>
          <w:color w:val="000000" w:themeColor="text1"/>
          <w14:textFill>
            <w14:solidFill>
              <w14:schemeClr w14:val="tx1"/>
            </w14:solidFill>
          </w14:textFill>
        </w:rPr>
        <w:t>。</w:t>
      </w:r>
    </w:p>
    <w:p w14:paraId="7A5E663C">
      <w:pPr>
        <w:pStyle w:val="4"/>
        <w:keepNext w:val="0"/>
        <w:rPr>
          <w:color w:val="000000" w:themeColor="text1"/>
          <w14:textFill>
            <w14:solidFill>
              <w14:schemeClr w14:val="tx1"/>
            </w14:solidFill>
          </w14:textFill>
        </w:rPr>
      </w:pPr>
      <w:r>
        <w:rPr>
          <w:rFonts w:hint="eastAsia"/>
          <w:color w:val="000000" w:themeColor="text1"/>
          <w14:textFill>
            <w14:solidFill>
              <w14:schemeClr w14:val="tx1"/>
            </w14:solidFill>
          </w14:textFill>
        </w:rPr>
        <w:t>8.1.1组织机构</w:t>
      </w:r>
    </w:p>
    <w:p w14:paraId="1284FEA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中华人民共和国水土保持法》，水土保持方案报水行政主管部门批准后，由建设单位负责组织实施。为保证水土保持方案的顺利实施，需要建立强有力的组织领导机构。因此，在工程筹建期，建设单位需成立水土保持管理机构，负责工程建设和运行期水土保持方案的实施工作。机构的主要职责为：</w:t>
      </w:r>
    </w:p>
    <w:p w14:paraId="132A84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1、认真贯彻、执行“预防为主、保护优先、全面规划、综合治理、因地制宜、突出重点、科学管理、注重效益”的水土保持方针，确保水土保持工程安全，充分发挥水土保持工程效益。</w:t>
      </w:r>
    </w:p>
    <w:p w14:paraId="6134383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工程施工期间，负责与设计、施工、监测、监理单位保持联系，协调好水土保持方案与主体工程的关系，确保水土保持工程的正常开展和顺利进行，并按时竣工，最大限度减少人为造成的水土流失和生态环境的破坏。</w:t>
      </w:r>
    </w:p>
    <w:p w14:paraId="2B5D1D6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3、深入工程现场进行检查和观测，掌握工程施工和运行期间的水土流失状况及其防治措施落实状况，为有关部门决策提供基础资料。</w:t>
      </w:r>
    </w:p>
    <w:p w14:paraId="2E3DAB3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4、建立、健全各项档案，积累、分析整编资料，为水土保持工程竣工验收提供相关资料</w:t>
      </w:r>
      <w:r>
        <w:rPr>
          <w:color w:val="000000" w:themeColor="text1"/>
          <w14:textFill>
            <w14:solidFill>
              <w14:schemeClr w14:val="tx1"/>
            </w14:solidFill>
          </w14:textFill>
        </w:rPr>
        <w:t>。</w:t>
      </w:r>
    </w:p>
    <w:p w14:paraId="0EDE6308">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8.1.2管理措施</w:t>
      </w:r>
    </w:p>
    <w:p w14:paraId="0489DBA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具体管理措施包括：在维护管理中，贯彻执行水土保持法律法规和有关标准;在建设项目运行期间，制定水土保持管理的规章制度，并监督执行情况；必要时对管理人员实施水土保持专业技术培训，提高人员案质和管理水平;定期总结并向当地水行政主管部门汇报水土保持工程维护管理的工作情况。</w:t>
      </w:r>
    </w:p>
    <w:p w14:paraId="37BCAD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根据“谁开发利用资源谁负责保护，谁造成水土流失谁负责治理和补偿”的原则，项目水土保持经费由建设单位承担，列入工程投资估算，资金安排按年度实施计划落实，做到专人负责，专款专用，使各项水土保持措施保质保量按期完成。</w:t>
      </w:r>
    </w:p>
    <w:p w14:paraId="5C4F355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2、积极与工程涉及县的水行政主管部门联系，依托其技术力量，对水土保持措施进行经常性的定时、定点监测，分析水土保持方案的防治效果，对水土保持措施的维护及时制定相应的治理方案。</w:t>
      </w:r>
    </w:p>
    <w:p w14:paraId="65BDE9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3、专项管理，加强财务检查和审计工作，做到专款专用，严禁挪用和挤占。</w:t>
      </w:r>
    </w:p>
    <w:p w14:paraId="41C1203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按《四川省水利厅转发水利部关于加强事中事后监管规范生产建设项目水土保持设施自主验收的通知》（川水函[2018]887号），在主体工程投入运营前水土保持设施应与主体工程同时竣工验收合格后才能投入使用</w:t>
      </w:r>
      <w:r>
        <w:rPr>
          <w:color w:val="000000" w:themeColor="text1"/>
          <w14:textFill>
            <w14:solidFill>
              <w14:schemeClr w14:val="tx1"/>
            </w14:solidFill>
          </w14:textFill>
        </w:rPr>
        <w:t>。</w:t>
      </w:r>
    </w:p>
    <w:p w14:paraId="00953493">
      <w:pPr>
        <w:pStyle w:val="3"/>
        <w:rPr>
          <w:color w:val="000000" w:themeColor="text1"/>
          <w14:textFill>
            <w14:solidFill>
              <w14:schemeClr w14:val="tx1"/>
            </w14:solidFill>
          </w14:textFill>
        </w:rPr>
      </w:pPr>
      <w:bookmarkStart w:id="125" w:name="_Toc29368"/>
      <w:bookmarkStart w:id="126" w:name="_Toc22894"/>
      <w:bookmarkStart w:id="127" w:name="_Toc20081"/>
      <w:r>
        <w:rPr>
          <w:rFonts w:hint="eastAsia"/>
          <w:color w:val="000000" w:themeColor="text1"/>
          <w14:textFill>
            <w14:solidFill>
              <w14:schemeClr w14:val="tx1"/>
            </w14:solidFill>
          </w14:textFill>
        </w:rPr>
        <w:t>8.</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水土保持工程监理</w:t>
      </w:r>
      <w:bookmarkEnd w:id="125"/>
      <w:bookmarkEnd w:id="126"/>
      <w:bookmarkEnd w:id="127"/>
    </w:p>
    <w:p w14:paraId="770E90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工程监理的主要任务是对建设项目水土保持工程实施质量控制、进度控制、投资控制，实行项目的合同管理和信息管理，协调有关各方的关系，简称为“三控、三管、一协调”，为实现水土保持方案的总体目标服务。本项目临时占地面积小于20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，挖填土石方总量小于20万m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根据《水利部关于进一步深化“放管服”改革全面加强水土保持监管的意见》（水保【2019】160号），水土保持监理工作可由主体工程监理一并实施，工程竣工后，监理单位应提供水土保持工程监理报告，监理工作要求如下：</w:t>
      </w:r>
    </w:p>
    <w:p w14:paraId="04D587B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对水土保持措施的质量、进度和投资进行控制。加强施工现场检查，规范质量控制程序，同时严格工程计量的投资控制，对发生的工程量变更，监理单位要根据测量数据认真复核，做到既保证工程质量，又控制工程造价。</w:t>
      </w:r>
    </w:p>
    <w:p w14:paraId="0EC4B0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在施工期开始，施工现场需派专业监理人员，开展水土保持专项监理工作。监理过程中，现场水土保持监理人员按照国家和地方政府有关水土保持法规，受建设单位委托监督、检查工程及影响区域的各项水土保持工作。</w:t>
      </w:r>
    </w:p>
    <w:p w14:paraId="2AB8E3F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3、施工单位在日常工作中应及时整理、归档有关水土保持资料，定期向建设单位报告现场水土保持工作情况，负责编写季度、年度水土保持监理报告</w:t>
      </w:r>
      <w:r>
        <w:rPr>
          <w:color w:val="000000" w:themeColor="text1"/>
          <w14:textFill>
            <w14:solidFill>
              <w14:schemeClr w14:val="tx1"/>
            </w14:solidFill>
          </w14:textFill>
        </w:rPr>
        <w:t>。</w:t>
      </w:r>
    </w:p>
    <w:p w14:paraId="120E152F">
      <w:pPr>
        <w:pStyle w:val="3"/>
        <w:rPr>
          <w:color w:val="000000" w:themeColor="text1"/>
          <w14:textFill>
            <w14:solidFill>
              <w14:schemeClr w14:val="tx1"/>
            </w14:solidFill>
          </w14:textFill>
        </w:rPr>
      </w:pPr>
      <w:bookmarkStart w:id="128" w:name="_Toc9091"/>
      <w:bookmarkStart w:id="129" w:name="_Toc13086"/>
      <w:bookmarkStart w:id="130" w:name="_Toc14044"/>
      <w:r>
        <w:rPr>
          <w:rFonts w:hint="eastAsia"/>
          <w:color w:val="000000" w:themeColor="text1"/>
          <w14:textFill>
            <w14:solidFill>
              <w14:schemeClr w14:val="tx1"/>
            </w14:solidFill>
          </w14:textFill>
        </w:rPr>
        <w:t>8.</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工程施工</w:t>
      </w:r>
      <w:bookmarkEnd w:id="128"/>
      <w:bookmarkEnd w:id="129"/>
      <w:bookmarkEnd w:id="130"/>
    </w:p>
    <w:p w14:paraId="414F641F">
      <w:pPr>
        <w:ind w:firstLine="480"/>
        <w:rPr>
          <w:color w:val="000000" w:themeColor="text1"/>
          <w14:textFill>
            <w14:solidFill>
              <w14:schemeClr w14:val="tx1"/>
            </w14:solidFill>
          </w14:textFill>
        </w:rPr>
      </w:pPr>
      <w:r>
        <w:rPr>
          <w:rFonts w:cs="Times New Roman"/>
          <w:color w:val="000000" w:themeColor="text1"/>
          <w14:textFill>
            <w14:solidFill>
              <w14:schemeClr w14:val="tx1"/>
            </w14:solidFill>
          </w14:textFill>
        </w:rPr>
        <w:t>按水土保持工程技术要求，将水土保持工程各项内容纳入</w:t>
      </w:r>
      <w:r>
        <w:rPr>
          <w:rFonts w:hint="eastAsia" w:cs="Times New Roman"/>
          <w:color w:val="000000" w:themeColor="text1"/>
          <w14:textFill>
            <w14:solidFill>
              <w14:schemeClr w14:val="tx1"/>
            </w14:solidFill>
          </w14:textFill>
        </w:rPr>
        <w:t>施工合同补充协议</w:t>
      </w:r>
      <w:r>
        <w:rPr>
          <w:rFonts w:cs="Times New Roman"/>
          <w:color w:val="000000" w:themeColor="text1"/>
          <w14:textFill>
            <w14:solidFill>
              <w14:schemeClr w14:val="tx1"/>
            </w14:solidFill>
          </w14:textFill>
        </w:rPr>
        <w:t>的正式条款中。在主体工程施工中，必须按照水土保持方案提出的要求实施水土保持措施，严格遵循水土保持设计的治理措施、技术标准、进度安排等要求，保质保量地完成水土保持各项措施，以保证水土保持工程效益的充分发挥。</w:t>
      </w:r>
    </w:p>
    <w:p w14:paraId="1DC0CE02">
      <w:pPr>
        <w:ind w:firstLine="480"/>
        <w:rPr>
          <w:color w:val="000000" w:themeColor="text1"/>
          <w14:textFill>
            <w14:solidFill>
              <w14:schemeClr w14:val="tx1"/>
            </w14:solidFill>
          </w14:textFill>
        </w:rPr>
      </w:pPr>
      <w:bookmarkStart w:id="131" w:name="_Toc422909240"/>
      <w:bookmarkStart w:id="132" w:name="_Toc4227"/>
      <w:r>
        <w:rPr>
          <w:color w:val="000000" w:themeColor="text1"/>
          <w14:textFill>
            <w14:solidFill>
              <w14:schemeClr w14:val="tx1"/>
            </w14:solidFill>
          </w14:textFill>
        </w:rPr>
        <w:t>在主体工程后续施工中，应按照水土保持方案提出的要求实施水土保持措施，严格遵循水土保持设计的治理措施、技术标准、进度安排等要求，保质保量地完成水土保持各项措施，以保证水土保持工程效益的充分发挥。</w:t>
      </w:r>
      <w:bookmarkEnd w:id="131"/>
      <w:bookmarkEnd w:id="132"/>
    </w:p>
    <w:p w14:paraId="08ABE6EA">
      <w:pPr>
        <w:pStyle w:val="3"/>
        <w:rPr>
          <w:color w:val="000000" w:themeColor="text1"/>
          <w14:textFill>
            <w14:solidFill>
              <w14:schemeClr w14:val="tx1"/>
            </w14:solidFill>
          </w14:textFill>
        </w:rPr>
      </w:pPr>
      <w:bookmarkStart w:id="133" w:name="_Toc16909"/>
      <w:bookmarkStart w:id="134" w:name="_Toc17672"/>
      <w:bookmarkStart w:id="135" w:name="_Toc11319"/>
      <w:r>
        <w:rPr>
          <w:rFonts w:hint="eastAsia"/>
          <w:color w:val="000000" w:themeColor="text1"/>
          <w14:textFill>
            <w14:solidFill>
              <w14:schemeClr w14:val="tx1"/>
            </w14:solidFill>
          </w14:textFill>
        </w:rPr>
        <w:t>8.</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检查与验收</w:t>
      </w:r>
      <w:bookmarkEnd w:id="133"/>
      <w:bookmarkEnd w:id="134"/>
      <w:bookmarkEnd w:id="135"/>
    </w:p>
    <w:p w14:paraId="45C65DB9">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.1方案实施及设施维护和检查</w:t>
      </w:r>
    </w:p>
    <w:p w14:paraId="66065D5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本工程水土保持工作不仅包括各项水土保持措施的落实和实施，也包括水土保持措施建成运行后的设施维护，采取相应的技术保证措施。</w:t>
      </w:r>
    </w:p>
    <w:p w14:paraId="1D36E7D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为保证水土保持工程质量，必须要求有资质的施工队伍施工。施工期间，施工单位要严格按设计要求施工。植物措施实施完成后，应注意加强植物措施的后期抚育工作，抓好幼林抚育和管护，确保各种植物的成活率，尽早发挥植物措施的水土保持效益。定期或不定期地对已验收的水土保持工程进行检查，随时掌握其运行状态，保证工程完好。</w:t>
      </w:r>
    </w:p>
    <w:p w14:paraId="5E68B66F">
      <w:pPr>
        <w:pStyle w:val="4"/>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.2竣工验收</w:t>
      </w:r>
    </w:p>
    <w:p w14:paraId="12BC95C5">
      <w:pPr>
        <w:ind w:firstLine="480"/>
        <w:rPr>
          <w:color w:val="000000" w:themeColor="text1"/>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项目完工</w:t>
      </w:r>
      <w:r>
        <w:rPr>
          <w:color w:val="000000" w:themeColor="text1"/>
          <w14:textFill>
            <w14:solidFill>
              <w14:schemeClr w14:val="tx1"/>
            </w14:solidFill>
          </w14:textFill>
        </w:rPr>
        <w:t>后，根据《水利部关于加强事中事后监管规范生产建设项目水土保持设施自主验收得通知》（水保[2017]365号）</w:t>
      </w:r>
      <w:r>
        <w:rPr>
          <w:rFonts w:hint="eastAsia"/>
          <w:color w:val="000000" w:themeColor="text1"/>
          <w14:textFill>
            <w14:solidFill>
              <w14:schemeClr w14:val="tx1"/>
            </w14:solidFill>
          </w14:textFill>
        </w:rPr>
        <w:t>、《四川省水利厅转发水利部关于加强事中事后监管规范生产建设项目水土保持设施自主验收的通知》（川水函[2018]887号）和《水利部办公厅关于印发生产建设项目水土保持监督管理办法的通知（办水保[2019]172号）》、《水利部关于进一步深化“放管服”改革全面加强水土保持监管的意见》（水保[2019]160号）</w:t>
      </w:r>
      <w:r>
        <w:rPr>
          <w:color w:val="000000" w:themeColor="text1"/>
          <w14:textFill>
            <w14:solidFill>
              <w14:schemeClr w14:val="tx1"/>
            </w14:solidFill>
          </w14:textFill>
        </w:rPr>
        <w:t>，建设单位应当</w:t>
      </w:r>
      <w:r>
        <w:rPr>
          <w:rFonts w:hint="eastAsia"/>
          <w:color w:val="000000" w:themeColor="text1"/>
          <w14:textFill>
            <w14:solidFill>
              <w14:schemeClr w14:val="tx1"/>
            </w14:solidFill>
          </w14:textFill>
        </w:rPr>
        <w:t>在项目投产使用或者竣工验收前，自主开展水土保持设施验收，完成报备并取得报备回执</w:t>
      </w:r>
      <w:r>
        <w:rPr>
          <w:color w:val="000000" w:themeColor="text1"/>
          <w14:textFill>
            <w14:solidFill>
              <w14:schemeClr w14:val="tx1"/>
            </w14:solidFill>
          </w14:textFill>
        </w:rPr>
        <w:t>生产建设项目水土保持设施自主验收程序如下：</w:t>
      </w:r>
    </w:p>
    <w:p w14:paraId="783097B0">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1、验收组织。在生产建设项目投产使用前，由生产建设单位组织有关参建单位及1-2 名水土保持专业或行业专家对水土保持设施进行验收，形成验收鉴定书。</w:t>
      </w:r>
    </w:p>
    <w:p w14:paraId="063FC8D2">
      <w:pPr>
        <w:ind w:firstLine="48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2、验收公示。对验收合格的项目，除按照国家规定需要保密的情形外，生产建设单位应在 10 个工作日内将水土保持设施验收鉴定书通过其官方网站或上级单位网站、行业网站、项目属地政府部门网站向社会公开，公示的时间不得少于 20 个工作日，并注明该项目建设单位和水土保持设施验收报备机关的联系电话，对于公众反映的主要问题和意见，生产建设单位应当及时给予处理或者回应。</w:t>
      </w:r>
    </w:p>
    <w:p w14:paraId="142758D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验收报备。生产建设单位应当在向社会公开水土保持设施验收材料后、生产建设项目投产使用前，向水土保持设施验收报备机关报备验收材料。报备材料包括水土保持设施验收鉴定书、水土保持设施自主验收报备申请表、网页公示截图、水土保持措施典型图片、补偿费缴纳凭据、专家签字。</w:t>
      </w:r>
    </w:p>
    <w:p w14:paraId="4488EB7B">
      <w:pPr>
        <w:ind w:firstLine="480"/>
        <w:rPr>
          <w:color w:val="000000" w:themeColor="text1"/>
          <w14:textFill>
            <w14:solidFill>
              <w14:schemeClr w14:val="tx1"/>
            </w14:solidFill>
          </w14:textFill>
        </w:rPr>
      </w:pPr>
      <w:r>
        <w:rPr>
          <w:color w:val="000000" w:themeColor="text1"/>
          <w14:textFill>
            <w14:solidFill>
              <w14:schemeClr w14:val="tx1"/>
            </w14:solidFill>
          </w14:textFill>
        </w:rPr>
        <w:t>水土保持设施验收合格并交付使用后，运行单位应当加强水土保持设施的管理和维护，确保水土保持设施安全、有效运行。</w:t>
      </w:r>
    </w:p>
    <w:sectPr>
      <w:headerReference r:id="rId29" w:type="default"/>
      <w:headerReference r:id="rId30" w:type="even"/>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方正仿宋_GB2312">
    <w:panose1 w:val="02000000000000000000"/>
    <w:charset w:val="86"/>
    <w:family w:val="auto"/>
    <w:pitch w:val="default"/>
    <w:sig w:usb0="A00002BF" w:usb1="184F6CFA" w:usb2="00000012" w:usb3="00000000" w:csb0="00040001" w:csb1="00000000"/>
  </w:font>
  <w:font w:name="楷体">
    <w:panose1 w:val="02010609060101010101"/>
    <w:charset w:val="86"/>
    <w:family w:val="modern"/>
    <w:pitch w:val="default"/>
    <w:sig w:usb0="800002BF" w:usb1="38CF7CFA" w:usb2="00000016" w:usb3="00000000" w:csb0="00040001" w:csb1="00000000"/>
  </w:font>
  <w:font w:name="Segoe UI Symbol">
    <w:panose1 w:val="020B0502040204020203"/>
    <w:charset w:val="00"/>
    <w:family w:val="swiss"/>
    <w:pitch w:val="default"/>
    <w:sig w:usb0="8000006F" w:usb1="1200FBEF" w:usb2="0064C000" w:usb3="00000002" w:csb0="00000001" w:csb1="4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89BA6C">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8EFBB5">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AE35D">
    <w:pPr>
      <w:pStyle w:val="1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0A514D">
    <w:pPr>
      <w:pStyle w:val="17"/>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528C4">
    <w:pPr>
      <w:pStyle w:val="17"/>
      <w:tabs>
        <w:tab w:val="clear" w:pos="4153"/>
      </w:tabs>
      <w:ind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CAF5A6">
    <w:pPr>
      <w:pStyle w:val="17"/>
      <w:ind w:firstLine="360"/>
    </w:pPr>
    <w:r>
      <mc:AlternateContent>
        <mc:Choice Requires="wps">
          <w:drawing>
            <wp:anchor distT="0" distB="0" distL="114300" distR="114300" simplePos="0" relativeHeight="251662336" behindDoc="0" locked="0" layoutInCell="1" allowOverlap="1">
              <wp:simplePos x="0" y="0"/>
              <wp:positionH relativeFrom="margin">
                <wp:posOffset>2630805</wp:posOffset>
              </wp:positionH>
              <wp:positionV relativeFrom="paragraph">
                <wp:posOffset>-53340</wp:posOffset>
              </wp:positionV>
              <wp:extent cx="265430" cy="159385"/>
              <wp:effectExtent l="0" t="0" r="0" b="0"/>
              <wp:wrapNone/>
              <wp:docPr id="832756012" name="文本框 3"/>
              <wp:cNvGraphicFramePr/>
              <a:graphic xmlns:a="http://schemas.openxmlformats.org/drawingml/2006/main">
                <a:graphicData uri="http://schemas.microsoft.com/office/word/2010/wordprocessingShape">
                  <wps:wsp>
                    <wps:cNvSpPr txBox="1"/>
                    <wps:spPr>
                      <a:xfrm>
                        <a:off x="0" y="0"/>
                        <a:ext cx="265430" cy="159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B4B764">
                          <w:pPr>
                            <w:pStyle w:val="17"/>
                            <w:rPr>
                              <w:rFonts w:eastAsia="仿宋_GB2312"/>
                            </w:rPr>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3" o:spid="_x0000_s1026" o:spt="202" type="#_x0000_t202" style="position:absolute;left:0pt;margin-left:207.15pt;margin-top:-4.2pt;height:12.55pt;width:20.9pt;mso-position-horizontal-relative:margin;z-index:251662336;mso-width-relative:page;mso-height-relative:page;" filled="f" stroked="f" coordsize="21600,21600" o:gfxdata="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HjfPV2AAAAAkBAAAPAAAAAAAAAAEAIAAAACIAAABkcnMvZG93&#10;bnJldi54bWxQSwECFAAUAAAACACHTuJA7X0g3jkCAABdBAAADgAAAAAAAAABACAAAAAnAQAAZHJz&#10;L2Uyb0RvYy54bWxQSwUGAAAAAAYABgBZAQAA0gUAAAAA&#10;">
              <v:fill on="f" focussize="0,0"/>
              <v:stroke on="f" weight="0.5pt"/>
              <v:imagedata o:title=""/>
              <o:lock v:ext="edit" aspectratio="f"/>
              <v:textbox inset="0mm,0mm,0mm,0mm">
                <w:txbxContent>
                  <w:p w14:paraId="4BB4B764">
                    <w:pPr>
                      <w:pStyle w:val="17"/>
                      <w:rPr>
                        <w:rFonts w:eastAsia="仿宋_GB2312"/>
                      </w:rPr>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7FBE29">
    <w:pPr>
      <w:pStyle w:val="17"/>
      <w:tabs>
        <w:tab w:val="clear" w:pos="4153"/>
      </w:tabs>
      <w:ind w:firstLine="360"/>
      <w:jc w:val="center"/>
    </w:pPr>
    <w:r>
      <mc:AlternateContent>
        <mc:Choice Requires="wps">
          <w:drawing>
            <wp:anchor distT="0" distB="0" distL="114300" distR="114300" simplePos="0" relativeHeight="251663360" behindDoc="0" locked="0" layoutInCell="1" allowOverlap="1">
              <wp:simplePos x="0" y="0"/>
              <wp:positionH relativeFrom="margin">
                <wp:posOffset>2424430</wp:posOffset>
              </wp:positionH>
              <wp:positionV relativeFrom="paragraph">
                <wp:posOffset>-72390</wp:posOffset>
              </wp:positionV>
              <wp:extent cx="664845" cy="276860"/>
              <wp:effectExtent l="0" t="0" r="0" b="0"/>
              <wp:wrapNone/>
              <wp:docPr id="1868088000" name="文本框 4"/>
              <wp:cNvGraphicFramePr/>
              <a:graphic xmlns:a="http://schemas.openxmlformats.org/drawingml/2006/main">
                <a:graphicData uri="http://schemas.microsoft.com/office/word/2010/wordprocessingShape">
                  <wps:wsp>
                    <wps:cNvSpPr txBox="1"/>
                    <wps:spPr>
                      <a:xfrm>
                        <a:off x="0" y="0"/>
                        <a:ext cx="664845" cy="2768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D84EEC">
                          <w:pPr>
                            <w:pStyle w:val="17"/>
                            <w:ind w:firstLine="480"/>
                            <w:rPr>
                              <w:rFonts w:eastAsia="仿宋_GB2312"/>
                            </w:rPr>
                          </w:pPr>
                          <w:r>
                            <w:rPr>
                              <w:rFonts w:hint="eastAsia"/>
                            </w:rPr>
                            <w:fldChar w:fldCharType="begin"/>
                          </w:r>
                          <w:r>
                            <w:rPr>
                              <w:rFonts w:hint="eastAsia"/>
                            </w:rPr>
                            <w:instrText xml:space="preserve"> PAGE  \* MERGEFORMAT </w:instrText>
                          </w:r>
                          <w:r>
                            <w:rPr>
                              <w:rFonts w:hint="eastAsia"/>
                            </w:rPr>
                            <w:fldChar w:fldCharType="separate"/>
                          </w:r>
                          <w:r>
                            <w:t>IV</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4" o:spid="_x0000_s1026" o:spt="202" type="#_x0000_t202" style="position:absolute;left:0pt;margin-left:190.9pt;margin-top:-5.7pt;height:21.8pt;width:52.35pt;mso-position-horizontal-relative:margin;z-index:251663360;mso-width-relative:page;mso-height-relative:page;" filled="f" stroked="f" coordsize="21600,21600" o:gfxdata="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vot5/NkAAAAKAQAADwAAAAAAAAABACAAAAAiAAAAZHJzL2Rv&#10;d25yZXYueG1sUEsBAhQAFAAAAAgAh07iQC/hSFc5AgAAXgQAAA4AAAAAAAAAAQAgAAAAKAEAAGRy&#10;cy9lMm9Eb2MueG1sUEsFBgAAAAAGAAYAWQEAANMFAAAAAA==&#10;">
              <v:fill on="f" focussize="0,0"/>
              <v:stroke on="f" weight="0.5pt"/>
              <v:imagedata o:title=""/>
              <o:lock v:ext="edit" aspectratio="f"/>
              <v:textbox inset="0mm,0mm,0mm,0mm">
                <w:txbxContent>
                  <w:p w14:paraId="7DD84EEC">
                    <w:pPr>
                      <w:pStyle w:val="17"/>
                      <w:ind w:firstLine="480"/>
                      <w:rPr>
                        <w:rFonts w:eastAsia="仿宋_GB2312"/>
                      </w:rPr>
                    </w:pPr>
                    <w:r>
                      <w:rPr>
                        <w:rFonts w:hint="eastAsia"/>
                      </w:rPr>
                      <w:fldChar w:fldCharType="begin"/>
                    </w:r>
                    <w:r>
                      <w:rPr>
                        <w:rFonts w:hint="eastAsia"/>
                      </w:rPr>
                      <w:instrText xml:space="preserve"> PAGE  \* MERGEFORMAT </w:instrText>
                    </w:r>
                    <w:r>
                      <w:rPr>
                        <w:rFonts w:hint="eastAsia"/>
                      </w:rPr>
                      <w:fldChar w:fldCharType="separate"/>
                    </w:r>
                    <w:r>
                      <w:t>IV</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7F3097">
    <w:pPr>
      <w:pStyle w:val="17"/>
      <w:ind w:firstLine="360"/>
    </w:pPr>
    <w:r>
      <mc:AlternateContent>
        <mc:Choice Requires="wps">
          <w:drawing>
            <wp:anchor distT="0" distB="0" distL="114300" distR="114300" simplePos="0" relativeHeight="251660288" behindDoc="0" locked="0" layoutInCell="1" allowOverlap="1">
              <wp:simplePos x="0" y="0"/>
              <wp:positionH relativeFrom="margin">
                <wp:posOffset>2567940</wp:posOffset>
              </wp:positionH>
              <wp:positionV relativeFrom="paragraph">
                <wp:posOffset>-41275</wp:posOffset>
              </wp:positionV>
              <wp:extent cx="350520" cy="198120"/>
              <wp:effectExtent l="0" t="0" r="0" b="0"/>
              <wp:wrapNone/>
              <wp:docPr id="2043536600" name="文本框 1"/>
              <wp:cNvGraphicFramePr/>
              <a:graphic xmlns:a="http://schemas.openxmlformats.org/drawingml/2006/main">
                <a:graphicData uri="http://schemas.microsoft.com/office/word/2010/wordprocessingShape">
                  <wps:wsp>
                    <wps:cNvSpPr txBox="1"/>
                    <wps:spPr>
                      <a:xfrm>
                        <a:off x="0" y="0"/>
                        <a:ext cx="350520" cy="198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8E3DD4">
                          <w:pPr>
                            <w:pStyle w:val="17"/>
                            <w:jc w:val="center"/>
                            <w:rPr>
                              <w:rFonts w:eastAsia="仿宋_GB2312"/>
                            </w:rPr>
                          </w:pPr>
                          <w:r>
                            <w:rPr>
                              <w:rFonts w:hint="eastAsia"/>
                            </w:rPr>
                            <w:fldChar w:fldCharType="begin"/>
                          </w:r>
                          <w:r>
                            <w:rPr>
                              <w:rFonts w:hint="eastAsia"/>
                            </w:rPr>
                            <w:instrText xml:space="preserve"> PAGE  \* MERGEFORMAT </w:instrText>
                          </w:r>
                          <w:r>
                            <w:rPr>
                              <w:rFonts w:hint="eastAsia"/>
                            </w:rPr>
                            <w:fldChar w:fldCharType="separate"/>
                          </w:r>
                          <w:r>
                            <w:t>121</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1" o:spid="_x0000_s1026" o:spt="202" type="#_x0000_t202" style="position:absolute;left:0pt;margin-left:202.2pt;margin-top:-3.25pt;height:15.6pt;width:27.6pt;mso-position-horizontal-relative:margin;z-index:251660288;mso-width-relative:page;mso-height-relative:page;" filled="f" stroked="f" coordsize="21600,21600" o:gfxdata="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QxFV69gAAAAJAQAADwAAAAAAAAABACAAAAAiAAAAZHJzL2Rvd25y&#10;ZXYueG1sUEsBAhQAFAAAAAgAh07iQHELe5Q3AgAAXgQAAA4AAAAAAAAAAQAgAAAAJwEAAGRycy9l&#10;Mm9Eb2MueG1sUEsFBgAAAAAGAAYAWQEAANAFAAAAAA==&#10;">
              <v:fill on="f" focussize="0,0"/>
              <v:stroke on="f" weight="0.5pt"/>
              <v:imagedata o:title=""/>
              <o:lock v:ext="edit" aspectratio="f"/>
              <v:textbox inset="0mm,0mm,0mm,0mm">
                <w:txbxContent>
                  <w:p w14:paraId="5D8E3DD4">
                    <w:pPr>
                      <w:pStyle w:val="17"/>
                      <w:jc w:val="center"/>
                      <w:rPr>
                        <w:rFonts w:eastAsia="仿宋_GB2312"/>
                      </w:rPr>
                    </w:pPr>
                    <w:r>
                      <w:rPr>
                        <w:rFonts w:hint="eastAsia"/>
                      </w:rPr>
                      <w:fldChar w:fldCharType="begin"/>
                    </w:r>
                    <w:r>
                      <w:rPr>
                        <w:rFonts w:hint="eastAsia"/>
                      </w:rPr>
                      <w:instrText xml:space="preserve"> PAGE  \* MERGEFORMAT </w:instrText>
                    </w:r>
                    <w:r>
                      <w:rPr>
                        <w:rFonts w:hint="eastAsia"/>
                      </w:rPr>
                      <w:fldChar w:fldCharType="separate"/>
                    </w:r>
                    <w:r>
                      <w:t>121</w:t>
                    </w:r>
                    <w:r>
                      <w:rPr>
                        <w:rFonts w:hint="eastAsia"/>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2A82FC">
    <w:pPr>
      <w:pStyle w:val="17"/>
      <w:tabs>
        <w:tab w:val="clear" w:pos="4153"/>
      </w:tabs>
      <w:ind w:firstLine="360"/>
      <w:jc w:val="center"/>
    </w:pPr>
    <w:r>
      <mc:AlternateContent>
        <mc:Choice Requires="wps">
          <w:drawing>
            <wp:anchor distT="0" distB="0" distL="114300" distR="114300" simplePos="0" relativeHeight="251661312" behindDoc="0" locked="0" layoutInCell="1" allowOverlap="1">
              <wp:simplePos x="0" y="0"/>
              <wp:positionH relativeFrom="margin">
                <wp:posOffset>2454910</wp:posOffset>
              </wp:positionH>
              <wp:positionV relativeFrom="paragraph">
                <wp:posOffset>-84455</wp:posOffset>
              </wp:positionV>
              <wp:extent cx="617220" cy="281940"/>
              <wp:effectExtent l="0" t="0" r="0" b="0"/>
              <wp:wrapNone/>
              <wp:docPr id="274237525" name="文本框 2"/>
              <wp:cNvGraphicFramePr/>
              <a:graphic xmlns:a="http://schemas.openxmlformats.org/drawingml/2006/main">
                <a:graphicData uri="http://schemas.microsoft.com/office/word/2010/wordprocessingShape">
                  <wps:wsp>
                    <wps:cNvSpPr txBox="1"/>
                    <wps:spPr>
                      <a:xfrm>
                        <a:off x="0" y="0"/>
                        <a:ext cx="617220" cy="281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516570">
                          <w:pPr>
                            <w:pStyle w:val="17"/>
                            <w:jc w:val="center"/>
                            <w:rPr>
                              <w:rFonts w:eastAsia="仿宋_GB2312"/>
                            </w:rPr>
                          </w:pPr>
                          <w:r>
                            <w:rPr>
                              <w:rFonts w:hint="eastAsia"/>
                            </w:rPr>
                            <w:fldChar w:fldCharType="begin"/>
                          </w:r>
                          <w:r>
                            <w:rPr>
                              <w:rFonts w:hint="eastAsia"/>
                            </w:rPr>
                            <w:instrText xml:space="preserve"> PAGE  \* MERGEFORMAT </w:instrText>
                          </w:r>
                          <w:r>
                            <w:rPr>
                              <w:rFonts w:hint="eastAsia"/>
                            </w:rPr>
                            <w:fldChar w:fldCharType="separate"/>
                          </w:r>
                          <w:r>
                            <w:t>120</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2" o:spid="_x0000_s1026" o:spt="202" type="#_x0000_t202" style="position:absolute;left:0pt;margin-left:193.3pt;margin-top:-6.65pt;height:22.2pt;width:48.6pt;mso-position-horizontal-relative:margin;z-index:251661312;mso-width-relative:page;mso-height-relative:page;" filled="f" stroked="f" coordsize="21600,21600" o:gfxdata="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ZjPd72AAAAAoBAAAPAAAAAAAAAAEAIAAAACIAAABkcnMvZG93bnJl&#10;di54bWxQSwECFAAUAAAACACHTuJAdSDZVzYCAABdBAAADgAAAAAAAAABACAAAAAnAQAAZHJzL2Uy&#10;b0RvYy54bWxQSwUGAAAAAAYABgBZAQAAzwUAAAAA&#10;">
              <v:fill on="f" focussize="0,0"/>
              <v:stroke on="f" weight="0.5pt"/>
              <v:imagedata o:title=""/>
              <o:lock v:ext="edit" aspectratio="f"/>
              <v:textbox inset="0mm,0mm,0mm,0mm">
                <w:txbxContent>
                  <w:p w14:paraId="15516570">
                    <w:pPr>
                      <w:pStyle w:val="17"/>
                      <w:jc w:val="center"/>
                      <w:rPr>
                        <w:rFonts w:eastAsia="仿宋_GB2312"/>
                      </w:rPr>
                    </w:pPr>
                    <w:r>
                      <w:rPr>
                        <w:rFonts w:hint="eastAsia"/>
                      </w:rPr>
                      <w:fldChar w:fldCharType="begin"/>
                    </w:r>
                    <w:r>
                      <w:rPr>
                        <w:rFonts w:hint="eastAsia"/>
                      </w:rPr>
                      <w:instrText xml:space="preserve"> PAGE  \* MERGEFORMAT </w:instrText>
                    </w:r>
                    <w:r>
                      <w:rPr>
                        <w:rFonts w:hint="eastAsia"/>
                      </w:rPr>
                      <w:fldChar w:fldCharType="separate"/>
                    </w:r>
                    <w:r>
                      <w:t>120</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1610E5">
    <w:pPr>
      <w:pStyle w:val="18"/>
      <w:pBdr>
        <w:bottom w:val="none" w:color="auto" w:sz="0" w:space="0"/>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916BB">
    <w:pPr>
      <w:pStyle w:val="18"/>
      <w:pBdr>
        <w:bottom w:val="single" w:color="auto" w:sz="4" w:space="0"/>
      </w:pBdr>
      <w:ind w:right="210" w:firstLine="480"/>
      <w:jc w:val="center"/>
    </w:pPr>
    <w:r>
      <w:t>4</w:t>
    </w:r>
    <w:r>
      <w:rPr>
        <w:rFonts w:hint="eastAsia"/>
      </w:rPr>
      <w:t>水土流失分析与调查预测</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BFD4F9">
    <w:pPr>
      <w:pStyle w:val="18"/>
      <w:pBdr>
        <w:bottom w:val="single" w:color="auto" w:sz="4" w:space="0"/>
      </w:pBdr>
      <w:ind w:right="210" w:firstLine="480"/>
      <w:jc w:val="center"/>
    </w:pPr>
    <w:r>
      <w:t>4</w:t>
    </w:r>
    <w:r>
      <w:rPr>
        <w:rFonts w:hint="eastAsia"/>
      </w:rPr>
      <w:t>水土流失分析与调查预测</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27DB18">
    <w:pPr>
      <w:pStyle w:val="18"/>
      <w:pBdr>
        <w:bottom w:val="single" w:color="auto" w:sz="4" w:space="0"/>
      </w:pBdr>
      <w:ind w:right="210" w:firstLine="480"/>
      <w:jc w:val="center"/>
    </w:pPr>
    <w:r>
      <w:t>5</w:t>
    </w:r>
    <w:r>
      <w:rPr>
        <w:rFonts w:hint="eastAsia"/>
      </w:rPr>
      <w:t>水土保持措施</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9BFEC5">
    <w:pPr>
      <w:pStyle w:val="18"/>
      <w:pBdr>
        <w:bottom w:val="single" w:color="auto" w:sz="4" w:space="0"/>
      </w:pBdr>
      <w:ind w:right="210" w:firstLine="480"/>
      <w:jc w:val="center"/>
    </w:pPr>
    <w:r>
      <w:t>5</w:t>
    </w:r>
    <w:r>
      <w:rPr>
        <w:rFonts w:hint="eastAsia"/>
      </w:rPr>
      <w:t>水土保持措施</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A2A9EB">
    <w:pPr>
      <w:pStyle w:val="18"/>
      <w:pBdr>
        <w:bottom w:val="single" w:color="auto" w:sz="4" w:space="0"/>
      </w:pBdr>
      <w:ind w:firstLine="360"/>
      <w:jc w:val="center"/>
    </w:pPr>
    <w:r>
      <w:rPr>
        <w:rFonts w:hint="eastAsia"/>
      </w:rPr>
      <w:t>7水土保持投资估算及效益分析</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79D4A9">
    <w:pPr>
      <w:pStyle w:val="18"/>
      <w:pBdr>
        <w:bottom w:val="single" w:color="auto" w:sz="4" w:space="1"/>
      </w:pBdr>
      <w:jc w:val="center"/>
    </w:pPr>
    <w:r>
      <w:rPr>
        <w:rFonts w:hint="eastAsia"/>
      </w:rPr>
      <w:t>7水土保持投资估算及效益分析</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4E6B47">
    <w:pPr>
      <w:pStyle w:val="18"/>
      <w:pBdr>
        <w:bottom w:val="single" w:color="auto" w:sz="4" w:space="0"/>
      </w:pBdr>
      <w:ind w:firstLine="360"/>
      <w:jc w:val="center"/>
    </w:pPr>
    <w:r>
      <w:rPr>
        <w:rFonts w:hint="eastAsia"/>
      </w:rPr>
      <w:t>8水土保持管理</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87CB0">
    <w:pPr>
      <w:pStyle w:val="18"/>
      <w:pBdr>
        <w:bottom w:val="single" w:color="auto" w:sz="4" w:space="1"/>
      </w:pBdr>
      <w:jc w:val="center"/>
    </w:pPr>
    <w:r>
      <w:rPr>
        <w:rFonts w:hint="eastAsia"/>
      </w:rPr>
      <w:t>8水土保持管理</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73607A">
    <w:pPr>
      <w:pStyle w:val="18"/>
      <w:pBdr>
        <w:bottom w:val="none" w:color="auto" w:sz="0" w:space="1"/>
      </w:pBdr>
      <w:ind w:firstLine="42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0F8CE2">
    <w:pPr>
      <w:pStyle w:val="1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20A390">
    <w:pPr>
      <w:pStyle w:val="18"/>
      <w:pBdr>
        <w:bottom w:val="single" w:color="auto" w:sz="4" w:space="0"/>
      </w:pBdr>
      <w:ind w:firstLine="360"/>
      <w:jc w:val="center"/>
    </w:pPr>
    <w:r>
      <w:rPr>
        <w:rFonts w:hint="eastAsia"/>
      </w:rPr>
      <w:t>1综合说明</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87CFAD">
    <w:pPr>
      <w:pStyle w:val="18"/>
      <w:pBdr>
        <w:bottom w:val="single" w:color="auto" w:sz="4" w:space="1"/>
      </w:pBdr>
      <w:jc w:val="center"/>
    </w:pPr>
    <w:r>
      <w:rPr>
        <w:rFonts w:hint="eastAsia"/>
      </w:rPr>
      <w:t>1综合说明</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C084A6">
    <w:pPr>
      <w:pStyle w:val="18"/>
      <w:pBdr>
        <w:bottom w:val="single" w:color="auto" w:sz="4" w:space="0"/>
      </w:pBdr>
      <w:ind w:firstLine="360"/>
      <w:jc w:val="center"/>
    </w:pPr>
    <w:r>
      <w:rPr>
        <w:rFonts w:hint="eastAsia"/>
      </w:rPr>
      <w:t>2项目概况</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1AE6E1">
    <w:pPr>
      <w:pStyle w:val="18"/>
      <w:pBdr>
        <w:bottom w:val="single" w:color="auto" w:sz="4" w:space="1"/>
      </w:pBdr>
      <w:jc w:val="center"/>
    </w:pPr>
    <w:r>
      <w:rPr>
        <w:rFonts w:hint="eastAsia"/>
      </w:rPr>
      <w:t>2项目概况</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D31B39">
    <w:pPr>
      <w:pStyle w:val="18"/>
      <w:pBdr>
        <w:bottom w:val="single" w:color="auto" w:sz="4" w:space="0"/>
      </w:pBdr>
      <w:ind w:right="210" w:firstLine="480"/>
      <w:jc w:val="center"/>
    </w:pPr>
    <w:r>
      <w:t>3</w:t>
    </w:r>
    <w:r>
      <w:rPr>
        <w:rFonts w:hint="eastAsia"/>
      </w:rPr>
      <w:t>项目水土保持评价</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B2D17F">
    <w:pPr>
      <w:pStyle w:val="18"/>
      <w:pBdr>
        <w:bottom w:val="single" w:color="auto" w:sz="4" w:space="0"/>
      </w:pBdr>
      <w:ind w:right="210" w:firstLine="480"/>
      <w:jc w:val="center"/>
    </w:pPr>
    <w:r>
      <w:t>3</w:t>
    </w:r>
    <w:r>
      <w:rPr>
        <w:rFonts w:hint="eastAsia"/>
      </w:rPr>
      <w:t>项目水土保持评价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D43A9A"/>
    <w:multiLevelType w:val="singleLevel"/>
    <w:tmpl w:val="A2D43A9A"/>
    <w:lvl w:ilvl="0" w:tentative="0">
      <w:start w:val="1"/>
      <w:numFmt w:val="decimal"/>
      <w:suff w:val="nothing"/>
      <w:lvlText w:val="%1、"/>
      <w:lvlJc w:val="left"/>
    </w:lvl>
  </w:abstractNum>
  <w:abstractNum w:abstractNumId="1">
    <w:nsid w:val="0131F3AC"/>
    <w:multiLevelType w:val="singleLevel"/>
    <w:tmpl w:val="0131F3AC"/>
    <w:lvl w:ilvl="0" w:tentative="0">
      <w:start w:val="1"/>
      <w:numFmt w:val="decimal"/>
      <w:suff w:val="nothing"/>
      <w:lvlText w:val="%1、"/>
      <w:lvlJc w:val="left"/>
    </w:lvl>
  </w:abstractNum>
  <w:abstractNum w:abstractNumId="2">
    <w:nsid w:val="1365FFEE"/>
    <w:multiLevelType w:val="singleLevel"/>
    <w:tmpl w:val="1365FFEE"/>
    <w:lvl w:ilvl="0" w:tentative="0">
      <w:start w:val="1"/>
      <w:numFmt w:val="decimal"/>
      <w:suff w:val="nothing"/>
      <w:lvlText w:val="%1、"/>
      <w:lvlJc w:val="left"/>
    </w:lvl>
  </w:abstractNum>
  <w:abstractNum w:abstractNumId="3">
    <w:nsid w:val="33394238"/>
    <w:multiLevelType w:val="multilevel"/>
    <w:tmpl w:val="33394238"/>
    <w:lvl w:ilvl="0" w:tentative="0">
      <w:start w:val="1"/>
      <w:numFmt w:val="bullet"/>
      <w:lvlText w:val=""/>
      <w:lvlJc w:val="left"/>
      <w:pPr>
        <w:ind w:left="920" w:hanging="440"/>
      </w:pPr>
      <w:rPr>
        <w:rFonts w:hint="default" w:ascii="Wingdings" w:hAnsi="Wingdings"/>
      </w:rPr>
    </w:lvl>
    <w:lvl w:ilvl="1" w:tentative="0">
      <w:start w:val="1"/>
      <w:numFmt w:val="bullet"/>
      <w:lvlText w:val=""/>
      <w:lvlJc w:val="left"/>
      <w:pPr>
        <w:ind w:left="1360" w:hanging="440"/>
      </w:pPr>
      <w:rPr>
        <w:rFonts w:hint="default" w:ascii="Wingdings" w:hAnsi="Wingdings"/>
      </w:rPr>
    </w:lvl>
    <w:lvl w:ilvl="2" w:tentative="0">
      <w:start w:val="1"/>
      <w:numFmt w:val="bullet"/>
      <w:lvlText w:val=""/>
      <w:lvlJc w:val="left"/>
      <w:pPr>
        <w:ind w:left="1800" w:hanging="440"/>
      </w:pPr>
      <w:rPr>
        <w:rFonts w:hint="default" w:ascii="Wingdings" w:hAnsi="Wingdings"/>
      </w:rPr>
    </w:lvl>
    <w:lvl w:ilvl="3" w:tentative="0">
      <w:start w:val="1"/>
      <w:numFmt w:val="bullet"/>
      <w:lvlText w:val=""/>
      <w:lvlJc w:val="left"/>
      <w:pPr>
        <w:ind w:left="2240" w:hanging="440"/>
      </w:pPr>
      <w:rPr>
        <w:rFonts w:hint="default" w:ascii="Wingdings" w:hAnsi="Wingdings"/>
      </w:rPr>
    </w:lvl>
    <w:lvl w:ilvl="4" w:tentative="0">
      <w:start w:val="1"/>
      <w:numFmt w:val="bullet"/>
      <w:lvlText w:val=""/>
      <w:lvlJc w:val="left"/>
      <w:pPr>
        <w:ind w:left="2680" w:hanging="440"/>
      </w:pPr>
      <w:rPr>
        <w:rFonts w:hint="default" w:ascii="Wingdings" w:hAnsi="Wingdings"/>
      </w:rPr>
    </w:lvl>
    <w:lvl w:ilvl="5" w:tentative="0">
      <w:start w:val="1"/>
      <w:numFmt w:val="bullet"/>
      <w:lvlText w:val=""/>
      <w:lvlJc w:val="left"/>
      <w:pPr>
        <w:ind w:left="3120" w:hanging="440"/>
      </w:pPr>
      <w:rPr>
        <w:rFonts w:hint="default" w:ascii="Wingdings" w:hAnsi="Wingdings"/>
      </w:rPr>
    </w:lvl>
    <w:lvl w:ilvl="6" w:tentative="0">
      <w:start w:val="1"/>
      <w:numFmt w:val="bullet"/>
      <w:lvlText w:val=""/>
      <w:lvlJc w:val="left"/>
      <w:pPr>
        <w:ind w:left="3560" w:hanging="440"/>
      </w:pPr>
      <w:rPr>
        <w:rFonts w:hint="default" w:ascii="Wingdings" w:hAnsi="Wingdings"/>
      </w:rPr>
    </w:lvl>
    <w:lvl w:ilvl="7" w:tentative="0">
      <w:start w:val="1"/>
      <w:numFmt w:val="bullet"/>
      <w:lvlText w:val=""/>
      <w:lvlJc w:val="left"/>
      <w:pPr>
        <w:ind w:left="4000" w:hanging="440"/>
      </w:pPr>
      <w:rPr>
        <w:rFonts w:hint="default" w:ascii="Wingdings" w:hAnsi="Wingdings"/>
      </w:rPr>
    </w:lvl>
    <w:lvl w:ilvl="8" w:tentative="0">
      <w:start w:val="1"/>
      <w:numFmt w:val="bullet"/>
      <w:lvlText w:val=""/>
      <w:lvlJc w:val="left"/>
      <w:pPr>
        <w:ind w:left="4440" w:hanging="440"/>
      </w:pPr>
      <w:rPr>
        <w:rFonts w:hint="default" w:ascii="Wingdings" w:hAnsi="Wingdings"/>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embedSystemFonts/>
  <w:bordersDoNotSurroundHeader w:val="0"/>
  <w:bordersDoNotSurroundFooter w:val="0"/>
  <w:documentProtection w:enforcement="0"/>
  <w:defaultTabStop w:val="420"/>
  <w:evenAndOddHeaders w:val="1"/>
  <w:displayHorizontalDrawingGridEvery w:val="1"/>
  <w:displayVerticalDrawingGridEvery w:val="1"/>
  <w:noPunctuationKerning w:val="1"/>
  <w:characterSpacingControl w:val="doNotCompress"/>
  <w:footnotePr>
    <w:footnote w:id="0"/>
    <w:footnote w:id="1"/>
  </w:footnotePr>
  <w:endnotePr>
    <w:endnote w:id="0"/>
    <w:endnote w:id="1"/>
  </w:endnotePr>
  <w:compat>
    <w:balanceSingleByteDoubleByteWidth/>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A4OGFmZDQ0YTg5YWM5ZDNkMzRjYzUyYmM0ZjNmZDIifQ=="/>
  </w:docVars>
  <w:rsids>
    <w:rsidRoot w:val="00172A27"/>
    <w:rsid w:val="00000688"/>
    <w:rsid w:val="00001324"/>
    <w:rsid w:val="0000279A"/>
    <w:rsid w:val="00003AF2"/>
    <w:rsid w:val="000047AD"/>
    <w:rsid w:val="00004ECE"/>
    <w:rsid w:val="000060C4"/>
    <w:rsid w:val="000111B6"/>
    <w:rsid w:val="00014C23"/>
    <w:rsid w:val="00015F71"/>
    <w:rsid w:val="00016139"/>
    <w:rsid w:val="00017E3B"/>
    <w:rsid w:val="00021868"/>
    <w:rsid w:val="00023AA0"/>
    <w:rsid w:val="00025859"/>
    <w:rsid w:val="00025D05"/>
    <w:rsid w:val="0002634F"/>
    <w:rsid w:val="00026A2F"/>
    <w:rsid w:val="00031663"/>
    <w:rsid w:val="00033BBE"/>
    <w:rsid w:val="00034C61"/>
    <w:rsid w:val="00037F35"/>
    <w:rsid w:val="00040C48"/>
    <w:rsid w:val="00041AE9"/>
    <w:rsid w:val="00045926"/>
    <w:rsid w:val="000515F8"/>
    <w:rsid w:val="00051C5E"/>
    <w:rsid w:val="0005349D"/>
    <w:rsid w:val="00055400"/>
    <w:rsid w:val="00063610"/>
    <w:rsid w:val="0007051B"/>
    <w:rsid w:val="00071FDB"/>
    <w:rsid w:val="00072AAC"/>
    <w:rsid w:val="00077A83"/>
    <w:rsid w:val="00081748"/>
    <w:rsid w:val="0008399A"/>
    <w:rsid w:val="000856C9"/>
    <w:rsid w:val="00087396"/>
    <w:rsid w:val="000878FE"/>
    <w:rsid w:val="000901D8"/>
    <w:rsid w:val="000940D8"/>
    <w:rsid w:val="000A2A09"/>
    <w:rsid w:val="000A3F9A"/>
    <w:rsid w:val="000A400D"/>
    <w:rsid w:val="000A552B"/>
    <w:rsid w:val="000A5E26"/>
    <w:rsid w:val="000A6046"/>
    <w:rsid w:val="000B205C"/>
    <w:rsid w:val="000B40A4"/>
    <w:rsid w:val="000B4D53"/>
    <w:rsid w:val="000B55A5"/>
    <w:rsid w:val="000B6FAD"/>
    <w:rsid w:val="000B73E8"/>
    <w:rsid w:val="000C026B"/>
    <w:rsid w:val="000C0620"/>
    <w:rsid w:val="000C0B02"/>
    <w:rsid w:val="000C198D"/>
    <w:rsid w:val="000C2216"/>
    <w:rsid w:val="000C2962"/>
    <w:rsid w:val="000C2D66"/>
    <w:rsid w:val="000C3B0C"/>
    <w:rsid w:val="000C3EA8"/>
    <w:rsid w:val="000C771D"/>
    <w:rsid w:val="000D2238"/>
    <w:rsid w:val="000D2F5A"/>
    <w:rsid w:val="000D3EB0"/>
    <w:rsid w:val="000D4752"/>
    <w:rsid w:val="000D6307"/>
    <w:rsid w:val="000D7D79"/>
    <w:rsid w:val="000E003F"/>
    <w:rsid w:val="000E0A07"/>
    <w:rsid w:val="000E2ED4"/>
    <w:rsid w:val="000F14F1"/>
    <w:rsid w:val="000F43C6"/>
    <w:rsid w:val="000F6E0C"/>
    <w:rsid w:val="001013E5"/>
    <w:rsid w:val="001077E1"/>
    <w:rsid w:val="00113812"/>
    <w:rsid w:val="0012041F"/>
    <w:rsid w:val="00121338"/>
    <w:rsid w:val="0012334C"/>
    <w:rsid w:val="00123E49"/>
    <w:rsid w:val="00124F25"/>
    <w:rsid w:val="001268EC"/>
    <w:rsid w:val="00133481"/>
    <w:rsid w:val="00133D6E"/>
    <w:rsid w:val="00136C5B"/>
    <w:rsid w:val="0013737B"/>
    <w:rsid w:val="001373D0"/>
    <w:rsid w:val="00137F71"/>
    <w:rsid w:val="00141AA6"/>
    <w:rsid w:val="00141FED"/>
    <w:rsid w:val="001436BE"/>
    <w:rsid w:val="00144744"/>
    <w:rsid w:val="001527E8"/>
    <w:rsid w:val="00153469"/>
    <w:rsid w:val="00154EE0"/>
    <w:rsid w:val="0015557D"/>
    <w:rsid w:val="00157DFC"/>
    <w:rsid w:val="00162098"/>
    <w:rsid w:val="00163A50"/>
    <w:rsid w:val="00163F2F"/>
    <w:rsid w:val="001662F5"/>
    <w:rsid w:val="00172A27"/>
    <w:rsid w:val="00172E22"/>
    <w:rsid w:val="00173FF9"/>
    <w:rsid w:val="00175EB6"/>
    <w:rsid w:val="00180AF3"/>
    <w:rsid w:val="00182164"/>
    <w:rsid w:val="00182434"/>
    <w:rsid w:val="00183EDE"/>
    <w:rsid w:val="00185197"/>
    <w:rsid w:val="00186C07"/>
    <w:rsid w:val="00190BCB"/>
    <w:rsid w:val="00193369"/>
    <w:rsid w:val="00194230"/>
    <w:rsid w:val="001942ED"/>
    <w:rsid w:val="0019461C"/>
    <w:rsid w:val="0019473E"/>
    <w:rsid w:val="0019665D"/>
    <w:rsid w:val="001969FD"/>
    <w:rsid w:val="00197304"/>
    <w:rsid w:val="001977B3"/>
    <w:rsid w:val="001A0BF7"/>
    <w:rsid w:val="001A0FB4"/>
    <w:rsid w:val="001A108E"/>
    <w:rsid w:val="001A1515"/>
    <w:rsid w:val="001A2091"/>
    <w:rsid w:val="001A2B26"/>
    <w:rsid w:val="001A4E53"/>
    <w:rsid w:val="001A5BED"/>
    <w:rsid w:val="001A7089"/>
    <w:rsid w:val="001A778C"/>
    <w:rsid w:val="001B2834"/>
    <w:rsid w:val="001B2F3E"/>
    <w:rsid w:val="001B5137"/>
    <w:rsid w:val="001B5374"/>
    <w:rsid w:val="001B766A"/>
    <w:rsid w:val="001C31D3"/>
    <w:rsid w:val="001C3B11"/>
    <w:rsid w:val="001C552A"/>
    <w:rsid w:val="001C6D37"/>
    <w:rsid w:val="001C766B"/>
    <w:rsid w:val="001C76AB"/>
    <w:rsid w:val="001D18DF"/>
    <w:rsid w:val="001D1B06"/>
    <w:rsid w:val="001D20C3"/>
    <w:rsid w:val="001D37DA"/>
    <w:rsid w:val="001D6E50"/>
    <w:rsid w:val="001E136E"/>
    <w:rsid w:val="001E176E"/>
    <w:rsid w:val="001E40C6"/>
    <w:rsid w:val="001E590A"/>
    <w:rsid w:val="001E6C2F"/>
    <w:rsid w:val="001F0710"/>
    <w:rsid w:val="001F1CA7"/>
    <w:rsid w:val="001F282D"/>
    <w:rsid w:val="001F4705"/>
    <w:rsid w:val="001F51C6"/>
    <w:rsid w:val="001F7CDD"/>
    <w:rsid w:val="001F7DCF"/>
    <w:rsid w:val="002001C7"/>
    <w:rsid w:val="0020269A"/>
    <w:rsid w:val="00204CCA"/>
    <w:rsid w:val="00204E3E"/>
    <w:rsid w:val="002103C5"/>
    <w:rsid w:val="00216641"/>
    <w:rsid w:val="00216BBA"/>
    <w:rsid w:val="0022278C"/>
    <w:rsid w:val="00223A46"/>
    <w:rsid w:val="00223C16"/>
    <w:rsid w:val="00227955"/>
    <w:rsid w:val="00227A06"/>
    <w:rsid w:val="00227DB3"/>
    <w:rsid w:val="00230CC0"/>
    <w:rsid w:val="00230E9C"/>
    <w:rsid w:val="002332D9"/>
    <w:rsid w:val="00233C8D"/>
    <w:rsid w:val="00236965"/>
    <w:rsid w:val="00237703"/>
    <w:rsid w:val="002400DA"/>
    <w:rsid w:val="0024027E"/>
    <w:rsid w:val="002449C6"/>
    <w:rsid w:val="002474F9"/>
    <w:rsid w:val="00251A6A"/>
    <w:rsid w:val="00252919"/>
    <w:rsid w:val="00252F70"/>
    <w:rsid w:val="00254C5C"/>
    <w:rsid w:val="00261768"/>
    <w:rsid w:val="00262AD2"/>
    <w:rsid w:val="002632DC"/>
    <w:rsid w:val="00263FAD"/>
    <w:rsid w:val="002665EE"/>
    <w:rsid w:val="00267A5B"/>
    <w:rsid w:val="00270AB0"/>
    <w:rsid w:val="00270BCC"/>
    <w:rsid w:val="00271AA9"/>
    <w:rsid w:val="002727CF"/>
    <w:rsid w:val="00272B32"/>
    <w:rsid w:val="00273429"/>
    <w:rsid w:val="00274CFF"/>
    <w:rsid w:val="00275EDA"/>
    <w:rsid w:val="00276A67"/>
    <w:rsid w:val="0028015C"/>
    <w:rsid w:val="00280163"/>
    <w:rsid w:val="002804A5"/>
    <w:rsid w:val="00283D3B"/>
    <w:rsid w:val="002865E4"/>
    <w:rsid w:val="00286C89"/>
    <w:rsid w:val="002909FA"/>
    <w:rsid w:val="00291F3A"/>
    <w:rsid w:val="00297F95"/>
    <w:rsid w:val="002A2631"/>
    <w:rsid w:val="002A2E38"/>
    <w:rsid w:val="002A3D3A"/>
    <w:rsid w:val="002A6816"/>
    <w:rsid w:val="002A727F"/>
    <w:rsid w:val="002B115B"/>
    <w:rsid w:val="002B33D1"/>
    <w:rsid w:val="002B3E86"/>
    <w:rsid w:val="002B4D85"/>
    <w:rsid w:val="002B4EED"/>
    <w:rsid w:val="002B5C84"/>
    <w:rsid w:val="002C019F"/>
    <w:rsid w:val="002C11DF"/>
    <w:rsid w:val="002C4DBA"/>
    <w:rsid w:val="002C586C"/>
    <w:rsid w:val="002C63A9"/>
    <w:rsid w:val="002D0406"/>
    <w:rsid w:val="002D468B"/>
    <w:rsid w:val="002D490E"/>
    <w:rsid w:val="002D51B6"/>
    <w:rsid w:val="002D7B1F"/>
    <w:rsid w:val="002E19FF"/>
    <w:rsid w:val="002E3001"/>
    <w:rsid w:val="002E3D60"/>
    <w:rsid w:val="002E6045"/>
    <w:rsid w:val="002F1EC1"/>
    <w:rsid w:val="002F2F1F"/>
    <w:rsid w:val="002F462F"/>
    <w:rsid w:val="002F58FD"/>
    <w:rsid w:val="002F5C52"/>
    <w:rsid w:val="002F6873"/>
    <w:rsid w:val="00301561"/>
    <w:rsid w:val="0030234C"/>
    <w:rsid w:val="00303479"/>
    <w:rsid w:val="00304DF4"/>
    <w:rsid w:val="003060DF"/>
    <w:rsid w:val="003068D7"/>
    <w:rsid w:val="00307008"/>
    <w:rsid w:val="003071F7"/>
    <w:rsid w:val="00307E17"/>
    <w:rsid w:val="003105AE"/>
    <w:rsid w:val="0031173E"/>
    <w:rsid w:val="00311D85"/>
    <w:rsid w:val="00312BFA"/>
    <w:rsid w:val="00313679"/>
    <w:rsid w:val="00313FF2"/>
    <w:rsid w:val="003149CD"/>
    <w:rsid w:val="00316292"/>
    <w:rsid w:val="00320FDD"/>
    <w:rsid w:val="0032175C"/>
    <w:rsid w:val="00321927"/>
    <w:rsid w:val="00322BA5"/>
    <w:rsid w:val="00324B54"/>
    <w:rsid w:val="0032677B"/>
    <w:rsid w:val="00333682"/>
    <w:rsid w:val="0033370D"/>
    <w:rsid w:val="003356D9"/>
    <w:rsid w:val="003366F7"/>
    <w:rsid w:val="0033679F"/>
    <w:rsid w:val="003372BA"/>
    <w:rsid w:val="00337918"/>
    <w:rsid w:val="00337CD2"/>
    <w:rsid w:val="00337DBF"/>
    <w:rsid w:val="00343209"/>
    <w:rsid w:val="003437C9"/>
    <w:rsid w:val="00344BAC"/>
    <w:rsid w:val="003509D1"/>
    <w:rsid w:val="00352FB8"/>
    <w:rsid w:val="00357987"/>
    <w:rsid w:val="0036160F"/>
    <w:rsid w:val="00361BBA"/>
    <w:rsid w:val="00362318"/>
    <w:rsid w:val="00363B93"/>
    <w:rsid w:val="00365788"/>
    <w:rsid w:val="00366776"/>
    <w:rsid w:val="00370122"/>
    <w:rsid w:val="003703D8"/>
    <w:rsid w:val="003703F3"/>
    <w:rsid w:val="0037055E"/>
    <w:rsid w:val="003714C0"/>
    <w:rsid w:val="00374FD3"/>
    <w:rsid w:val="00376323"/>
    <w:rsid w:val="00376BF1"/>
    <w:rsid w:val="0037780F"/>
    <w:rsid w:val="003805AE"/>
    <w:rsid w:val="00381B11"/>
    <w:rsid w:val="003844A4"/>
    <w:rsid w:val="003861C3"/>
    <w:rsid w:val="00390917"/>
    <w:rsid w:val="003915BA"/>
    <w:rsid w:val="00392125"/>
    <w:rsid w:val="00392939"/>
    <w:rsid w:val="00394940"/>
    <w:rsid w:val="003949F1"/>
    <w:rsid w:val="00394F4D"/>
    <w:rsid w:val="00396B24"/>
    <w:rsid w:val="00396F26"/>
    <w:rsid w:val="003A015F"/>
    <w:rsid w:val="003A216A"/>
    <w:rsid w:val="003A21B5"/>
    <w:rsid w:val="003A367C"/>
    <w:rsid w:val="003A4ABD"/>
    <w:rsid w:val="003A4CE1"/>
    <w:rsid w:val="003A4EAC"/>
    <w:rsid w:val="003B3F90"/>
    <w:rsid w:val="003B4706"/>
    <w:rsid w:val="003B5FBB"/>
    <w:rsid w:val="003B6392"/>
    <w:rsid w:val="003B7393"/>
    <w:rsid w:val="003B7656"/>
    <w:rsid w:val="003C1C0E"/>
    <w:rsid w:val="003C3619"/>
    <w:rsid w:val="003C49B7"/>
    <w:rsid w:val="003C4BDD"/>
    <w:rsid w:val="003C4F45"/>
    <w:rsid w:val="003C568C"/>
    <w:rsid w:val="003C7907"/>
    <w:rsid w:val="003D158B"/>
    <w:rsid w:val="003D3798"/>
    <w:rsid w:val="003D4079"/>
    <w:rsid w:val="003D4F8A"/>
    <w:rsid w:val="003D4FF6"/>
    <w:rsid w:val="003D6708"/>
    <w:rsid w:val="003D7460"/>
    <w:rsid w:val="003E06B5"/>
    <w:rsid w:val="003E17F7"/>
    <w:rsid w:val="003E382C"/>
    <w:rsid w:val="003E3F9D"/>
    <w:rsid w:val="003E4A51"/>
    <w:rsid w:val="003E50FD"/>
    <w:rsid w:val="003E51E3"/>
    <w:rsid w:val="003E63FA"/>
    <w:rsid w:val="003E6979"/>
    <w:rsid w:val="003E705B"/>
    <w:rsid w:val="003F01F3"/>
    <w:rsid w:val="003F1A46"/>
    <w:rsid w:val="003F3103"/>
    <w:rsid w:val="003F7715"/>
    <w:rsid w:val="004003F5"/>
    <w:rsid w:val="00403ACD"/>
    <w:rsid w:val="0040638B"/>
    <w:rsid w:val="0040647D"/>
    <w:rsid w:val="0040662E"/>
    <w:rsid w:val="00406DC0"/>
    <w:rsid w:val="00413BCD"/>
    <w:rsid w:val="00415373"/>
    <w:rsid w:val="00417645"/>
    <w:rsid w:val="00420145"/>
    <w:rsid w:val="004204BD"/>
    <w:rsid w:val="0042382B"/>
    <w:rsid w:val="00426BB1"/>
    <w:rsid w:val="00430A37"/>
    <w:rsid w:val="00431BD2"/>
    <w:rsid w:val="00435088"/>
    <w:rsid w:val="00435E6F"/>
    <w:rsid w:val="0044009F"/>
    <w:rsid w:val="004448E3"/>
    <w:rsid w:val="00445637"/>
    <w:rsid w:val="00447B97"/>
    <w:rsid w:val="00451095"/>
    <w:rsid w:val="004529C0"/>
    <w:rsid w:val="00454272"/>
    <w:rsid w:val="00454284"/>
    <w:rsid w:val="0045445D"/>
    <w:rsid w:val="00457B25"/>
    <w:rsid w:val="00461940"/>
    <w:rsid w:val="00462EDC"/>
    <w:rsid w:val="00474DC2"/>
    <w:rsid w:val="00475D2D"/>
    <w:rsid w:val="0047723A"/>
    <w:rsid w:val="004810BB"/>
    <w:rsid w:val="00481FC9"/>
    <w:rsid w:val="00482825"/>
    <w:rsid w:val="00482EFA"/>
    <w:rsid w:val="00484B66"/>
    <w:rsid w:val="00486801"/>
    <w:rsid w:val="0048738A"/>
    <w:rsid w:val="004873BA"/>
    <w:rsid w:val="00487535"/>
    <w:rsid w:val="00487A8F"/>
    <w:rsid w:val="00492640"/>
    <w:rsid w:val="00492FC7"/>
    <w:rsid w:val="00493687"/>
    <w:rsid w:val="00493768"/>
    <w:rsid w:val="004A0FBE"/>
    <w:rsid w:val="004A3388"/>
    <w:rsid w:val="004A4783"/>
    <w:rsid w:val="004A5590"/>
    <w:rsid w:val="004A6452"/>
    <w:rsid w:val="004B0289"/>
    <w:rsid w:val="004B5217"/>
    <w:rsid w:val="004B7223"/>
    <w:rsid w:val="004C0F6B"/>
    <w:rsid w:val="004C4AF4"/>
    <w:rsid w:val="004C7499"/>
    <w:rsid w:val="004C7E3F"/>
    <w:rsid w:val="004D40D0"/>
    <w:rsid w:val="004D41E9"/>
    <w:rsid w:val="004D451B"/>
    <w:rsid w:val="004D50E1"/>
    <w:rsid w:val="004D6685"/>
    <w:rsid w:val="004D6B54"/>
    <w:rsid w:val="004D7D42"/>
    <w:rsid w:val="004E0963"/>
    <w:rsid w:val="004E109D"/>
    <w:rsid w:val="004E2961"/>
    <w:rsid w:val="004E3653"/>
    <w:rsid w:val="004E5ACC"/>
    <w:rsid w:val="004E658E"/>
    <w:rsid w:val="004F10AF"/>
    <w:rsid w:val="004F1D39"/>
    <w:rsid w:val="004F48FE"/>
    <w:rsid w:val="004F525D"/>
    <w:rsid w:val="004F556D"/>
    <w:rsid w:val="004F7DE3"/>
    <w:rsid w:val="00501C3D"/>
    <w:rsid w:val="00502B65"/>
    <w:rsid w:val="00503ECC"/>
    <w:rsid w:val="0050425F"/>
    <w:rsid w:val="00505BAE"/>
    <w:rsid w:val="005064ED"/>
    <w:rsid w:val="00507FE0"/>
    <w:rsid w:val="005127D0"/>
    <w:rsid w:val="00512E2F"/>
    <w:rsid w:val="005135AC"/>
    <w:rsid w:val="00515782"/>
    <w:rsid w:val="005165C8"/>
    <w:rsid w:val="00516DD7"/>
    <w:rsid w:val="00517BA7"/>
    <w:rsid w:val="0052099C"/>
    <w:rsid w:val="00521570"/>
    <w:rsid w:val="00521EED"/>
    <w:rsid w:val="00523DA5"/>
    <w:rsid w:val="005251D6"/>
    <w:rsid w:val="005256F9"/>
    <w:rsid w:val="005301F1"/>
    <w:rsid w:val="005304AD"/>
    <w:rsid w:val="00530DCF"/>
    <w:rsid w:val="00530EE1"/>
    <w:rsid w:val="005329A2"/>
    <w:rsid w:val="00535BFB"/>
    <w:rsid w:val="00537BE8"/>
    <w:rsid w:val="005400D0"/>
    <w:rsid w:val="00542ACE"/>
    <w:rsid w:val="00544254"/>
    <w:rsid w:val="00544261"/>
    <w:rsid w:val="00544C88"/>
    <w:rsid w:val="00546FE5"/>
    <w:rsid w:val="00550A99"/>
    <w:rsid w:val="005533FF"/>
    <w:rsid w:val="005534AF"/>
    <w:rsid w:val="00553773"/>
    <w:rsid w:val="00553A19"/>
    <w:rsid w:val="00553BA3"/>
    <w:rsid w:val="005541B3"/>
    <w:rsid w:val="00554AC0"/>
    <w:rsid w:val="00555076"/>
    <w:rsid w:val="005557DA"/>
    <w:rsid w:val="0056121F"/>
    <w:rsid w:val="0056122C"/>
    <w:rsid w:val="0056285E"/>
    <w:rsid w:val="00567B36"/>
    <w:rsid w:val="00571941"/>
    <w:rsid w:val="00572807"/>
    <w:rsid w:val="00573A7E"/>
    <w:rsid w:val="005757D5"/>
    <w:rsid w:val="00576585"/>
    <w:rsid w:val="005767D0"/>
    <w:rsid w:val="00577196"/>
    <w:rsid w:val="00577E90"/>
    <w:rsid w:val="00582255"/>
    <w:rsid w:val="00582A16"/>
    <w:rsid w:val="00583581"/>
    <w:rsid w:val="00583A30"/>
    <w:rsid w:val="0058445B"/>
    <w:rsid w:val="00584AD0"/>
    <w:rsid w:val="00584BCC"/>
    <w:rsid w:val="0058546F"/>
    <w:rsid w:val="0058790A"/>
    <w:rsid w:val="005905AB"/>
    <w:rsid w:val="005930BD"/>
    <w:rsid w:val="00594051"/>
    <w:rsid w:val="0059626D"/>
    <w:rsid w:val="005965A0"/>
    <w:rsid w:val="00596BC8"/>
    <w:rsid w:val="005A2D1D"/>
    <w:rsid w:val="005A4FCE"/>
    <w:rsid w:val="005A7593"/>
    <w:rsid w:val="005B08D5"/>
    <w:rsid w:val="005B10CD"/>
    <w:rsid w:val="005B1EAF"/>
    <w:rsid w:val="005B2196"/>
    <w:rsid w:val="005C07BA"/>
    <w:rsid w:val="005C298F"/>
    <w:rsid w:val="005C2DCE"/>
    <w:rsid w:val="005C32B5"/>
    <w:rsid w:val="005D01FD"/>
    <w:rsid w:val="005D124F"/>
    <w:rsid w:val="005D1B4D"/>
    <w:rsid w:val="005D2D6A"/>
    <w:rsid w:val="005D3B1C"/>
    <w:rsid w:val="005D6568"/>
    <w:rsid w:val="005D77AE"/>
    <w:rsid w:val="005E0468"/>
    <w:rsid w:val="005E4C8F"/>
    <w:rsid w:val="005E55B3"/>
    <w:rsid w:val="005E74D4"/>
    <w:rsid w:val="005F2F79"/>
    <w:rsid w:val="005F3C34"/>
    <w:rsid w:val="005F7551"/>
    <w:rsid w:val="005F7925"/>
    <w:rsid w:val="005F7998"/>
    <w:rsid w:val="005F7C18"/>
    <w:rsid w:val="00600D64"/>
    <w:rsid w:val="0060183E"/>
    <w:rsid w:val="0060499E"/>
    <w:rsid w:val="006105C1"/>
    <w:rsid w:val="00611636"/>
    <w:rsid w:val="0061482E"/>
    <w:rsid w:val="00614946"/>
    <w:rsid w:val="006206B2"/>
    <w:rsid w:val="006217BE"/>
    <w:rsid w:val="006220AB"/>
    <w:rsid w:val="00623B70"/>
    <w:rsid w:val="00630108"/>
    <w:rsid w:val="00630644"/>
    <w:rsid w:val="006314A3"/>
    <w:rsid w:val="00632F3D"/>
    <w:rsid w:val="00633995"/>
    <w:rsid w:val="00634136"/>
    <w:rsid w:val="006345BB"/>
    <w:rsid w:val="00635AE8"/>
    <w:rsid w:val="006408B8"/>
    <w:rsid w:val="00644D88"/>
    <w:rsid w:val="006474B4"/>
    <w:rsid w:val="00651A4D"/>
    <w:rsid w:val="00652A0F"/>
    <w:rsid w:val="00660D25"/>
    <w:rsid w:val="00664D5F"/>
    <w:rsid w:val="00666AEA"/>
    <w:rsid w:val="00667708"/>
    <w:rsid w:val="00670133"/>
    <w:rsid w:val="00670C59"/>
    <w:rsid w:val="00674309"/>
    <w:rsid w:val="00681410"/>
    <w:rsid w:val="0068276D"/>
    <w:rsid w:val="006828CC"/>
    <w:rsid w:val="006830C2"/>
    <w:rsid w:val="00687BFE"/>
    <w:rsid w:val="00687E90"/>
    <w:rsid w:val="00690B17"/>
    <w:rsid w:val="00690CEF"/>
    <w:rsid w:val="00692FF2"/>
    <w:rsid w:val="006935AB"/>
    <w:rsid w:val="006972B1"/>
    <w:rsid w:val="006A37BD"/>
    <w:rsid w:val="006A3ACA"/>
    <w:rsid w:val="006A745E"/>
    <w:rsid w:val="006A79E4"/>
    <w:rsid w:val="006B0C4F"/>
    <w:rsid w:val="006B4F10"/>
    <w:rsid w:val="006C08E0"/>
    <w:rsid w:val="006C1EBF"/>
    <w:rsid w:val="006C6F50"/>
    <w:rsid w:val="006C7C65"/>
    <w:rsid w:val="006D041E"/>
    <w:rsid w:val="006D1014"/>
    <w:rsid w:val="006D3E73"/>
    <w:rsid w:val="006D4340"/>
    <w:rsid w:val="006D436C"/>
    <w:rsid w:val="006D49AD"/>
    <w:rsid w:val="006D4A1D"/>
    <w:rsid w:val="006D592B"/>
    <w:rsid w:val="006E0172"/>
    <w:rsid w:val="006E0CB6"/>
    <w:rsid w:val="006E2401"/>
    <w:rsid w:val="006E64DC"/>
    <w:rsid w:val="006E7413"/>
    <w:rsid w:val="006F32D2"/>
    <w:rsid w:val="006F4821"/>
    <w:rsid w:val="006F67ED"/>
    <w:rsid w:val="006F717A"/>
    <w:rsid w:val="006F7B7B"/>
    <w:rsid w:val="006F7E42"/>
    <w:rsid w:val="006F7E4C"/>
    <w:rsid w:val="00700766"/>
    <w:rsid w:val="0070730A"/>
    <w:rsid w:val="00710315"/>
    <w:rsid w:val="00710475"/>
    <w:rsid w:val="00711BDB"/>
    <w:rsid w:val="00712CB2"/>
    <w:rsid w:val="00714352"/>
    <w:rsid w:val="0072002F"/>
    <w:rsid w:val="0072017B"/>
    <w:rsid w:val="00720CF7"/>
    <w:rsid w:val="00720E96"/>
    <w:rsid w:val="0072148E"/>
    <w:rsid w:val="00722873"/>
    <w:rsid w:val="0072482B"/>
    <w:rsid w:val="00726783"/>
    <w:rsid w:val="00726EAD"/>
    <w:rsid w:val="00732F12"/>
    <w:rsid w:val="007334A6"/>
    <w:rsid w:val="00735017"/>
    <w:rsid w:val="007356B8"/>
    <w:rsid w:val="00740304"/>
    <w:rsid w:val="00740EA9"/>
    <w:rsid w:val="00744982"/>
    <w:rsid w:val="0074768D"/>
    <w:rsid w:val="00747E9E"/>
    <w:rsid w:val="00752280"/>
    <w:rsid w:val="00752CB5"/>
    <w:rsid w:val="00753FA5"/>
    <w:rsid w:val="00754534"/>
    <w:rsid w:val="00764BA1"/>
    <w:rsid w:val="00765B7F"/>
    <w:rsid w:val="00766DD1"/>
    <w:rsid w:val="007713A8"/>
    <w:rsid w:val="00772E62"/>
    <w:rsid w:val="007739E8"/>
    <w:rsid w:val="00773C0F"/>
    <w:rsid w:val="007749FD"/>
    <w:rsid w:val="00775217"/>
    <w:rsid w:val="007754B1"/>
    <w:rsid w:val="00775568"/>
    <w:rsid w:val="00776E13"/>
    <w:rsid w:val="007776F6"/>
    <w:rsid w:val="007843D3"/>
    <w:rsid w:val="007933BF"/>
    <w:rsid w:val="007948EF"/>
    <w:rsid w:val="0079778A"/>
    <w:rsid w:val="007A0B6B"/>
    <w:rsid w:val="007A156F"/>
    <w:rsid w:val="007A3675"/>
    <w:rsid w:val="007A4ABD"/>
    <w:rsid w:val="007A5F89"/>
    <w:rsid w:val="007A7462"/>
    <w:rsid w:val="007A7E9A"/>
    <w:rsid w:val="007B018E"/>
    <w:rsid w:val="007B17B6"/>
    <w:rsid w:val="007B1F86"/>
    <w:rsid w:val="007B27C7"/>
    <w:rsid w:val="007B2F20"/>
    <w:rsid w:val="007B302D"/>
    <w:rsid w:val="007B484C"/>
    <w:rsid w:val="007C236F"/>
    <w:rsid w:val="007C2982"/>
    <w:rsid w:val="007C4327"/>
    <w:rsid w:val="007C55D2"/>
    <w:rsid w:val="007C5805"/>
    <w:rsid w:val="007D0053"/>
    <w:rsid w:val="007D0489"/>
    <w:rsid w:val="007D13CF"/>
    <w:rsid w:val="007D1760"/>
    <w:rsid w:val="007D2E2E"/>
    <w:rsid w:val="007E03CA"/>
    <w:rsid w:val="007E22EA"/>
    <w:rsid w:val="007E24CA"/>
    <w:rsid w:val="007F3C48"/>
    <w:rsid w:val="007F44CC"/>
    <w:rsid w:val="007F4856"/>
    <w:rsid w:val="007F6340"/>
    <w:rsid w:val="007F7357"/>
    <w:rsid w:val="00800158"/>
    <w:rsid w:val="008006A3"/>
    <w:rsid w:val="0080492B"/>
    <w:rsid w:val="00805A54"/>
    <w:rsid w:val="00805F58"/>
    <w:rsid w:val="00811B08"/>
    <w:rsid w:val="008127F5"/>
    <w:rsid w:val="00815D25"/>
    <w:rsid w:val="008160D2"/>
    <w:rsid w:val="00816D6A"/>
    <w:rsid w:val="00821519"/>
    <w:rsid w:val="00823B48"/>
    <w:rsid w:val="008272F6"/>
    <w:rsid w:val="00827E2F"/>
    <w:rsid w:val="00831B27"/>
    <w:rsid w:val="00831E50"/>
    <w:rsid w:val="008325AA"/>
    <w:rsid w:val="00833E26"/>
    <w:rsid w:val="008351BA"/>
    <w:rsid w:val="0084027B"/>
    <w:rsid w:val="0084097F"/>
    <w:rsid w:val="00844992"/>
    <w:rsid w:val="00844C5F"/>
    <w:rsid w:val="00845804"/>
    <w:rsid w:val="00845AEF"/>
    <w:rsid w:val="00845D90"/>
    <w:rsid w:val="00847837"/>
    <w:rsid w:val="00847FAF"/>
    <w:rsid w:val="00850259"/>
    <w:rsid w:val="0085427F"/>
    <w:rsid w:val="00855FF7"/>
    <w:rsid w:val="00856D9E"/>
    <w:rsid w:val="00857DDE"/>
    <w:rsid w:val="00862FED"/>
    <w:rsid w:val="00863597"/>
    <w:rsid w:val="00864993"/>
    <w:rsid w:val="00865DCC"/>
    <w:rsid w:val="008674F9"/>
    <w:rsid w:val="00867C06"/>
    <w:rsid w:val="00871FCE"/>
    <w:rsid w:val="00873B0A"/>
    <w:rsid w:val="0087582D"/>
    <w:rsid w:val="00877936"/>
    <w:rsid w:val="00885468"/>
    <w:rsid w:val="00885774"/>
    <w:rsid w:val="0088750F"/>
    <w:rsid w:val="008902D8"/>
    <w:rsid w:val="008929E2"/>
    <w:rsid w:val="00893072"/>
    <w:rsid w:val="00895F66"/>
    <w:rsid w:val="008A1E61"/>
    <w:rsid w:val="008A244D"/>
    <w:rsid w:val="008A4E7C"/>
    <w:rsid w:val="008A5D26"/>
    <w:rsid w:val="008A7BAC"/>
    <w:rsid w:val="008B3379"/>
    <w:rsid w:val="008B3A2E"/>
    <w:rsid w:val="008B3F74"/>
    <w:rsid w:val="008B4399"/>
    <w:rsid w:val="008B5275"/>
    <w:rsid w:val="008B5E37"/>
    <w:rsid w:val="008B659F"/>
    <w:rsid w:val="008B6F4E"/>
    <w:rsid w:val="008B7DE0"/>
    <w:rsid w:val="008C52F6"/>
    <w:rsid w:val="008C604C"/>
    <w:rsid w:val="008C68E4"/>
    <w:rsid w:val="008D2BED"/>
    <w:rsid w:val="008D2CA3"/>
    <w:rsid w:val="008D3FEF"/>
    <w:rsid w:val="008D5191"/>
    <w:rsid w:val="008D53F8"/>
    <w:rsid w:val="008D61E4"/>
    <w:rsid w:val="008D64A8"/>
    <w:rsid w:val="008D6945"/>
    <w:rsid w:val="008D7E5B"/>
    <w:rsid w:val="008E15D7"/>
    <w:rsid w:val="008E239E"/>
    <w:rsid w:val="008E24F9"/>
    <w:rsid w:val="008E39F6"/>
    <w:rsid w:val="008E652E"/>
    <w:rsid w:val="008E6F60"/>
    <w:rsid w:val="008E7154"/>
    <w:rsid w:val="008F1070"/>
    <w:rsid w:val="008F18B3"/>
    <w:rsid w:val="008F2249"/>
    <w:rsid w:val="008F2F7A"/>
    <w:rsid w:val="008F4567"/>
    <w:rsid w:val="008F4FE4"/>
    <w:rsid w:val="008F5648"/>
    <w:rsid w:val="0090275F"/>
    <w:rsid w:val="00905548"/>
    <w:rsid w:val="00912560"/>
    <w:rsid w:val="0091472D"/>
    <w:rsid w:val="00923961"/>
    <w:rsid w:val="00925D7F"/>
    <w:rsid w:val="009268A9"/>
    <w:rsid w:val="009269AB"/>
    <w:rsid w:val="00926A8F"/>
    <w:rsid w:val="00930556"/>
    <w:rsid w:val="00936E2C"/>
    <w:rsid w:val="0094238F"/>
    <w:rsid w:val="00942634"/>
    <w:rsid w:val="00942DCA"/>
    <w:rsid w:val="0094381B"/>
    <w:rsid w:val="00945BFC"/>
    <w:rsid w:val="00946CFF"/>
    <w:rsid w:val="00950D27"/>
    <w:rsid w:val="0095123D"/>
    <w:rsid w:val="009537FF"/>
    <w:rsid w:val="00953995"/>
    <w:rsid w:val="00954D00"/>
    <w:rsid w:val="009563DB"/>
    <w:rsid w:val="00956CA2"/>
    <w:rsid w:val="00957082"/>
    <w:rsid w:val="0096137A"/>
    <w:rsid w:val="0096166B"/>
    <w:rsid w:val="009627B6"/>
    <w:rsid w:val="0096373F"/>
    <w:rsid w:val="00963C4E"/>
    <w:rsid w:val="0096523B"/>
    <w:rsid w:val="00967E3E"/>
    <w:rsid w:val="00967E5E"/>
    <w:rsid w:val="009747BF"/>
    <w:rsid w:val="00974D54"/>
    <w:rsid w:val="00974E6E"/>
    <w:rsid w:val="0098040A"/>
    <w:rsid w:val="00980F7B"/>
    <w:rsid w:val="0098525C"/>
    <w:rsid w:val="0098630C"/>
    <w:rsid w:val="00986340"/>
    <w:rsid w:val="009864EC"/>
    <w:rsid w:val="00986E22"/>
    <w:rsid w:val="00986F8A"/>
    <w:rsid w:val="009870A2"/>
    <w:rsid w:val="00990EBC"/>
    <w:rsid w:val="00991841"/>
    <w:rsid w:val="009961B8"/>
    <w:rsid w:val="00996DAD"/>
    <w:rsid w:val="00997305"/>
    <w:rsid w:val="009A118B"/>
    <w:rsid w:val="009A27AC"/>
    <w:rsid w:val="009A3938"/>
    <w:rsid w:val="009A3E53"/>
    <w:rsid w:val="009A64DB"/>
    <w:rsid w:val="009A723C"/>
    <w:rsid w:val="009B3496"/>
    <w:rsid w:val="009B5ECD"/>
    <w:rsid w:val="009B6509"/>
    <w:rsid w:val="009C23D9"/>
    <w:rsid w:val="009C23F4"/>
    <w:rsid w:val="009C2B5C"/>
    <w:rsid w:val="009C3896"/>
    <w:rsid w:val="009C5B6E"/>
    <w:rsid w:val="009C77CB"/>
    <w:rsid w:val="009C7978"/>
    <w:rsid w:val="009D048A"/>
    <w:rsid w:val="009D0BC2"/>
    <w:rsid w:val="009D1A54"/>
    <w:rsid w:val="009D2347"/>
    <w:rsid w:val="009D3624"/>
    <w:rsid w:val="009D49B0"/>
    <w:rsid w:val="009D77A7"/>
    <w:rsid w:val="009D7D2F"/>
    <w:rsid w:val="009E00E9"/>
    <w:rsid w:val="009E0ACD"/>
    <w:rsid w:val="009E1389"/>
    <w:rsid w:val="009E1AB1"/>
    <w:rsid w:val="009E1C50"/>
    <w:rsid w:val="009E31F7"/>
    <w:rsid w:val="009E3969"/>
    <w:rsid w:val="009E53C7"/>
    <w:rsid w:val="009E68A0"/>
    <w:rsid w:val="009E745E"/>
    <w:rsid w:val="009E75CE"/>
    <w:rsid w:val="009E797B"/>
    <w:rsid w:val="009F0009"/>
    <w:rsid w:val="009F011D"/>
    <w:rsid w:val="009F1C75"/>
    <w:rsid w:val="009F2B63"/>
    <w:rsid w:val="009F2DDE"/>
    <w:rsid w:val="009F2E28"/>
    <w:rsid w:val="009F4550"/>
    <w:rsid w:val="00A0050E"/>
    <w:rsid w:val="00A0085B"/>
    <w:rsid w:val="00A00E7D"/>
    <w:rsid w:val="00A02724"/>
    <w:rsid w:val="00A074F4"/>
    <w:rsid w:val="00A07A8E"/>
    <w:rsid w:val="00A07B15"/>
    <w:rsid w:val="00A12973"/>
    <w:rsid w:val="00A12BBA"/>
    <w:rsid w:val="00A130B3"/>
    <w:rsid w:val="00A15DD1"/>
    <w:rsid w:val="00A15FF4"/>
    <w:rsid w:val="00A17492"/>
    <w:rsid w:val="00A17755"/>
    <w:rsid w:val="00A17CE8"/>
    <w:rsid w:val="00A2135B"/>
    <w:rsid w:val="00A221CB"/>
    <w:rsid w:val="00A233D0"/>
    <w:rsid w:val="00A2487B"/>
    <w:rsid w:val="00A2640D"/>
    <w:rsid w:val="00A27CD3"/>
    <w:rsid w:val="00A30C2D"/>
    <w:rsid w:val="00A33BD1"/>
    <w:rsid w:val="00A367E7"/>
    <w:rsid w:val="00A36AD8"/>
    <w:rsid w:val="00A3725E"/>
    <w:rsid w:val="00A4207E"/>
    <w:rsid w:val="00A42CF4"/>
    <w:rsid w:val="00A44BB8"/>
    <w:rsid w:val="00A45A3A"/>
    <w:rsid w:val="00A45B9E"/>
    <w:rsid w:val="00A46510"/>
    <w:rsid w:val="00A47A70"/>
    <w:rsid w:val="00A50FDA"/>
    <w:rsid w:val="00A52636"/>
    <w:rsid w:val="00A540F1"/>
    <w:rsid w:val="00A54BBB"/>
    <w:rsid w:val="00A54F37"/>
    <w:rsid w:val="00A55F23"/>
    <w:rsid w:val="00A5715B"/>
    <w:rsid w:val="00A70CB3"/>
    <w:rsid w:val="00A713F8"/>
    <w:rsid w:val="00A71727"/>
    <w:rsid w:val="00A72CB8"/>
    <w:rsid w:val="00A73AFE"/>
    <w:rsid w:val="00A7508D"/>
    <w:rsid w:val="00A77D7F"/>
    <w:rsid w:val="00A802CD"/>
    <w:rsid w:val="00A810BC"/>
    <w:rsid w:val="00A81BED"/>
    <w:rsid w:val="00A838C5"/>
    <w:rsid w:val="00A838D2"/>
    <w:rsid w:val="00A83A3F"/>
    <w:rsid w:val="00A854D9"/>
    <w:rsid w:val="00A87DAC"/>
    <w:rsid w:val="00A905A0"/>
    <w:rsid w:val="00A9125D"/>
    <w:rsid w:val="00A95280"/>
    <w:rsid w:val="00A95563"/>
    <w:rsid w:val="00A95BC1"/>
    <w:rsid w:val="00A97BCE"/>
    <w:rsid w:val="00AA0A45"/>
    <w:rsid w:val="00AA1AAA"/>
    <w:rsid w:val="00AA377C"/>
    <w:rsid w:val="00AA4C94"/>
    <w:rsid w:val="00AB1687"/>
    <w:rsid w:val="00AB291A"/>
    <w:rsid w:val="00AB2FBA"/>
    <w:rsid w:val="00AB3D62"/>
    <w:rsid w:val="00AB5FF5"/>
    <w:rsid w:val="00AC04C5"/>
    <w:rsid w:val="00AC2436"/>
    <w:rsid w:val="00AC4C8D"/>
    <w:rsid w:val="00AC51F2"/>
    <w:rsid w:val="00AC5760"/>
    <w:rsid w:val="00AC636E"/>
    <w:rsid w:val="00AC7304"/>
    <w:rsid w:val="00AD0835"/>
    <w:rsid w:val="00AD1465"/>
    <w:rsid w:val="00AD269D"/>
    <w:rsid w:val="00AD2D96"/>
    <w:rsid w:val="00AD3ACF"/>
    <w:rsid w:val="00AD443E"/>
    <w:rsid w:val="00AD62C6"/>
    <w:rsid w:val="00AD722E"/>
    <w:rsid w:val="00AE115F"/>
    <w:rsid w:val="00AE1AED"/>
    <w:rsid w:val="00AE2357"/>
    <w:rsid w:val="00AE3623"/>
    <w:rsid w:val="00AE3F79"/>
    <w:rsid w:val="00AE4005"/>
    <w:rsid w:val="00AE48BC"/>
    <w:rsid w:val="00AF0BC9"/>
    <w:rsid w:val="00AF141F"/>
    <w:rsid w:val="00AF5B7A"/>
    <w:rsid w:val="00AF6C9B"/>
    <w:rsid w:val="00B00CEE"/>
    <w:rsid w:val="00B06708"/>
    <w:rsid w:val="00B104D6"/>
    <w:rsid w:val="00B13ED3"/>
    <w:rsid w:val="00B1630C"/>
    <w:rsid w:val="00B22AFC"/>
    <w:rsid w:val="00B27D11"/>
    <w:rsid w:val="00B30CE1"/>
    <w:rsid w:val="00B31C2D"/>
    <w:rsid w:val="00B33EA5"/>
    <w:rsid w:val="00B34663"/>
    <w:rsid w:val="00B3574F"/>
    <w:rsid w:val="00B37C63"/>
    <w:rsid w:val="00B4074E"/>
    <w:rsid w:val="00B41C1A"/>
    <w:rsid w:val="00B53285"/>
    <w:rsid w:val="00B532BD"/>
    <w:rsid w:val="00B566C6"/>
    <w:rsid w:val="00B5694A"/>
    <w:rsid w:val="00B56B63"/>
    <w:rsid w:val="00B5715D"/>
    <w:rsid w:val="00B621C5"/>
    <w:rsid w:val="00B627D6"/>
    <w:rsid w:val="00B6527D"/>
    <w:rsid w:val="00B659B1"/>
    <w:rsid w:val="00B65AB2"/>
    <w:rsid w:val="00B7171C"/>
    <w:rsid w:val="00B7187F"/>
    <w:rsid w:val="00B72C2D"/>
    <w:rsid w:val="00B743ED"/>
    <w:rsid w:val="00B74A36"/>
    <w:rsid w:val="00B86BD3"/>
    <w:rsid w:val="00B8732A"/>
    <w:rsid w:val="00B87D64"/>
    <w:rsid w:val="00B91A27"/>
    <w:rsid w:val="00B92C0F"/>
    <w:rsid w:val="00BA1263"/>
    <w:rsid w:val="00BA17F9"/>
    <w:rsid w:val="00BA3847"/>
    <w:rsid w:val="00BA3924"/>
    <w:rsid w:val="00BA43C7"/>
    <w:rsid w:val="00BA43FC"/>
    <w:rsid w:val="00BA5197"/>
    <w:rsid w:val="00BA5764"/>
    <w:rsid w:val="00BA5AD3"/>
    <w:rsid w:val="00BA5FEC"/>
    <w:rsid w:val="00BA6B8D"/>
    <w:rsid w:val="00BA71DD"/>
    <w:rsid w:val="00BB1A7D"/>
    <w:rsid w:val="00BB49FF"/>
    <w:rsid w:val="00BB6307"/>
    <w:rsid w:val="00BB6FB4"/>
    <w:rsid w:val="00BC06A1"/>
    <w:rsid w:val="00BC11F0"/>
    <w:rsid w:val="00BC25CC"/>
    <w:rsid w:val="00BC2D5F"/>
    <w:rsid w:val="00BC39C9"/>
    <w:rsid w:val="00BC441F"/>
    <w:rsid w:val="00BC4E37"/>
    <w:rsid w:val="00BC4F90"/>
    <w:rsid w:val="00BD0997"/>
    <w:rsid w:val="00BD2877"/>
    <w:rsid w:val="00BD50BC"/>
    <w:rsid w:val="00BE00AD"/>
    <w:rsid w:val="00BE2CC9"/>
    <w:rsid w:val="00BE3663"/>
    <w:rsid w:val="00BE56E1"/>
    <w:rsid w:val="00BE7CA8"/>
    <w:rsid w:val="00BF0B3B"/>
    <w:rsid w:val="00BF1CE9"/>
    <w:rsid w:val="00BF2976"/>
    <w:rsid w:val="00BF3A74"/>
    <w:rsid w:val="00BF406C"/>
    <w:rsid w:val="00BF5B7C"/>
    <w:rsid w:val="00BF63DF"/>
    <w:rsid w:val="00BF7541"/>
    <w:rsid w:val="00C0076F"/>
    <w:rsid w:val="00C007A3"/>
    <w:rsid w:val="00C02F33"/>
    <w:rsid w:val="00C04CAF"/>
    <w:rsid w:val="00C06AA2"/>
    <w:rsid w:val="00C07507"/>
    <w:rsid w:val="00C10AA0"/>
    <w:rsid w:val="00C127E0"/>
    <w:rsid w:val="00C12E3C"/>
    <w:rsid w:val="00C149EA"/>
    <w:rsid w:val="00C14A4C"/>
    <w:rsid w:val="00C2205B"/>
    <w:rsid w:val="00C2252C"/>
    <w:rsid w:val="00C22F66"/>
    <w:rsid w:val="00C23235"/>
    <w:rsid w:val="00C2484F"/>
    <w:rsid w:val="00C248F8"/>
    <w:rsid w:val="00C25A6A"/>
    <w:rsid w:val="00C2771E"/>
    <w:rsid w:val="00C32613"/>
    <w:rsid w:val="00C334FE"/>
    <w:rsid w:val="00C35B28"/>
    <w:rsid w:val="00C41ACB"/>
    <w:rsid w:val="00C46608"/>
    <w:rsid w:val="00C46734"/>
    <w:rsid w:val="00C478CF"/>
    <w:rsid w:val="00C47977"/>
    <w:rsid w:val="00C54939"/>
    <w:rsid w:val="00C54DDF"/>
    <w:rsid w:val="00C5679F"/>
    <w:rsid w:val="00C5705D"/>
    <w:rsid w:val="00C570B6"/>
    <w:rsid w:val="00C5717F"/>
    <w:rsid w:val="00C5728D"/>
    <w:rsid w:val="00C57848"/>
    <w:rsid w:val="00C605FB"/>
    <w:rsid w:val="00C608EF"/>
    <w:rsid w:val="00C62002"/>
    <w:rsid w:val="00C625D0"/>
    <w:rsid w:val="00C63279"/>
    <w:rsid w:val="00C66145"/>
    <w:rsid w:val="00C66FF4"/>
    <w:rsid w:val="00C717EE"/>
    <w:rsid w:val="00C722D3"/>
    <w:rsid w:val="00C76CC4"/>
    <w:rsid w:val="00C77463"/>
    <w:rsid w:val="00C80BF3"/>
    <w:rsid w:val="00C811B5"/>
    <w:rsid w:val="00C82707"/>
    <w:rsid w:val="00C83699"/>
    <w:rsid w:val="00C851A9"/>
    <w:rsid w:val="00C856AE"/>
    <w:rsid w:val="00C86A5D"/>
    <w:rsid w:val="00C90E8E"/>
    <w:rsid w:val="00C91BA4"/>
    <w:rsid w:val="00C92959"/>
    <w:rsid w:val="00C92BED"/>
    <w:rsid w:val="00C95AAE"/>
    <w:rsid w:val="00CA124F"/>
    <w:rsid w:val="00CA1A3D"/>
    <w:rsid w:val="00CA1F18"/>
    <w:rsid w:val="00CA2519"/>
    <w:rsid w:val="00CA4AA4"/>
    <w:rsid w:val="00CA4FA4"/>
    <w:rsid w:val="00CA794C"/>
    <w:rsid w:val="00CA7C36"/>
    <w:rsid w:val="00CB1915"/>
    <w:rsid w:val="00CB2CF2"/>
    <w:rsid w:val="00CB464F"/>
    <w:rsid w:val="00CB56D1"/>
    <w:rsid w:val="00CB5D93"/>
    <w:rsid w:val="00CC509E"/>
    <w:rsid w:val="00CC6EE6"/>
    <w:rsid w:val="00CD089C"/>
    <w:rsid w:val="00CD2EA3"/>
    <w:rsid w:val="00CD3072"/>
    <w:rsid w:val="00CD5587"/>
    <w:rsid w:val="00CE04C7"/>
    <w:rsid w:val="00CE110E"/>
    <w:rsid w:val="00CE182F"/>
    <w:rsid w:val="00CE51A5"/>
    <w:rsid w:val="00CE5528"/>
    <w:rsid w:val="00CE5724"/>
    <w:rsid w:val="00CE5A0F"/>
    <w:rsid w:val="00CF279B"/>
    <w:rsid w:val="00CF4A03"/>
    <w:rsid w:val="00CF4CC6"/>
    <w:rsid w:val="00CF6DBF"/>
    <w:rsid w:val="00CF7FE5"/>
    <w:rsid w:val="00D02A2E"/>
    <w:rsid w:val="00D031CB"/>
    <w:rsid w:val="00D05E99"/>
    <w:rsid w:val="00D14093"/>
    <w:rsid w:val="00D15833"/>
    <w:rsid w:val="00D16661"/>
    <w:rsid w:val="00D23444"/>
    <w:rsid w:val="00D2397E"/>
    <w:rsid w:val="00D2610D"/>
    <w:rsid w:val="00D27041"/>
    <w:rsid w:val="00D30E90"/>
    <w:rsid w:val="00D32E2C"/>
    <w:rsid w:val="00D33F49"/>
    <w:rsid w:val="00D367E4"/>
    <w:rsid w:val="00D400D9"/>
    <w:rsid w:val="00D404B5"/>
    <w:rsid w:val="00D41FEB"/>
    <w:rsid w:val="00D44557"/>
    <w:rsid w:val="00D45716"/>
    <w:rsid w:val="00D46695"/>
    <w:rsid w:val="00D46EC7"/>
    <w:rsid w:val="00D51EDD"/>
    <w:rsid w:val="00D53B48"/>
    <w:rsid w:val="00D54569"/>
    <w:rsid w:val="00D54D91"/>
    <w:rsid w:val="00D55892"/>
    <w:rsid w:val="00D60F08"/>
    <w:rsid w:val="00D613D9"/>
    <w:rsid w:val="00D6191C"/>
    <w:rsid w:val="00D622BD"/>
    <w:rsid w:val="00D63593"/>
    <w:rsid w:val="00D64D18"/>
    <w:rsid w:val="00D656A5"/>
    <w:rsid w:val="00D667B2"/>
    <w:rsid w:val="00D668DA"/>
    <w:rsid w:val="00D66904"/>
    <w:rsid w:val="00D67EE0"/>
    <w:rsid w:val="00D7096C"/>
    <w:rsid w:val="00D70CC7"/>
    <w:rsid w:val="00D71F2F"/>
    <w:rsid w:val="00D72579"/>
    <w:rsid w:val="00D73DD0"/>
    <w:rsid w:val="00D764AA"/>
    <w:rsid w:val="00D77125"/>
    <w:rsid w:val="00D77B9B"/>
    <w:rsid w:val="00D77BEF"/>
    <w:rsid w:val="00D81897"/>
    <w:rsid w:val="00D843F5"/>
    <w:rsid w:val="00D85222"/>
    <w:rsid w:val="00D85D48"/>
    <w:rsid w:val="00D919AB"/>
    <w:rsid w:val="00D9278A"/>
    <w:rsid w:val="00D92860"/>
    <w:rsid w:val="00D93967"/>
    <w:rsid w:val="00D947D6"/>
    <w:rsid w:val="00D94B71"/>
    <w:rsid w:val="00D96046"/>
    <w:rsid w:val="00DA0658"/>
    <w:rsid w:val="00DA1009"/>
    <w:rsid w:val="00DA1A35"/>
    <w:rsid w:val="00DA244D"/>
    <w:rsid w:val="00DA5410"/>
    <w:rsid w:val="00DA54AA"/>
    <w:rsid w:val="00DA69A8"/>
    <w:rsid w:val="00DA6B8F"/>
    <w:rsid w:val="00DB00F8"/>
    <w:rsid w:val="00DB0D15"/>
    <w:rsid w:val="00DB0DE9"/>
    <w:rsid w:val="00DB279D"/>
    <w:rsid w:val="00DB2D9A"/>
    <w:rsid w:val="00DB530B"/>
    <w:rsid w:val="00DB597B"/>
    <w:rsid w:val="00DB754C"/>
    <w:rsid w:val="00DC2018"/>
    <w:rsid w:val="00DC3529"/>
    <w:rsid w:val="00DC484C"/>
    <w:rsid w:val="00DC499D"/>
    <w:rsid w:val="00DC4AFE"/>
    <w:rsid w:val="00DD0240"/>
    <w:rsid w:val="00DD0FCB"/>
    <w:rsid w:val="00DD4A76"/>
    <w:rsid w:val="00DD5662"/>
    <w:rsid w:val="00DD6038"/>
    <w:rsid w:val="00DD7237"/>
    <w:rsid w:val="00DD76BB"/>
    <w:rsid w:val="00DE03F3"/>
    <w:rsid w:val="00DE0932"/>
    <w:rsid w:val="00DE0DDF"/>
    <w:rsid w:val="00DE0F56"/>
    <w:rsid w:val="00DE1416"/>
    <w:rsid w:val="00DE3DE8"/>
    <w:rsid w:val="00DE42EE"/>
    <w:rsid w:val="00DF0256"/>
    <w:rsid w:val="00DF5DB3"/>
    <w:rsid w:val="00E0439E"/>
    <w:rsid w:val="00E05040"/>
    <w:rsid w:val="00E05C27"/>
    <w:rsid w:val="00E05E1E"/>
    <w:rsid w:val="00E05FAA"/>
    <w:rsid w:val="00E160CD"/>
    <w:rsid w:val="00E16D19"/>
    <w:rsid w:val="00E17201"/>
    <w:rsid w:val="00E207E2"/>
    <w:rsid w:val="00E222B8"/>
    <w:rsid w:val="00E22CC2"/>
    <w:rsid w:val="00E2339E"/>
    <w:rsid w:val="00E25532"/>
    <w:rsid w:val="00E25AFC"/>
    <w:rsid w:val="00E2681E"/>
    <w:rsid w:val="00E27034"/>
    <w:rsid w:val="00E27591"/>
    <w:rsid w:val="00E30444"/>
    <w:rsid w:val="00E323CF"/>
    <w:rsid w:val="00E325CB"/>
    <w:rsid w:val="00E33B3F"/>
    <w:rsid w:val="00E33E72"/>
    <w:rsid w:val="00E34DE6"/>
    <w:rsid w:val="00E3529E"/>
    <w:rsid w:val="00E37175"/>
    <w:rsid w:val="00E37CFA"/>
    <w:rsid w:val="00E40F00"/>
    <w:rsid w:val="00E41548"/>
    <w:rsid w:val="00E41A84"/>
    <w:rsid w:val="00E42596"/>
    <w:rsid w:val="00E451FA"/>
    <w:rsid w:val="00E46EE2"/>
    <w:rsid w:val="00E47BFD"/>
    <w:rsid w:val="00E50358"/>
    <w:rsid w:val="00E51207"/>
    <w:rsid w:val="00E53DF6"/>
    <w:rsid w:val="00E54652"/>
    <w:rsid w:val="00E60E20"/>
    <w:rsid w:val="00E61FD8"/>
    <w:rsid w:val="00E66131"/>
    <w:rsid w:val="00E67389"/>
    <w:rsid w:val="00E706A4"/>
    <w:rsid w:val="00E724CF"/>
    <w:rsid w:val="00E7269F"/>
    <w:rsid w:val="00E80B88"/>
    <w:rsid w:val="00E83DAE"/>
    <w:rsid w:val="00E907FC"/>
    <w:rsid w:val="00E93C67"/>
    <w:rsid w:val="00E97642"/>
    <w:rsid w:val="00E97EEE"/>
    <w:rsid w:val="00EA1AD7"/>
    <w:rsid w:val="00EA1DBD"/>
    <w:rsid w:val="00EA1DE7"/>
    <w:rsid w:val="00EA3A04"/>
    <w:rsid w:val="00EA4591"/>
    <w:rsid w:val="00EA4CF9"/>
    <w:rsid w:val="00EA589D"/>
    <w:rsid w:val="00EA6142"/>
    <w:rsid w:val="00EA7F0E"/>
    <w:rsid w:val="00EB26DA"/>
    <w:rsid w:val="00EB27C5"/>
    <w:rsid w:val="00EB3361"/>
    <w:rsid w:val="00EB4A85"/>
    <w:rsid w:val="00EC2934"/>
    <w:rsid w:val="00EC2BE7"/>
    <w:rsid w:val="00EC3246"/>
    <w:rsid w:val="00EC5229"/>
    <w:rsid w:val="00ED016B"/>
    <w:rsid w:val="00ED08ED"/>
    <w:rsid w:val="00ED1C4C"/>
    <w:rsid w:val="00ED37BF"/>
    <w:rsid w:val="00ED45C8"/>
    <w:rsid w:val="00ED464C"/>
    <w:rsid w:val="00ED6212"/>
    <w:rsid w:val="00EE0154"/>
    <w:rsid w:val="00EE23DA"/>
    <w:rsid w:val="00EE4A2A"/>
    <w:rsid w:val="00EE52AC"/>
    <w:rsid w:val="00EE6B6E"/>
    <w:rsid w:val="00EF1A42"/>
    <w:rsid w:val="00EF319A"/>
    <w:rsid w:val="00EF3AC3"/>
    <w:rsid w:val="00EF58B3"/>
    <w:rsid w:val="00F012CF"/>
    <w:rsid w:val="00F01E80"/>
    <w:rsid w:val="00F0699E"/>
    <w:rsid w:val="00F07B28"/>
    <w:rsid w:val="00F110E9"/>
    <w:rsid w:val="00F115C4"/>
    <w:rsid w:val="00F122AB"/>
    <w:rsid w:val="00F132D7"/>
    <w:rsid w:val="00F163EB"/>
    <w:rsid w:val="00F172DA"/>
    <w:rsid w:val="00F200EE"/>
    <w:rsid w:val="00F20A8D"/>
    <w:rsid w:val="00F21C99"/>
    <w:rsid w:val="00F25321"/>
    <w:rsid w:val="00F25C53"/>
    <w:rsid w:val="00F260B8"/>
    <w:rsid w:val="00F2729A"/>
    <w:rsid w:val="00F32C1C"/>
    <w:rsid w:val="00F32C4A"/>
    <w:rsid w:val="00F34616"/>
    <w:rsid w:val="00F37487"/>
    <w:rsid w:val="00F40E6B"/>
    <w:rsid w:val="00F418B6"/>
    <w:rsid w:val="00F41A54"/>
    <w:rsid w:val="00F41E39"/>
    <w:rsid w:val="00F42D9D"/>
    <w:rsid w:val="00F433F1"/>
    <w:rsid w:val="00F4409A"/>
    <w:rsid w:val="00F57EDE"/>
    <w:rsid w:val="00F61E07"/>
    <w:rsid w:val="00F62A19"/>
    <w:rsid w:val="00F6378D"/>
    <w:rsid w:val="00F67184"/>
    <w:rsid w:val="00F70B1B"/>
    <w:rsid w:val="00F716DB"/>
    <w:rsid w:val="00F751B0"/>
    <w:rsid w:val="00F764DD"/>
    <w:rsid w:val="00F76EA8"/>
    <w:rsid w:val="00F80435"/>
    <w:rsid w:val="00F82D6D"/>
    <w:rsid w:val="00F831DB"/>
    <w:rsid w:val="00F84915"/>
    <w:rsid w:val="00F84D96"/>
    <w:rsid w:val="00F87741"/>
    <w:rsid w:val="00F87C65"/>
    <w:rsid w:val="00F87D63"/>
    <w:rsid w:val="00F951C1"/>
    <w:rsid w:val="00F97E56"/>
    <w:rsid w:val="00FA08AE"/>
    <w:rsid w:val="00FA3085"/>
    <w:rsid w:val="00FA3879"/>
    <w:rsid w:val="00FA40AD"/>
    <w:rsid w:val="00FA6D22"/>
    <w:rsid w:val="00FA74EE"/>
    <w:rsid w:val="00FB1514"/>
    <w:rsid w:val="00FB2876"/>
    <w:rsid w:val="00FB4120"/>
    <w:rsid w:val="00FB4C1F"/>
    <w:rsid w:val="00FB5B6C"/>
    <w:rsid w:val="00FB6ABD"/>
    <w:rsid w:val="00FC1E7E"/>
    <w:rsid w:val="00FC3576"/>
    <w:rsid w:val="00FC3FAE"/>
    <w:rsid w:val="00FC6BBE"/>
    <w:rsid w:val="00FC79D9"/>
    <w:rsid w:val="00FC7C9F"/>
    <w:rsid w:val="00FD0758"/>
    <w:rsid w:val="00FD2C9F"/>
    <w:rsid w:val="00FD5583"/>
    <w:rsid w:val="00FD6017"/>
    <w:rsid w:val="00FD631F"/>
    <w:rsid w:val="00FD6C55"/>
    <w:rsid w:val="00FD768A"/>
    <w:rsid w:val="00FE00BB"/>
    <w:rsid w:val="00FE13D4"/>
    <w:rsid w:val="00FE1EDB"/>
    <w:rsid w:val="00FE20BC"/>
    <w:rsid w:val="00FE2659"/>
    <w:rsid w:val="00FE476F"/>
    <w:rsid w:val="00FE5B71"/>
    <w:rsid w:val="00FE6DB6"/>
    <w:rsid w:val="00FE7669"/>
    <w:rsid w:val="00FF00B3"/>
    <w:rsid w:val="00FF38D9"/>
    <w:rsid w:val="00FF3D92"/>
    <w:rsid w:val="00FF5896"/>
    <w:rsid w:val="00FF6A65"/>
    <w:rsid w:val="01203C39"/>
    <w:rsid w:val="014775BE"/>
    <w:rsid w:val="016E131F"/>
    <w:rsid w:val="01A55B58"/>
    <w:rsid w:val="01AF05E4"/>
    <w:rsid w:val="01E90392"/>
    <w:rsid w:val="01F90026"/>
    <w:rsid w:val="022D627E"/>
    <w:rsid w:val="0255520B"/>
    <w:rsid w:val="02556E25"/>
    <w:rsid w:val="0295759C"/>
    <w:rsid w:val="02C974CB"/>
    <w:rsid w:val="02D808DE"/>
    <w:rsid w:val="02FE672D"/>
    <w:rsid w:val="02FF49E7"/>
    <w:rsid w:val="030F4D8B"/>
    <w:rsid w:val="031208ED"/>
    <w:rsid w:val="03234BC9"/>
    <w:rsid w:val="032F1A12"/>
    <w:rsid w:val="033A1400"/>
    <w:rsid w:val="037275D0"/>
    <w:rsid w:val="03BE67DD"/>
    <w:rsid w:val="03DA6A22"/>
    <w:rsid w:val="03DA74A1"/>
    <w:rsid w:val="03F86F66"/>
    <w:rsid w:val="04061E79"/>
    <w:rsid w:val="0420374C"/>
    <w:rsid w:val="04366E50"/>
    <w:rsid w:val="04433C09"/>
    <w:rsid w:val="047311F8"/>
    <w:rsid w:val="04F337A3"/>
    <w:rsid w:val="051D72D3"/>
    <w:rsid w:val="05431145"/>
    <w:rsid w:val="055D47E4"/>
    <w:rsid w:val="057300A2"/>
    <w:rsid w:val="057D0D5B"/>
    <w:rsid w:val="05862EED"/>
    <w:rsid w:val="05BB1877"/>
    <w:rsid w:val="062C244C"/>
    <w:rsid w:val="063D2730"/>
    <w:rsid w:val="065E5885"/>
    <w:rsid w:val="06701219"/>
    <w:rsid w:val="067E0E0F"/>
    <w:rsid w:val="06B829FE"/>
    <w:rsid w:val="06CA3119"/>
    <w:rsid w:val="06DB06EC"/>
    <w:rsid w:val="07084B7A"/>
    <w:rsid w:val="07644E6C"/>
    <w:rsid w:val="07924D8D"/>
    <w:rsid w:val="079E655E"/>
    <w:rsid w:val="07D1305E"/>
    <w:rsid w:val="081C7E3F"/>
    <w:rsid w:val="08416455"/>
    <w:rsid w:val="08831284"/>
    <w:rsid w:val="088D3EC6"/>
    <w:rsid w:val="089B4E38"/>
    <w:rsid w:val="08D26C65"/>
    <w:rsid w:val="08E3356D"/>
    <w:rsid w:val="093A28F0"/>
    <w:rsid w:val="09A20424"/>
    <w:rsid w:val="09AD013A"/>
    <w:rsid w:val="09B8719F"/>
    <w:rsid w:val="09CD6A46"/>
    <w:rsid w:val="0A3B2335"/>
    <w:rsid w:val="0A6B17B7"/>
    <w:rsid w:val="0A6E0C34"/>
    <w:rsid w:val="0AB4630B"/>
    <w:rsid w:val="0B703EB1"/>
    <w:rsid w:val="0B843C69"/>
    <w:rsid w:val="0B8A0A93"/>
    <w:rsid w:val="0BA05D38"/>
    <w:rsid w:val="0C430235"/>
    <w:rsid w:val="0C4B73B5"/>
    <w:rsid w:val="0C5114BF"/>
    <w:rsid w:val="0C523489"/>
    <w:rsid w:val="0C616603"/>
    <w:rsid w:val="0C882CDC"/>
    <w:rsid w:val="0C8B28D0"/>
    <w:rsid w:val="0CB60DC8"/>
    <w:rsid w:val="0CC90418"/>
    <w:rsid w:val="0CE03A20"/>
    <w:rsid w:val="0CF70C99"/>
    <w:rsid w:val="0D4E1AE6"/>
    <w:rsid w:val="0D701938"/>
    <w:rsid w:val="0DBB7EB0"/>
    <w:rsid w:val="0DF06096"/>
    <w:rsid w:val="0E226F1F"/>
    <w:rsid w:val="0E2C513E"/>
    <w:rsid w:val="0E32276B"/>
    <w:rsid w:val="0E512645"/>
    <w:rsid w:val="0E6338AF"/>
    <w:rsid w:val="0E6C2B32"/>
    <w:rsid w:val="0E8F2773"/>
    <w:rsid w:val="0E9A3ABA"/>
    <w:rsid w:val="0EE0135D"/>
    <w:rsid w:val="0F06513D"/>
    <w:rsid w:val="0F115557"/>
    <w:rsid w:val="0F46064E"/>
    <w:rsid w:val="0F4F4BB6"/>
    <w:rsid w:val="0FC23491"/>
    <w:rsid w:val="0FC40209"/>
    <w:rsid w:val="100C0BD9"/>
    <w:rsid w:val="102576EB"/>
    <w:rsid w:val="102810E4"/>
    <w:rsid w:val="105C07A8"/>
    <w:rsid w:val="10AD10CC"/>
    <w:rsid w:val="110279BD"/>
    <w:rsid w:val="110650C8"/>
    <w:rsid w:val="11067A13"/>
    <w:rsid w:val="11323AEE"/>
    <w:rsid w:val="11350134"/>
    <w:rsid w:val="118F62CB"/>
    <w:rsid w:val="11AA2725"/>
    <w:rsid w:val="11D84671"/>
    <w:rsid w:val="12104FD5"/>
    <w:rsid w:val="12172560"/>
    <w:rsid w:val="12245498"/>
    <w:rsid w:val="124B69B1"/>
    <w:rsid w:val="12814850"/>
    <w:rsid w:val="12A31C3A"/>
    <w:rsid w:val="12A733F4"/>
    <w:rsid w:val="132F7CDE"/>
    <w:rsid w:val="13492C5C"/>
    <w:rsid w:val="134B3294"/>
    <w:rsid w:val="134F4115"/>
    <w:rsid w:val="13641314"/>
    <w:rsid w:val="139D6FCB"/>
    <w:rsid w:val="13CB5EF3"/>
    <w:rsid w:val="13D57BBC"/>
    <w:rsid w:val="13D80B4B"/>
    <w:rsid w:val="13DB11A2"/>
    <w:rsid w:val="142A1401"/>
    <w:rsid w:val="14770129"/>
    <w:rsid w:val="14860EC6"/>
    <w:rsid w:val="14BC5E08"/>
    <w:rsid w:val="14EF5671"/>
    <w:rsid w:val="15001CD4"/>
    <w:rsid w:val="1507244E"/>
    <w:rsid w:val="15692615"/>
    <w:rsid w:val="157B48F2"/>
    <w:rsid w:val="15805D77"/>
    <w:rsid w:val="15997C85"/>
    <w:rsid w:val="159E0B02"/>
    <w:rsid w:val="15C06FFD"/>
    <w:rsid w:val="15D32289"/>
    <w:rsid w:val="16007C71"/>
    <w:rsid w:val="168712EE"/>
    <w:rsid w:val="168C3D3B"/>
    <w:rsid w:val="169A6332"/>
    <w:rsid w:val="169B2334"/>
    <w:rsid w:val="16B142E8"/>
    <w:rsid w:val="16E02CCF"/>
    <w:rsid w:val="16E37CE2"/>
    <w:rsid w:val="170B43C9"/>
    <w:rsid w:val="17274449"/>
    <w:rsid w:val="174F6958"/>
    <w:rsid w:val="17604040"/>
    <w:rsid w:val="17725B00"/>
    <w:rsid w:val="179D3C39"/>
    <w:rsid w:val="17A04293"/>
    <w:rsid w:val="17A52803"/>
    <w:rsid w:val="17BA013A"/>
    <w:rsid w:val="17C77B2B"/>
    <w:rsid w:val="17CD466F"/>
    <w:rsid w:val="17FE6E17"/>
    <w:rsid w:val="180C1C74"/>
    <w:rsid w:val="18336D7E"/>
    <w:rsid w:val="18964460"/>
    <w:rsid w:val="19196720"/>
    <w:rsid w:val="1923252C"/>
    <w:rsid w:val="19601513"/>
    <w:rsid w:val="19633F9A"/>
    <w:rsid w:val="19910F26"/>
    <w:rsid w:val="19A2783A"/>
    <w:rsid w:val="19BA606F"/>
    <w:rsid w:val="19BE1D42"/>
    <w:rsid w:val="19CF3269"/>
    <w:rsid w:val="19F06831"/>
    <w:rsid w:val="19FB2039"/>
    <w:rsid w:val="1A550ED3"/>
    <w:rsid w:val="1A5D6F55"/>
    <w:rsid w:val="1A5F502A"/>
    <w:rsid w:val="1A8F1041"/>
    <w:rsid w:val="1AA36307"/>
    <w:rsid w:val="1AF07699"/>
    <w:rsid w:val="1AFA3C56"/>
    <w:rsid w:val="1B1D2610"/>
    <w:rsid w:val="1B4067B3"/>
    <w:rsid w:val="1B47626A"/>
    <w:rsid w:val="1BD11750"/>
    <w:rsid w:val="1BDA573E"/>
    <w:rsid w:val="1BF97770"/>
    <w:rsid w:val="1C0A3818"/>
    <w:rsid w:val="1C3B0850"/>
    <w:rsid w:val="1C5608AC"/>
    <w:rsid w:val="1C6846DF"/>
    <w:rsid w:val="1C816DD6"/>
    <w:rsid w:val="1C881546"/>
    <w:rsid w:val="1CBA7EBC"/>
    <w:rsid w:val="1CCE7A73"/>
    <w:rsid w:val="1D046717"/>
    <w:rsid w:val="1D283FFB"/>
    <w:rsid w:val="1D2B7091"/>
    <w:rsid w:val="1D31718C"/>
    <w:rsid w:val="1D432A41"/>
    <w:rsid w:val="1D7D6389"/>
    <w:rsid w:val="1D875F9F"/>
    <w:rsid w:val="1DA52CCD"/>
    <w:rsid w:val="1DA70112"/>
    <w:rsid w:val="1DC85200"/>
    <w:rsid w:val="1E071BBC"/>
    <w:rsid w:val="1E237DC9"/>
    <w:rsid w:val="1E281AC1"/>
    <w:rsid w:val="1E317A6F"/>
    <w:rsid w:val="1E847B46"/>
    <w:rsid w:val="1E8C51E4"/>
    <w:rsid w:val="1E9E7F2F"/>
    <w:rsid w:val="1EE033A6"/>
    <w:rsid w:val="1F1B53E6"/>
    <w:rsid w:val="1F2A132B"/>
    <w:rsid w:val="1F2E74A3"/>
    <w:rsid w:val="1F6A5FF7"/>
    <w:rsid w:val="1FAD7F84"/>
    <w:rsid w:val="1FB90CAF"/>
    <w:rsid w:val="1FBF4E42"/>
    <w:rsid w:val="1FC63355"/>
    <w:rsid w:val="204921FB"/>
    <w:rsid w:val="20673811"/>
    <w:rsid w:val="206A3594"/>
    <w:rsid w:val="2075182B"/>
    <w:rsid w:val="208149DA"/>
    <w:rsid w:val="20912359"/>
    <w:rsid w:val="20A07D45"/>
    <w:rsid w:val="20A95A85"/>
    <w:rsid w:val="20B16471"/>
    <w:rsid w:val="20CB6D84"/>
    <w:rsid w:val="210832DB"/>
    <w:rsid w:val="21830150"/>
    <w:rsid w:val="22C06D0B"/>
    <w:rsid w:val="232018E3"/>
    <w:rsid w:val="23252295"/>
    <w:rsid w:val="232B0FF5"/>
    <w:rsid w:val="23394A3A"/>
    <w:rsid w:val="23957321"/>
    <w:rsid w:val="23BE4553"/>
    <w:rsid w:val="23D20E99"/>
    <w:rsid w:val="23D64310"/>
    <w:rsid w:val="242557E6"/>
    <w:rsid w:val="244B0CA9"/>
    <w:rsid w:val="24716952"/>
    <w:rsid w:val="247E668F"/>
    <w:rsid w:val="24AE7B78"/>
    <w:rsid w:val="24E32A7A"/>
    <w:rsid w:val="24E821DA"/>
    <w:rsid w:val="250224D8"/>
    <w:rsid w:val="253761F4"/>
    <w:rsid w:val="254754EE"/>
    <w:rsid w:val="255716AA"/>
    <w:rsid w:val="256056E6"/>
    <w:rsid w:val="25BE7872"/>
    <w:rsid w:val="26207042"/>
    <w:rsid w:val="26535279"/>
    <w:rsid w:val="26A370BF"/>
    <w:rsid w:val="26A9492A"/>
    <w:rsid w:val="26B63A3D"/>
    <w:rsid w:val="27053E18"/>
    <w:rsid w:val="273E7AEA"/>
    <w:rsid w:val="275163C0"/>
    <w:rsid w:val="27775EDB"/>
    <w:rsid w:val="27804EDF"/>
    <w:rsid w:val="27A542D3"/>
    <w:rsid w:val="27B22CEB"/>
    <w:rsid w:val="27B84691"/>
    <w:rsid w:val="27ED76FC"/>
    <w:rsid w:val="28111E2F"/>
    <w:rsid w:val="281D0BE3"/>
    <w:rsid w:val="28207400"/>
    <w:rsid w:val="283F16DC"/>
    <w:rsid w:val="2865524B"/>
    <w:rsid w:val="28DC1D31"/>
    <w:rsid w:val="2915017C"/>
    <w:rsid w:val="29435D1F"/>
    <w:rsid w:val="29617166"/>
    <w:rsid w:val="29653803"/>
    <w:rsid w:val="29682C34"/>
    <w:rsid w:val="298B3EB5"/>
    <w:rsid w:val="29CE6E29"/>
    <w:rsid w:val="2A091A53"/>
    <w:rsid w:val="2A1A6685"/>
    <w:rsid w:val="2A473300"/>
    <w:rsid w:val="2ACB0E21"/>
    <w:rsid w:val="2B0A4E3B"/>
    <w:rsid w:val="2B5A7295"/>
    <w:rsid w:val="2C0D7E74"/>
    <w:rsid w:val="2C1A7C94"/>
    <w:rsid w:val="2C3A6CFC"/>
    <w:rsid w:val="2C4E736D"/>
    <w:rsid w:val="2C681592"/>
    <w:rsid w:val="2C9A69B8"/>
    <w:rsid w:val="2CC249D8"/>
    <w:rsid w:val="2CE40401"/>
    <w:rsid w:val="2CF51708"/>
    <w:rsid w:val="2D235935"/>
    <w:rsid w:val="2D4319EA"/>
    <w:rsid w:val="2D466CFA"/>
    <w:rsid w:val="2D4E0489"/>
    <w:rsid w:val="2D574867"/>
    <w:rsid w:val="2D693048"/>
    <w:rsid w:val="2DB71E61"/>
    <w:rsid w:val="2DBB6FBE"/>
    <w:rsid w:val="2E307E11"/>
    <w:rsid w:val="2E830CE6"/>
    <w:rsid w:val="2EA771DE"/>
    <w:rsid w:val="2EB36AA0"/>
    <w:rsid w:val="2EB52EF7"/>
    <w:rsid w:val="2EBB64D4"/>
    <w:rsid w:val="2EDE0EA5"/>
    <w:rsid w:val="2EE7221A"/>
    <w:rsid w:val="2EEF7601"/>
    <w:rsid w:val="2F225A39"/>
    <w:rsid w:val="2F632CA6"/>
    <w:rsid w:val="2F65496C"/>
    <w:rsid w:val="2F705DBE"/>
    <w:rsid w:val="2F933B4F"/>
    <w:rsid w:val="2F9E48F1"/>
    <w:rsid w:val="2FA84AF7"/>
    <w:rsid w:val="2FB32E70"/>
    <w:rsid w:val="2FC16776"/>
    <w:rsid w:val="2FD55CC2"/>
    <w:rsid w:val="300D5BDF"/>
    <w:rsid w:val="30646374"/>
    <w:rsid w:val="30A70FAE"/>
    <w:rsid w:val="31054BF0"/>
    <w:rsid w:val="314174A5"/>
    <w:rsid w:val="31521AAB"/>
    <w:rsid w:val="31E23142"/>
    <w:rsid w:val="32073D4E"/>
    <w:rsid w:val="32424BEF"/>
    <w:rsid w:val="32522EA5"/>
    <w:rsid w:val="326E13F9"/>
    <w:rsid w:val="327805C8"/>
    <w:rsid w:val="32901719"/>
    <w:rsid w:val="329F5182"/>
    <w:rsid w:val="32A16A60"/>
    <w:rsid w:val="32E606ED"/>
    <w:rsid w:val="32EB0A3B"/>
    <w:rsid w:val="33084DF3"/>
    <w:rsid w:val="33A278FB"/>
    <w:rsid w:val="33BD2789"/>
    <w:rsid w:val="33E64D1E"/>
    <w:rsid w:val="34115244"/>
    <w:rsid w:val="341C2497"/>
    <w:rsid w:val="34A10622"/>
    <w:rsid w:val="34AE1231"/>
    <w:rsid w:val="34E56291"/>
    <w:rsid w:val="35035766"/>
    <w:rsid w:val="351557BB"/>
    <w:rsid w:val="3554399C"/>
    <w:rsid w:val="35677925"/>
    <w:rsid w:val="35B3355F"/>
    <w:rsid w:val="35B5589F"/>
    <w:rsid w:val="36177AA0"/>
    <w:rsid w:val="3643781B"/>
    <w:rsid w:val="36470F8B"/>
    <w:rsid w:val="366070AC"/>
    <w:rsid w:val="369C0774"/>
    <w:rsid w:val="36A53D74"/>
    <w:rsid w:val="36A946A9"/>
    <w:rsid w:val="36DC5AF6"/>
    <w:rsid w:val="36DD2134"/>
    <w:rsid w:val="37037A87"/>
    <w:rsid w:val="370A3FA0"/>
    <w:rsid w:val="373A4257"/>
    <w:rsid w:val="37447BC2"/>
    <w:rsid w:val="375D490D"/>
    <w:rsid w:val="37BE1F6F"/>
    <w:rsid w:val="37C64496"/>
    <w:rsid w:val="37ED4799"/>
    <w:rsid w:val="38030B58"/>
    <w:rsid w:val="381F55F3"/>
    <w:rsid w:val="385A76E1"/>
    <w:rsid w:val="38661E6D"/>
    <w:rsid w:val="386C6950"/>
    <w:rsid w:val="389A47AB"/>
    <w:rsid w:val="38E87284"/>
    <w:rsid w:val="391F4F7C"/>
    <w:rsid w:val="39542B9F"/>
    <w:rsid w:val="39766F18"/>
    <w:rsid w:val="398828AC"/>
    <w:rsid w:val="39E7557B"/>
    <w:rsid w:val="39F056C5"/>
    <w:rsid w:val="3A290B39"/>
    <w:rsid w:val="3A415028"/>
    <w:rsid w:val="3A6F6169"/>
    <w:rsid w:val="3A822B01"/>
    <w:rsid w:val="3AB261C4"/>
    <w:rsid w:val="3AEF5FD7"/>
    <w:rsid w:val="3B1234FE"/>
    <w:rsid w:val="3B26589A"/>
    <w:rsid w:val="3B5569DA"/>
    <w:rsid w:val="3B5F1281"/>
    <w:rsid w:val="3B6B549F"/>
    <w:rsid w:val="3B6E42E4"/>
    <w:rsid w:val="3B7C6ADF"/>
    <w:rsid w:val="3B84481E"/>
    <w:rsid w:val="3B9F779A"/>
    <w:rsid w:val="3BDB6542"/>
    <w:rsid w:val="3BEF7DFD"/>
    <w:rsid w:val="3C1A596C"/>
    <w:rsid w:val="3C3A24A0"/>
    <w:rsid w:val="3C5626AA"/>
    <w:rsid w:val="3C623CA2"/>
    <w:rsid w:val="3C7724E2"/>
    <w:rsid w:val="3C836786"/>
    <w:rsid w:val="3C903642"/>
    <w:rsid w:val="3CAA2FB3"/>
    <w:rsid w:val="3CAE6C48"/>
    <w:rsid w:val="3CD0727B"/>
    <w:rsid w:val="3CE5250D"/>
    <w:rsid w:val="3CE87634"/>
    <w:rsid w:val="3D007207"/>
    <w:rsid w:val="3D412B69"/>
    <w:rsid w:val="3D431F65"/>
    <w:rsid w:val="3D47532A"/>
    <w:rsid w:val="3D686D2B"/>
    <w:rsid w:val="3D733F25"/>
    <w:rsid w:val="3D7E5D71"/>
    <w:rsid w:val="3D8C2986"/>
    <w:rsid w:val="3D932E1F"/>
    <w:rsid w:val="3DB958AB"/>
    <w:rsid w:val="3DFA348E"/>
    <w:rsid w:val="3E173E79"/>
    <w:rsid w:val="3EE32EF3"/>
    <w:rsid w:val="3F104947"/>
    <w:rsid w:val="3F381050"/>
    <w:rsid w:val="3F414B5C"/>
    <w:rsid w:val="3F82439B"/>
    <w:rsid w:val="3FCA5320"/>
    <w:rsid w:val="3FD209B9"/>
    <w:rsid w:val="3FF85A46"/>
    <w:rsid w:val="40405405"/>
    <w:rsid w:val="40601749"/>
    <w:rsid w:val="40603767"/>
    <w:rsid w:val="40B21A46"/>
    <w:rsid w:val="40F93B9A"/>
    <w:rsid w:val="40F97622"/>
    <w:rsid w:val="411F30B6"/>
    <w:rsid w:val="413F350F"/>
    <w:rsid w:val="4152332E"/>
    <w:rsid w:val="41A970E7"/>
    <w:rsid w:val="41D9262E"/>
    <w:rsid w:val="41E21B2D"/>
    <w:rsid w:val="41E9746B"/>
    <w:rsid w:val="421B3110"/>
    <w:rsid w:val="426C23E2"/>
    <w:rsid w:val="428B6E7E"/>
    <w:rsid w:val="42D06390"/>
    <w:rsid w:val="42E41110"/>
    <w:rsid w:val="43332728"/>
    <w:rsid w:val="43363445"/>
    <w:rsid w:val="434B540E"/>
    <w:rsid w:val="435D11D1"/>
    <w:rsid w:val="43F374B9"/>
    <w:rsid w:val="44462A63"/>
    <w:rsid w:val="44580192"/>
    <w:rsid w:val="447B5B17"/>
    <w:rsid w:val="44823DE8"/>
    <w:rsid w:val="44924FDD"/>
    <w:rsid w:val="449F03D1"/>
    <w:rsid w:val="44CC3BDD"/>
    <w:rsid w:val="44EF3902"/>
    <w:rsid w:val="44F37142"/>
    <w:rsid w:val="454C3B43"/>
    <w:rsid w:val="455955B9"/>
    <w:rsid w:val="455E0C7E"/>
    <w:rsid w:val="455F52F8"/>
    <w:rsid w:val="457909EB"/>
    <w:rsid w:val="45970AAD"/>
    <w:rsid w:val="45AC729B"/>
    <w:rsid w:val="45CF3A93"/>
    <w:rsid w:val="45D2261D"/>
    <w:rsid w:val="4623751B"/>
    <w:rsid w:val="463F6A68"/>
    <w:rsid w:val="465959B7"/>
    <w:rsid w:val="46DE755F"/>
    <w:rsid w:val="47062E81"/>
    <w:rsid w:val="470C3A2D"/>
    <w:rsid w:val="47306898"/>
    <w:rsid w:val="473567E0"/>
    <w:rsid w:val="474000CE"/>
    <w:rsid w:val="47972D56"/>
    <w:rsid w:val="47D317C4"/>
    <w:rsid w:val="47D9567C"/>
    <w:rsid w:val="47E9290E"/>
    <w:rsid w:val="481D4406"/>
    <w:rsid w:val="482941B6"/>
    <w:rsid w:val="4838351C"/>
    <w:rsid w:val="484421A0"/>
    <w:rsid w:val="48511592"/>
    <w:rsid w:val="486A16F8"/>
    <w:rsid w:val="48922BD3"/>
    <w:rsid w:val="48A92299"/>
    <w:rsid w:val="48DB677F"/>
    <w:rsid w:val="48DC1B29"/>
    <w:rsid w:val="49123114"/>
    <w:rsid w:val="492E4871"/>
    <w:rsid w:val="496A7E73"/>
    <w:rsid w:val="49924EFB"/>
    <w:rsid w:val="49D76B8B"/>
    <w:rsid w:val="49E24D6B"/>
    <w:rsid w:val="49EC7ADB"/>
    <w:rsid w:val="4A216779"/>
    <w:rsid w:val="4A427A5E"/>
    <w:rsid w:val="4A6275F1"/>
    <w:rsid w:val="4A646859"/>
    <w:rsid w:val="4A887A39"/>
    <w:rsid w:val="4A9E76CA"/>
    <w:rsid w:val="4AA224BB"/>
    <w:rsid w:val="4AC520A1"/>
    <w:rsid w:val="4B0670CB"/>
    <w:rsid w:val="4B245688"/>
    <w:rsid w:val="4B390524"/>
    <w:rsid w:val="4B56657D"/>
    <w:rsid w:val="4B58031A"/>
    <w:rsid w:val="4B587DAB"/>
    <w:rsid w:val="4B732932"/>
    <w:rsid w:val="4B9B3392"/>
    <w:rsid w:val="4BAA2F64"/>
    <w:rsid w:val="4BB65923"/>
    <w:rsid w:val="4C5F5E70"/>
    <w:rsid w:val="4C9170DB"/>
    <w:rsid w:val="4CD73BF0"/>
    <w:rsid w:val="4CDA1CB0"/>
    <w:rsid w:val="4D1767AD"/>
    <w:rsid w:val="4D5E068F"/>
    <w:rsid w:val="4D630392"/>
    <w:rsid w:val="4DAA10C3"/>
    <w:rsid w:val="4DEF1260"/>
    <w:rsid w:val="4DFC1779"/>
    <w:rsid w:val="4E085350"/>
    <w:rsid w:val="4E481200"/>
    <w:rsid w:val="4EC605B8"/>
    <w:rsid w:val="4F8115D4"/>
    <w:rsid w:val="4F887FBE"/>
    <w:rsid w:val="4F8B184C"/>
    <w:rsid w:val="4FAD310C"/>
    <w:rsid w:val="4FB45601"/>
    <w:rsid w:val="4FDE3066"/>
    <w:rsid w:val="4FF667C5"/>
    <w:rsid w:val="5001600F"/>
    <w:rsid w:val="50024FBE"/>
    <w:rsid w:val="50143BFD"/>
    <w:rsid w:val="50452A86"/>
    <w:rsid w:val="50631BC6"/>
    <w:rsid w:val="50663F98"/>
    <w:rsid w:val="50880DDA"/>
    <w:rsid w:val="50DE5B6E"/>
    <w:rsid w:val="51062B6F"/>
    <w:rsid w:val="510A397B"/>
    <w:rsid w:val="510C3094"/>
    <w:rsid w:val="51104B35"/>
    <w:rsid w:val="511D08DF"/>
    <w:rsid w:val="512234CB"/>
    <w:rsid w:val="516C7DD6"/>
    <w:rsid w:val="518822D7"/>
    <w:rsid w:val="51DD1116"/>
    <w:rsid w:val="51E341EA"/>
    <w:rsid w:val="51F843DD"/>
    <w:rsid w:val="51FA0ADC"/>
    <w:rsid w:val="52224B13"/>
    <w:rsid w:val="522A4723"/>
    <w:rsid w:val="52EA2835"/>
    <w:rsid w:val="52EF17F3"/>
    <w:rsid w:val="52F44CF9"/>
    <w:rsid w:val="534B7602"/>
    <w:rsid w:val="53701A6A"/>
    <w:rsid w:val="53816D8D"/>
    <w:rsid w:val="53C964E9"/>
    <w:rsid w:val="53F650C9"/>
    <w:rsid w:val="540C07E5"/>
    <w:rsid w:val="54551118"/>
    <w:rsid w:val="54986E71"/>
    <w:rsid w:val="54EA22D6"/>
    <w:rsid w:val="55486A63"/>
    <w:rsid w:val="556E712C"/>
    <w:rsid w:val="55875B7E"/>
    <w:rsid w:val="55A03111"/>
    <w:rsid w:val="55EE21D3"/>
    <w:rsid w:val="55FD4521"/>
    <w:rsid w:val="561108BB"/>
    <w:rsid w:val="561A64EE"/>
    <w:rsid w:val="56797B6A"/>
    <w:rsid w:val="56B043AC"/>
    <w:rsid w:val="56B6238E"/>
    <w:rsid w:val="56CD7ADB"/>
    <w:rsid w:val="56E35335"/>
    <w:rsid w:val="56E91C44"/>
    <w:rsid w:val="5712534C"/>
    <w:rsid w:val="572310DF"/>
    <w:rsid w:val="573A70B0"/>
    <w:rsid w:val="576E3535"/>
    <w:rsid w:val="57877229"/>
    <w:rsid w:val="57877D41"/>
    <w:rsid w:val="57B05ACD"/>
    <w:rsid w:val="57C70755"/>
    <w:rsid w:val="57C86F2F"/>
    <w:rsid w:val="57CE7703"/>
    <w:rsid w:val="57F3608D"/>
    <w:rsid w:val="584E35A1"/>
    <w:rsid w:val="58C66206"/>
    <w:rsid w:val="58D07DF4"/>
    <w:rsid w:val="59262949"/>
    <w:rsid w:val="593B562B"/>
    <w:rsid w:val="59552106"/>
    <w:rsid w:val="59796ACC"/>
    <w:rsid w:val="599A4210"/>
    <w:rsid w:val="59C847A1"/>
    <w:rsid w:val="59ED2249"/>
    <w:rsid w:val="5A3F1EFA"/>
    <w:rsid w:val="5A496465"/>
    <w:rsid w:val="5A757273"/>
    <w:rsid w:val="5A76095C"/>
    <w:rsid w:val="5A9C4DCF"/>
    <w:rsid w:val="5A9F1399"/>
    <w:rsid w:val="5A9F29A8"/>
    <w:rsid w:val="5AB11160"/>
    <w:rsid w:val="5AEC52D0"/>
    <w:rsid w:val="5AEE148E"/>
    <w:rsid w:val="5AF637E3"/>
    <w:rsid w:val="5B263E0C"/>
    <w:rsid w:val="5B360A65"/>
    <w:rsid w:val="5B693D77"/>
    <w:rsid w:val="5B76088B"/>
    <w:rsid w:val="5B771B03"/>
    <w:rsid w:val="5B790841"/>
    <w:rsid w:val="5BAA620C"/>
    <w:rsid w:val="5C547EAB"/>
    <w:rsid w:val="5CD879E7"/>
    <w:rsid w:val="5D091235"/>
    <w:rsid w:val="5D34537C"/>
    <w:rsid w:val="5D5E658C"/>
    <w:rsid w:val="5D5E7C26"/>
    <w:rsid w:val="5D692AAE"/>
    <w:rsid w:val="5D9373FD"/>
    <w:rsid w:val="5DA415C2"/>
    <w:rsid w:val="5DBE0454"/>
    <w:rsid w:val="5DD03809"/>
    <w:rsid w:val="5E004C39"/>
    <w:rsid w:val="5E3D75B3"/>
    <w:rsid w:val="5E487266"/>
    <w:rsid w:val="5E4D3EE8"/>
    <w:rsid w:val="5E4F5179"/>
    <w:rsid w:val="5E5417A4"/>
    <w:rsid w:val="5EA90A66"/>
    <w:rsid w:val="5F2C025D"/>
    <w:rsid w:val="5F7C2B38"/>
    <w:rsid w:val="5FA2755A"/>
    <w:rsid w:val="5FB13A30"/>
    <w:rsid w:val="5FCE26E8"/>
    <w:rsid w:val="5FE053F5"/>
    <w:rsid w:val="5FE9549B"/>
    <w:rsid w:val="60127695"/>
    <w:rsid w:val="60137009"/>
    <w:rsid w:val="602F6245"/>
    <w:rsid w:val="603A10F1"/>
    <w:rsid w:val="606318AC"/>
    <w:rsid w:val="607C03CF"/>
    <w:rsid w:val="60A072B6"/>
    <w:rsid w:val="60AC2256"/>
    <w:rsid w:val="60BC3F38"/>
    <w:rsid w:val="60CF7E3D"/>
    <w:rsid w:val="60F36412"/>
    <w:rsid w:val="610640C9"/>
    <w:rsid w:val="613134C9"/>
    <w:rsid w:val="614A6C5E"/>
    <w:rsid w:val="61731C24"/>
    <w:rsid w:val="618D44E2"/>
    <w:rsid w:val="61D31225"/>
    <w:rsid w:val="62A648F4"/>
    <w:rsid w:val="62A7632B"/>
    <w:rsid w:val="62EC73BA"/>
    <w:rsid w:val="62F32951"/>
    <w:rsid w:val="632B5C87"/>
    <w:rsid w:val="6371491F"/>
    <w:rsid w:val="63C5577B"/>
    <w:rsid w:val="63D15C6B"/>
    <w:rsid w:val="643C0CF0"/>
    <w:rsid w:val="64416A1A"/>
    <w:rsid w:val="644F2B43"/>
    <w:rsid w:val="645250FE"/>
    <w:rsid w:val="6462597E"/>
    <w:rsid w:val="64954815"/>
    <w:rsid w:val="64A600A1"/>
    <w:rsid w:val="654B1D22"/>
    <w:rsid w:val="65697444"/>
    <w:rsid w:val="65844F01"/>
    <w:rsid w:val="65A6076F"/>
    <w:rsid w:val="65B65EE6"/>
    <w:rsid w:val="65C27D6B"/>
    <w:rsid w:val="65FA6F4B"/>
    <w:rsid w:val="65FE17DB"/>
    <w:rsid w:val="66313BCB"/>
    <w:rsid w:val="663F0E1C"/>
    <w:rsid w:val="66561CA1"/>
    <w:rsid w:val="6657248F"/>
    <w:rsid w:val="66622DBF"/>
    <w:rsid w:val="66703988"/>
    <w:rsid w:val="66972D4D"/>
    <w:rsid w:val="66AF4158"/>
    <w:rsid w:val="66EE73A8"/>
    <w:rsid w:val="66F35F03"/>
    <w:rsid w:val="66FB6800"/>
    <w:rsid w:val="6709459A"/>
    <w:rsid w:val="670F7F6E"/>
    <w:rsid w:val="67425DE2"/>
    <w:rsid w:val="67485085"/>
    <w:rsid w:val="675265BE"/>
    <w:rsid w:val="67753429"/>
    <w:rsid w:val="67C90E2D"/>
    <w:rsid w:val="67EC090C"/>
    <w:rsid w:val="67F07393"/>
    <w:rsid w:val="686F4612"/>
    <w:rsid w:val="68A41129"/>
    <w:rsid w:val="68CE3E1D"/>
    <w:rsid w:val="69125F06"/>
    <w:rsid w:val="691F7763"/>
    <w:rsid w:val="69563226"/>
    <w:rsid w:val="69827173"/>
    <w:rsid w:val="69B104DE"/>
    <w:rsid w:val="69D4078A"/>
    <w:rsid w:val="69D50A83"/>
    <w:rsid w:val="6A1A6D33"/>
    <w:rsid w:val="6A2B4375"/>
    <w:rsid w:val="6A39363C"/>
    <w:rsid w:val="6A536E8C"/>
    <w:rsid w:val="6ADD1B02"/>
    <w:rsid w:val="6B0117B9"/>
    <w:rsid w:val="6B1A340D"/>
    <w:rsid w:val="6B24741D"/>
    <w:rsid w:val="6B7A57AB"/>
    <w:rsid w:val="6BCE12E5"/>
    <w:rsid w:val="6C040B32"/>
    <w:rsid w:val="6C3C73A6"/>
    <w:rsid w:val="6C601502"/>
    <w:rsid w:val="6C902D16"/>
    <w:rsid w:val="6CA023BE"/>
    <w:rsid w:val="6CCA1CA8"/>
    <w:rsid w:val="6CCD4A20"/>
    <w:rsid w:val="6CE455E9"/>
    <w:rsid w:val="6CF02DE0"/>
    <w:rsid w:val="6D3B7F65"/>
    <w:rsid w:val="6D440B1A"/>
    <w:rsid w:val="6D535020"/>
    <w:rsid w:val="6D5924E1"/>
    <w:rsid w:val="6D97292B"/>
    <w:rsid w:val="6D9E28CE"/>
    <w:rsid w:val="6DB111AE"/>
    <w:rsid w:val="6DE80330"/>
    <w:rsid w:val="6E00435F"/>
    <w:rsid w:val="6E13706F"/>
    <w:rsid w:val="6E266D22"/>
    <w:rsid w:val="6E376F82"/>
    <w:rsid w:val="6E531008"/>
    <w:rsid w:val="6E6C4E5A"/>
    <w:rsid w:val="6E9F52FC"/>
    <w:rsid w:val="6ED41886"/>
    <w:rsid w:val="6F5B768A"/>
    <w:rsid w:val="6F703BA1"/>
    <w:rsid w:val="6F7074E3"/>
    <w:rsid w:val="6F7E14CD"/>
    <w:rsid w:val="6F8465E2"/>
    <w:rsid w:val="6F956832"/>
    <w:rsid w:val="6FA1018F"/>
    <w:rsid w:val="702D6932"/>
    <w:rsid w:val="70645AB3"/>
    <w:rsid w:val="708A6EA2"/>
    <w:rsid w:val="70D41834"/>
    <w:rsid w:val="70FD1DE1"/>
    <w:rsid w:val="71455036"/>
    <w:rsid w:val="719B39DE"/>
    <w:rsid w:val="71B00C95"/>
    <w:rsid w:val="71D01DE7"/>
    <w:rsid w:val="71D02B0E"/>
    <w:rsid w:val="71F53DE8"/>
    <w:rsid w:val="721F426B"/>
    <w:rsid w:val="7297689D"/>
    <w:rsid w:val="730259B3"/>
    <w:rsid w:val="73067ABB"/>
    <w:rsid w:val="731A051A"/>
    <w:rsid w:val="732700A7"/>
    <w:rsid w:val="73931F86"/>
    <w:rsid w:val="73AE2E5A"/>
    <w:rsid w:val="73D31A37"/>
    <w:rsid w:val="74031E01"/>
    <w:rsid w:val="74436D11"/>
    <w:rsid w:val="74581C6C"/>
    <w:rsid w:val="746512EA"/>
    <w:rsid w:val="748229A3"/>
    <w:rsid w:val="748B4F00"/>
    <w:rsid w:val="74A915EF"/>
    <w:rsid w:val="75044A0C"/>
    <w:rsid w:val="7530756A"/>
    <w:rsid w:val="75874D67"/>
    <w:rsid w:val="75BC5658"/>
    <w:rsid w:val="75FF5149"/>
    <w:rsid w:val="76057FD9"/>
    <w:rsid w:val="762026D6"/>
    <w:rsid w:val="7632619F"/>
    <w:rsid w:val="763C0E5F"/>
    <w:rsid w:val="76400772"/>
    <w:rsid w:val="764C2401"/>
    <w:rsid w:val="76544FF6"/>
    <w:rsid w:val="76684AF6"/>
    <w:rsid w:val="768946C6"/>
    <w:rsid w:val="76E615AF"/>
    <w:rsid w:val="772A6DF0"/>
    <w:rsid w:val="774A2304"/>
    <w:rsid w:val="77767717"/>
    <w:rsid w:val="77871A41"/>
    <w:rsid w:val="77A333A9"/>
    <w:rsid w:val="78565FBB"/>
    <w:rsid w:val="785676DA"/>
    <w:rsid w:val="785F7E3C"/>
    <w:rsid w:val="786B6893"/>
    <w:rsid w:val="78BF6AF9"/>
    <w:rsid w:val="78DD187B"/>
    <w:rsid w:val="78EC37BE"/>
    <w:rsid w:val="792A3336"/>
    <w:rsid w:val="798A0849"/>
    <w:rsid w:val="79DC08AE"/>
    <w:rsid w:val="7A3858E9"/>
    <w:rsid w:val="7A461B46"/>
    <w:rsid w:val="7A475692"/>
    <w:rsid w:val="7A4A51A9"/>
    <w:rsid w:val="7AD8150F"/>
    <w:rsid w:val="7AE40596"/>
    <w:rsid w:val="7B0809EF"/>
    <w:rsid w:val="7B1B5C3E"/>
    <w:rsid w:val="7B4808E2"/>
    <w:rsid w:val="7B731048"/>
    <w:rsid w:val="7B7946F7"/>
    <w:rsid w:val="7B96204E"/>
    <w:rsid w:val="7BFA220D"/>
    <w:rsid w:val="7C483C5F"/>
    <w:rsid w:val="7CB84AD8"/>
    <w:rsid w:val="7D0D36C6"/>
    <w:rsid w:val="7D4D0D66"/>
    <w:rsid w:val="7D561847"/>
    <w:rsid w:val="7D953DFB"/>
    <w:rsid w:val="7D9808F9"/>
    <w:rsid w:val="7DA6324F"/>
    <w:rsid w:val="7DBC2B62"/>
    <w:rsid w:val="7DCB37AE"/>
    <w:rsid w:val="7DCB4CF3"/>
    <w:rsid w:val="7DF2424F"/>
    <w:rsid w:val="7E5228DC"/>
    <w:rsid w:val="7E6E6EB6"/>
    <w:rsid w:val="7ED6221C"/>
    <w:rsid w:val="7EE73E33"/>
    <w:rsid w:val="7F0F708E"/>
    <w:rsid w:val="7F257652"/>
    <w:rsid w:val="7F59776D"/>
    <w:rsid w:val="7F685844"/>
    <w:rsid w:val="7F6F48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602" w:firstLineChars="200"/>
      <w:jc w:val="both"/>
    </w:pPr>
    <w:rPr>
      <w:rFonts w:ascii="Times New Roman" w:hAnsi="Times New Roman" w:eastAsia="仿宋_GB2312" w:cstheme="minorBidi"/>
      <w:kern w:val="2"/>
      <w:sz w:val="24"/>
      <w:szCs w:val="24"/>
      <w:lang w:val="en-US" w:eastAsia="zh-CN" w:bidi="ar-SA"/>
    </w:rPr>
  </w:style>
  <w:style w:type="paragraph" w:styleId="2">
    <w:name w:val="heading 1"/>
    <w:basedOn w:val="1"/>
    <w:next w:val="1"/>
    <w:link w:val="37"/>
    <w:qFormat/>
    <w:uiPriority w:val="0"/>
    <w:pPr>
      <w:ind w:firstLine="0" w:firstLineChars="0"/>
      <w:jc w:val="center"/>
      <w:outlineLvl w:val="0"/>
    </w:pPr>
    <w:rPr>
      <w:rFonts w:cs="Times New Roman"/>
      <w:b/>
      <w:bCs/>
      <w:kern w:val="44"/>
      <w:sz w:val="32"/>
      <w:szCs w:val="32"/>
    </w:rPr>
  </w:style>
  <w:style w:type="paragraph" w:styleId="3">
    <w:name w:val="heading 2"/>
    <w:basedOn w:val="1"/>
    <w:next w:val="1"/>
    <w:unhideWhenUsed/>
    <w:qFormat/>
    <w:uiPriority w:val="0"/>
    <w:pPr>
      <w:keepNext/>
      <w:ind w:firstLine="0" w:firstLineChars="0"/>
      <w:jc w:val="left"/>
      <w:outlineLvl w:val="1"/>
    </w:pPr>
    <w:rPr>
      <w:rFonts w:cs="Times New Roman"/>
      <w:b/>
      <w:bCs/>
      <w:sz w:val="30"/>
      <w:szCs w:val="30"/>
    </w:rPr>
  </w:style>
  <w:style w:type="paragraph" w:styleId="4">
    <w:name w:val="heading 3"/>
    <w:basedOn w:val="1"/>
    <w:next w:val="1"/>
    <w:unhideWhenUsed/>
    <w:qFormat/>
    <w:uiPriority w:val="0"/>
    <w:pPr>
      <w:keepNext/>
      <w:ind w:firstLine="0" w:firstLineChars="0"/>
      <w:outlineLvl w:val="2"/>
    </w:pPr>
    <w:rPr>
      <w:rFonts w:cs="Times New Roman"/>
      <w:b/>
      <w:bCs/>
      <w:sz w:val="28"/>
      <w:szCs w:val="28"/>
    </w:rPr>
  </w:style>
  <w:style w:type="paragraph" w:styleId="5">
    <w:name w:val="heading 4"/>
    <w:basedOn w:val="1"/>
    <w:next w:val="1"/>
    <w:unhideWhenUsed/>
    <w:qFormat/>
    <w:uiPriority w:val="0"/>
    <w:pPr>
      <w:keepNext/>
      <w:spacing w:before="25" w:beforeLines="25"/>
      <w:ind w:firstLine="0" w:firstLineChars="0"/>
      <w:jc w:val="left"/>
      <w:outlineLvl w:val="3"/>
    </w:pPr>
    <w:rPr>
      <w:rFonts w:cstheme="majorBidi"/>
      <w:b/>
      <w:bCs/>
    </w:rPr>
  </w:style>
  <w:style w:type="paragraph" w:styleId="6">
    <w:name w:val="heading 5"/>
    <w:basedOn w:val="1"/>
    <w:next w:val="1"/>
    <w:unhideWhenUsed/>
    <w:qFormat/>
    <w:uiPriority w:val="0"/>
    <w:pPr>
      <w:keepNext/>
      <w:keepLines/>
      <w:spacing w:before="280" w:after="290" w:line="372" w:lineRule="auto"/>
      <w:outlineLvl w:val="4"/>
    </w:pPr>
    <w:rPr>
      <w:b/>
      <w:sz w:val="28"/>
    </w:rPr>
  </w:style>
  <w:style w:type="character" w:default="1" w:styleId="28">
    <w:name w:val="Default Paragraph Font"/>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7">
    <w:name w:val="Normal Indent"/>
    <w:basedOn w:val="1"/>
    <w:qFormat/>
    <w:uiPriority w:val="0"/>
    <w:pPr>
      <w:ind w:firstLine="420"/>
    </w:pPr>
    <w:rPr>
      <w:szCs w:val="21"/>
    </w:rPr>
  </w:style>
  <w:style w:type="paragraph" w:styleId="8">
    <w:name w:val="annotation text"/>
    <w:basedOn w:val="1"/>
    <w:link w:val="67"/>
    <w:qFormat/>
    <w:uiPriority w:val="99"/>
    <w:pPr>
      <w:jc w:val="left"/>
    </w:pPr>
  </w:style>
  <w:style w:type="paragraph" w:styleId="9">
    <w:name w:val="Body Text"/>
    <w:basedOn w:val="1"/>
    <w:qFormat/>
    <w:uiPriority w:val="1"/>
    <w:rPr>
      <w:rFonts w:ascii="宋体" w:hAnsi="宋体" w:eastAsia="宋体" w:cs="宋体"/>
      <w:lang w:val="zh-CN" w:bidi="zh-CN"/>
    </w:rPr>
  </w:style>
  <w:style w:type="paragraph" w:styleId="10">
    <w:name w:val="Body Text Indent"/>
    <w:basedOn w:val="1"/>
    <w:qFormat/>
    <w:uiPriority w:val="99"/>
    <w:pPr>
      <w:spacing w:after="120"/>
      <w:ind w:left="420" w:leftChars="200"/>
    </w:pPr>
    <w:rPr>
      <w:rFonts w:eastAsia="仿宋_GB2312"/>
      <w:kern w:val="0"/>
    </w:rPr>
  </w:style>
  <w:style w:type="paragraph" w:styleId="11">
    <w:name w:val="Plain Text"/>
    <w:basedOn w:val="1"/>
    <w:next w:val="12"/>
    <w:qFormat/>
    <w:uiPriority w:val="0"/>
    <w:rPr>
      <w:rFonts w:ascii="宋体" w:hAnsi="Courier New" w:cs="Courier New"/>
      <w:szCs w:val="21"/>
    </w:rPr>
  </w:style>
  <w:style w:type="paragraph" w:customStyle="1" w:styleId="12">
    <w:name w:val="表字"/>
    <w:basedOn w:val="1"/>
    <w:next w:val="13"/>
    <w:qFormat/>
    <w:uiPriority w:val="0"/>
    <w:pPr>
      <w:spacing w:line="340" w:lineRule="exact"/>
      <w:jc w:val="center"/>
    </w:pPr>
    <w:rPr>
      <w:sz w:val="21"/>
    </w:rPr>
  </w:style>
  <w:style w:type="paragraph" w:customStyle="1" w:styleId="13">
    <w:name w:val="表"/>
    <w:basedOn w:val="1"/>
    <w:next w:val="1"/>
    <w:qFormat/>
    <w:uiPriority w:val="0"/>
    <w:pPr>
      <w:spacing w:line="240" w:lineRule="auto"/>
      <w:ind w:firstLine="0" w:firstLineChars="0"/>
      <w:jc w:val="center"/>
    </w:pPr>
    <w:rPr>
      <w:sz w:val="21"/>
    </w:rPr>
  </w:style>
  <w:style w:type="paragraph" w:styleId="14">
    <w:name w:val="Date"/>
    <w:basedOn w:val="1"/>
    <w:next w:val="1"/>
    <w:link w:val="75"/>
    <w:qFormat/>
    <w:uiPriority w:val="0"/>
    <w:pPr>
      <w:ind w:left="100" w:leftChars="2500"/>
    </w:pPr>
  </w:style>
  <w:style w:type="paragraph" w:styleId="15">
    <w:name w:val="Body Text Indent 2"/>
    <w:basedOn w:val="1"/>
    <w:link w:val="36"/>
    <w:qFormat/>
    <w:uiPriority w:val="0"/>
    <w:pPr>
      <w:spacing w:after="120" w:line="480" w:lineRule="auto"/>
      <w:ind w:left="420" w:leftChars="200"/>
    </w:pPr>
  </w:style>
  <w:style w:type="paragraph" w:styleId="16">
    <w:name w:val="Balloon Text"/>
    <w:basedOn w:val="1"/>
    <w:link w:val="69"/>
    <w:qFormat/>
    <w:uiPriority w:val="0"/>
    <w:pPr>
      <w:spacing w:line="240" w:lineRule="auto"/>
    </w:pPr>
    <w:rPr>
      <w:sz w:val="18"/>
      <w:szCs w:val="18"/>
    </w:rPr>
  </w:style>
  <w:style w:type="paragraph" w:styleId="17">
    <w:name w:val="footer"/>
    <w:basedOn w:val="1"/>
    <w:link w:val="74"/>
    <w:unhideWhenUsed/>
    <w:qFormat/>
    <w:uiPriority w:val="99"/>
    <w:pPr>
      <w:tabs>
        <w:tab w:val="center" w:pos="4153"/>
        <w:tab w:val="right" w:pos="8306"/>
      </w:tabs>
      <w:spacing w:line="240" w:lineRule="auto"/>
      <w:ind w:firstLine="0" w:firstLineChars="0"/>
      <w:jc w:val="left"/>
    </w:pPr>
    <w:rPr>
      <w:rFonts w:eastAsia="黑体"/>
      <w:sz w:val="21"/>
      <w:szCs w:val="21"/>
    </w:rPr>
  </w:style>
  <w:style w:type="paragraph" w:styleId="18">
    <w:name w:val="header"/>
    <w:basedOn w:val="1"/>
    <w:unhideWhenUsed/>
    <w:qFormat/>
    <w:uiPriority w:val="99"/>
    <w:pPr>
      <w:pBdr>
        <w:bottom w:val="single" w:color="auto" w:sz="6" w:space="1"/>
      </w:pBdr>
      <w:tabs>
        <w:tab w:val="center" w:pos="4153"/>
        <w:tab w:val="right" w:pos="8306"/>
      </w:tabs>
      <w:spacing w:line="240" w:lineRule="auto"/>
      <w:ind w:firstLine="0" w:firstLineChars="0"/>
      <w:jc w:val="right"/>
    </w:pPr>
    <w:rPr>
      <w:rFonts w:eastAsia="黑体"/>
      <w:sz w:val="21"/>
      <w:szCs w:val="21"/>
    </w:rPr>
  </w:style>
  <w:style w:type="paragraph" w:styleId="19">
    <w:name w:val="toc 1"/>
    <w:basedOn w:val="1"/>
    <w:next w:val="1"/>
    <w:qFormat/>
    <w:uiPriority w:val="39"/>
    <w:pPr>
      <w:ind w:firstLine="0" w:firstLineChars="0"/>
    </w:pPr>
    <w:rPr>
      <w:b/>
      <w:sz w:val="28"/>
      <w:szCs w:val="28"/>
    </w:rPr>
  </w:style>
  <w:style w:type="paragraph" w:styleId="20">
    <w:name w:val="Subtitle"/>
    <w:basedOn w:val="1"/>
    <w:next w:val="1"/>
    <w:qFormat/>
    <w:uiPriority w:val="0"/>
    <w:pPr>
      <w:spacing w:before="20" w:after="20" w:line="312" w:lineRule="auto"/>
      <w:ind w:firstLine="0" w:firstLineChars="0"/>
      <w:jc w:val="center"/>
    </w:pPr>
    <w:rPr>
      <w:bCs/>
      <w:kern w:val="28"/>
      <w:sz w:val="18"/>
      <w:szCs w:val="32"/>
    </w:rPr>
  </w:style>
  <w:style w:type="paragraph" w:styleId="21">
    <w:name w:val="toc 2"/>
    <w:basedOn w:val="1"/>
    <w:next w:val="1"/>
    <w:qFormat/>
    <w:uiPriority w:val="39"/>
    <w:pPr>
      <w:ind w:left="420" w:leftChars="200" w:firstLine="0" w:firstLineChars="0"/>
    </w:pPr>
    <w:rPr>
      <w:sz w:val="28"/>
      <w:szCs w:val="28"/>
    </w:rPr>
  </w:style>
  <w:style w:type="paragraph" w:styleId="22">
    <w:name w:val="Body Text 2"/>
    <w:basedOn w:val="1"/>
    <w:qFormat/>
    <w:uiPriority w:val="0"/>
    <w:pPr>
      <w:spacing w:after="120" w:line="480" w:lineRule="auto"/>
    </w:pPr>
  </w:style>
  <w:style w:type="paragraph" w:styleId="23">
    <w:name w:val="Normal (Web)"/>
    <w:basedOn w:val="1"/>
    <w:qFormat/>
    <w:uiPriority w:val="0"/>
    <w:pPr>
      <w:spacing w:beforeAutospacing="1" w:afterAutospacing="1"/>
      <w:jc w:val="left"/>
    </w:pPr>
    <w:rPr>
      <w:rFonts w:cs="Times New Roman"/>
      <w:kern w:val="0"/>
    </w:rPr>
  </w:style>
  <w:style w:type="paragraph" w:styleId="24">
    <w:name w:val="annotation subject"/>
    <w:basedOn w:val="8"/>
    <w:next w:val="8"/>
    <w:link w:val="68"/>
    <w:qFormat/>
    <w:uiPriority w:val="0"/>
    <w:rPr>
      <w:b/>
      <w:bCs/>
    </w:rPr>
  </w:style>
  <w:style w:type="paragraph" w:styleId="25">
    <w:name w:val="Body Text First Indent 2"/>
    <w:basedOn w:val="10"/>
    <w:qFormat/>
    <w:uiPriority w:val="99"/>
    <w:pPr>
      <w:ind w:firstLine="420"/>
    </w:pPr>
    <w:rPr>
      <w:kern w:val="2"/>
      <w:lang w:val="en-US" w:eastAsia="zh-CN"/>
    </w:rPr>
  </w:style>
  <w:style w:type="table" w:styleId="27">
    <w:name w:val="Table Grid"/>
    <w:basedOn w:val="2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Emphasis"/>
    <w:basedOn w:val="28"/>
    <w:qFormat/>
    <w:uiPriority w:val="0"/>
    <w:rPr>
      <w:i/>
    </w:rPr>
  </w:style>
  <w:style w:type="character" w:styleId="30">
    <w:name w:val="Hyperlink"/>
    <w:basedOn w:val="28"/>
    <w:unhideWhenUsed/>
    <w:qFormat/>
    <w:uiPriority w:val="99"/>
    <w:rPr>
      <w:color w:val="0563C1" w:themeColor="hyperlink"/>
      <w:u w:val="single"/>
      <w14:textFill>
        <w14:solidFill>
          <w14:schemeClr w14:val="hlink"/>
        </w14:solidFill>
      </w14:textFill>
    </w:rPr>
  </w:style>
  <w:style w:type="character" w:styleId="31">
    <w:name w:val="annotation reference"/>
    <w:basedOn w:val="28"/>
    <w:qFormat/>
    <w:uiPriority w:val="0"/>
    <w:rPr>
      <w:sz w:val="21"/>
      <w:szCs w:val="21"/>
    </w:rPr>
  </w:style>
  <w:style w:type="paragraph" w:customStyle="1" w:styleId="32">
    <w:name w:val="1"/>
    <w:basedOn w:val="1"/>
    <w:next w:val="15"/>
    <w:qFormat/>
    <w:uiPriority w:val="0"/>
    <w:rPr>
      <w:rFonts w:hAnsi="宋体" w:eastAsia="华文中宋" w:cs="宋体"/>
    </w:rPr>
  </w:style>
  <w:style w:type="paragraph" w:customStyle="1" w:styleId="33">
    <w:name w:val="表格标题"/>
    <w:basedOn w:val="1"/>
    <w:next w:val="1"/>
    <w:link w:val="35"/>
    <w:qFormat/>
    <w:uiPriority w:val="0"/>
    <w:pPr>
      <w:keepNext/>
      <w:spacing w:line="240" w:lineRule="auto"/>
      <w:ind w:firstLine="0" w:firstLineChars="0"/>
      <w:jc w:val="left"/>
    </w:pPr>
    <w:rPr>
      <w:b/>
      <w:sz w:val="21"/>
    </w:rPr>
  </w:style>
  <w:style w:type="paragraph" w:customStyle="1" w:styleId="34">
    <w:name w:val="表格字体"/>
    <w:basedOn w:val="1"/>
    <w:qFormat/>
    <w:uiPriority w:val="0"/>
    <w:pPr>
      <w:spacing w:line="240" w:lineRule="auto"/>
      <w:ind w:firstLine="0" w:firstLineChars="0"/>
      <w:jc w:val="center"/>
    </w:pPr>
    <w:rPr>
      <w:sz w:val="18"/>
      <w:szCs w:val="21"/>
    </w:rPr>
  </w:style>
  <w:style w:type="character" w:customStyle="1" w:styleId="35">
    <w:name w:val="表格标题 Char"/>
    <w:link w:val="33"/>
    <w:qFormat/>
    <w:uiPriority w:val="0"/>
    <w:rPr>
      <w:rFonts w:ascii="Times New Roman" w:hAnsi="Times New Roman" w:eastAsia="仿宋_GB2312"/>
      <w:b/>
      <w:sz w:val="21"/>
    </w:rPr>
  </w:style>
  <w:style w:type="character" w:customStyle="1" w:styleId="36">
    <w:name w:val="正文文本缩进 2 字符"/>
    <w:link w:val="15"/>
    <w:qFormat/>
    <w:uiPriority w:val="0"/>
  </w:style>
  <w:style w:type="character" w:customStyle="1" w:styleId="37">
    <w:name w:val="标题 1 字符"/>
    <w:link w:val="2"/>
    <w:qFormat/>
    <w:uiPriority w:val="0"/>
    <w:rPr>
      <w:rFonts w:ascii="Times New Roman" w:hAnsi="Times New Roman" w:eastAsia="仿宋_GB2312" w:cs="Times New Roman"/>
      <w:b/>
      <w:bCs/>
      <w:kern w:val="44"/>
      <w:sz w:val="32"/>
      <w:szCs w:val="32"/>
    </w:rPr>
  </w:style>
  <w:style w:type="paragraph" w:customStyle="1" w:styleId="38">
    <w:name w:val="表格文字"/>
    <w:basedOn w:val="22"/>
    <w:next w:val="1"/>
    <w:qFormat/>
    <w:uiPriority w:val="0"/>
    <w:pPr>
      <w:spacing w:line="240" w:lineRule="auto"/>
      <w:ind w:firstLine="0" w:firstLineChars="0"/>
      <w:jc w:val="center"/>
    </w:pPr>
    <w:rPr>
      <w:sz w:val="18"/>
      <w:szCs w:val="18"/>
    </w:rPr>
  </w:style>
  <w:style w:type="paragraph" w:customStyle="1" w:styleId="39">
    <w:name w:val="列表项目编号"/>
    <w:basedOn w:val="40"/>
    <w:qFormat/>
    <w:uiPriority w:val="0"/>
    <w:pPr>
      <w:spacing w:line="360" w:lineRule="auto"/>
      <w:ind w:firstLine="0" w:firstLineChars="0"/>
    </w:pPr>
    <w:rPr>
      <w:kern w:val="0"/>
      <w:sz w:val="28"/>
      <w:szCs w:val="28"/>
    </w:rPr>
  </w:style>
  <w:style w:type="paragraph" w:customStyle="1" w:styleId="40">
    <w:name w:val="样式2"/>
    <w:basedOn w:val="1"/>
    <w:qFormat/>
    <w:uiPriority w:val="0"/>
    <w:pPr>
      <w:spacing w:line="440" w:lineRule="exact"/>
      <w:ind w:firstLine="480"/>
    </w:pPr>
    <w:rPr>
      <w:szCs w:val="20"/>
    </w:rPr>
  </w:style>
  <w:style w:type="paragraph" w:styleId="41">
    <w:name w:val="List Paragraph"/>
    <w:basedOn w:val="1"/>
    <w:qFormat/>
    <w:uiPriority w:val="1"/>
    <w:pPr>
      <w:ind w:left="2018" w:hanging="2018"/>
    </w:pPr>
    <w:rPr>
      <w:rFonts w:ascii="宋体" w:hAnsi="宋体" w:eastAsia="宋体" w:cs="宋体"/>
      <w:lang w:val="zh-CN" w:bidi="zh-CN"/>
    </w:rPr>
  </w:style>
  <w:style w:type="paragraph" w:customStyle="1" w:styleId="42">
    <w:name w:val="Table Paragraph"/>
    <w:basedOn w:val="1"/>
    <w:qFormat/>
    <w:uiPriority w:val="1"/>
    <w:rPr>
      <w:rFonts w:ascii="宋体" w:hAnsi="宋体" w:eastAsia="宋体" w:cs="宋体"/>
      <w:lang w:val="zh-CN" w:bidi="zh-CN"/>
    </w:rPr>
  </w:style>
  <w:style w:type="character" w:customStyle="1" w:styleId="43">
    <w:name w:val="font11"/>
    <w:basedOn w:val="28"/>
    <w:qFormat/>
    <w:uiPriority w:val="0"/>
    <w:rPr>
      <w:rFonts w:hint="eastAsia" w:ascii="仿宋_GB2312" w:eastAsia="仿宋_GB2312" w:cs="仿宋_GB2312"/>
      <w:color w:val="000000"/>
      <w:sz w:val="21"/>
      <w:szCs w:val="21"/>
      <w:u w:val="none"/>
      <w:vertAlign w:val="superscript"/>
    </w:rPr>
  </w:style>
  <w:style w:type="character" w:customStyle="1" w:styleId="44">
    <w:name w:val="font31"/>
    <w:basedOn w:val="28"/>
    <w:qFormat/>
    <w:uiPriority w:val="0"/>
    <w:rPr>
      <w:rFonts w:ascii="仿宋_GB2312" w:eastAsia="仿宋_GB2312" w:cs="仿宋_GB2312"/>
      <w:color w:val="000000"/>
      <w:sz w:val="21"/>
      <w:szCs w:val="21"/>
      <w:u w:val="none"/>
    </w:rPr>
  </w:style>
  <w:style w:type="character" w:customStyle="1" w:styleId="45">
    <w:name w:val="font21"/>
    <w:basedOn w:val="28"/>
    <w:qFormat/>
    <w:uiPriority w:val="0"/>
    <w:rPr>
      <w:rFonts w:hint="default" w:ascii="Times New Roman" w:hAnsi="Times New Roman" w:cs="Times New Roman"/>
      <w:color w:val="000000"/>
      <w:sz w:val="21"/>
      <w:szCs w:val="21"/>
      <w:u w:val="none"/>
      <w:vertAlign w:val="superscript"/>
    </w:rPr>
  </w:style>
  <w:style w:type="character" w:customStyle="1" w:styleId="46">
    <w:name w:val="font41"/>
    <w:basedOn w:val="28"/>
    <w:qFormat/>
    <w:uiPriority w:val="0"/>
    <w:rPr>
      <w:rFonts w:hint="default" w:ascii="Times New Roman" w:hAnsi="Times New Roman" w:cs="Times New Roman"/>
      <w:color w:val="000000"/>
      <w:sz w:val="21"/>
      <w:szCs w:val="21"/>
      <w:u w:val="none"/>
    </w:rPr>
  </w:style>
  <w:style w:type="paragraph" w:customStyle="1" w:styleId="47">
    <w:name w:val="图表标题"/>
    <w:basedOn w:val="38"/>
    <w:next w:val="48"/>
    <w:qFormat/>
    <w:uiPriority w:val="0"/>
    <w:pPr>
      <w:spacing w:line="360" w:lineRule="auto"/>
      <w:outlineLvl w:val="4"/>
    </w:pPr>
    <w:rPr>
      <w:b/>
      <w:sz w:val="21"/>
    </w:rPr>
  </w:style>
  <w:style w:type="paragraph" w:customStyle="1" w:styleId="48">
    <w:name w:val="表头"/>
    <w:basedOn w:val="1"/>
    <w:next w:val="1"/>
    <w:qFormat/>
    <w:uiPriority w:val="0"/>
    <w:pPr>
      <w:jc w:val="center"/>
    </w:pPr>
    <w:rPr>
      <w:b/>
    </w:rPr>
  </w:style>
  <w:style w:type="character" w:customStyle="1" w:styleId="49">
    <w:name w:val="font71"/>
    <w:basedOn w:val="28"/>
    <w:qFormat/>
    <w:uiPriority w:val="0"/>
    <w:rPr>
      <w:rFonts w:hint="default" w:ascii="Times New Roman" w:hAnsi="Times New Roman" w:cs="Times New Roman"/>
      <w:color w:val="000000"/>
      <w:sz w:val="18"/>
      <w:szCs w:val="18"/>
      <w:u w:val="none"/>
      <w:vertAlign w:val="subscript"/>
    </w:rPr>
  </w:style>
  <w:style w:type="character" w:customStyle="1" w:styleId="50">
    <w:name w:val="font61"/>
    <w:basedOn w:val="28"/>
    <w:qFormat/>
    <w:uiPriority w:val="0"/>
    <w:rPr>
      <w:rFonts w:hint="eastAsia" w:ascii="仿宋_GB2312" w:eastAsia="仿宋_GB2312" w:cs="仿宋_GB2312"/>
      <w:color w:val="000000"/>
      <w:sz w:val="18"/>
      <w:szCs w:val="18"/>
      <w:u w:val="none"/>
      <w:vertAlign w:val="superscript"/>
    </w:rPr>
  </w:style>
  <w:style w:type="paragraph" w:customStyle="1" w:styleId="51">
    <w:name w:val="Default"/>
    <w:unhideWhenUsed/>
    <w:qFormat/>
    <w:uiPriority w:val="99"/>
    <w:pPr>
      <w:widowControl w:val="0"/>
      <w:autoSpaceDE w:val="0"/>
      <w:autoSpaceDN w:val="0"/>
      <w:adjustRightInd w:val="0"/>
    </w:pPr>
    <w:rPr>
      <w:rFonts w:ascii="宋体" w:hAnsi="宋体" w:eastAsia="宋体" w:cstheme="minorBidi"/>
      <w:color w:val="000000"/>
      <w:sz w:val="24"/>
      <w:lang w:val="en-US" w:eastAsia="zh-CN" w:bidi="ar-SA"/>
    </w:rPr>
  </w:style>
  <w:style w:type="character" w:customStyle="1" w:styleId="52">
    <w:name w:val="font01"/>
    <w:basedOn w:val="28"/>
    <w:qFormat/>
    <w:uiPriority w:val="0"/>
    <w:rPr>
      <w:rFonts w:ascii="仿宋_GB2312" w:eastAsia="仿宋_GB2312" w:cs="仿宋_GB2312"/>
      <w:color w:val="000000"/>
      <w:sz w:val="18"/>
      <w:szCs w:val="18"/>
      <w:u w:val="none"/>
    </w:rPr>
  </w:style>
  <w:style w:type="character" w:customStyle="1" w:styleId="53">
    <w:name w:val="font51"/>
    <w:basedOn w:val="28"/>
    <w:qFormat/>
    <w:uiPriority w:val="0"/>
    <w:rPr>
      <w:rFonts w:ascii="仿宋_GB2312" w:eastAsia="仿宋_GB2312" w:cs="仿宋_GB2312"/>
      <w:color w:val="000000"/>
      <w:sz w:val="21"/>
      <w:szCs w:val="21"/>
      <w:u w:val="none"/>
    </w:rPr>
  </w:style>
  <w:style w:type="character" w:customStyle="1" w:styleId="54">
    <w:name w:val="font91"/>
    <w:basedOn w:val="28"/>
    <w:qFormat/>
    <w:uiPriority w:val="0"/>
    <w:rPr>
      <w:rFonts w:hint="default" w:ascii="Times New Roman" w:hAnsi="Times New Roman" w:cs="Times New Roman"/>
      <w:color w:val="000000"/>
      <w:sz w:val="21"/>
      <w:szCs w:val="21"/>
      <w:u w:val="none"/>
      <w:vertAlign w:val="superscript"/>
    </w:rPr>
  </w:style>
  <w:style w:type="character" w:customStyle="1" w:styleId="55">
    <w:name w:val="font81"/>
    <w:basedOn w:val="28"/>
    <w:qFormat/>
    <w:uiPriority w:val="0"/>
    <w:rPr>
      <w:rFonts w:hint="default" w:ascii="Times New Roman" w:hAnsi="Times New Roman" w:cs="Times New Roman"/>
      <w:color w:val="000000"/>
      <w:sz w:val="18"/>
      <w:szCs w:val="18"/>
      <w:u w:val="none"/>
      <w:vertAlign w:val="subscript"/>
    </w:rPr>
  </w:style>
  <w:style w:type="paragraph" w:customStyle="1" w:styleId="56">
    <w:name w:val="图表名"/>
    <w:basedOn w:val="1"/>
    <w:qFormat/>
    <w:uiPriority w:val="0"/>
    <w:pPr>
      <w:jc w:val="center"/>
    </w:pPr>
    <w:rPr>
      <w:b/>
      <w:sz w:val="21"/>
    </w:rPr>
  </w:style>
  <w:style w:type="paragraph" w:customStyle="1" w:styleId="57">
    <w:name w:val="表格内容"/>
    <w:basedOn w:val="58"/>
    <w:qFormat/>
    <w:uiPriority w:val="0"/>
    <w:pPr>
      <w:spacing w:line="360" w:lineRule="auto"/>
      <w:ind w:left="0" w:leftChars="0" w:right="0" w:rightChars="0" w:firstLine="0" w:firstLineChars="0"/>
    </w:pPr>
    <w:rPr>
      <w:rFonts w:eastAsia="仿宋_GB2312"/>
      <w:color w:val="000000"/>
      <w:sz w:val="18"/>
    </w:rPr>
  </w:style>
  <w:style w:type="paragraph" w:customStyle="1" w:styleId="58">
    <w:name w:val="样式7"/>
    <w:basedOn w:val="1"/>
    <w:qFormat/>
    <w:uiPriority w:val="0"/>
    <w:pPr>
      <w:spacing w:line="300" w:lineRule="exact"/>
      <w:ind w:left="-50" w:leftChars="-50" w:right="-50" w:rightChars="-50"/>
      <w:jc w:val="center"/>
    </w:pPr>
    <w:rPr>
      <w:rFonts w:eastAsia="华文中宋"/>
      <w:sz w:val="21"/>
    </w:rPr>
  </w:style>
  <w:style w:type="table" w:customStyle="1" w:styleId="59">
    <w:name w:val="水保正式表格"/>
    <w:basedOn w:val="26"/>
    <w:qFormat/>
    <w:uiPriority w:val="0"/>
    <w:pPr>
      <w:adjustRightInd w:val="0"/>
      <w:snapToGrid w:val="0"/>
      <w:spacing w:before="40" w:after="40"/>
      <w:jc w:val="center"/>
    </w:pPr>
    <w:rPr>
      <w:sz w:val="18"/>
    </w:rPr>
    <w:tblPr>
      <w:jc w:val="center"/>
      <w:tblBorders>
        <w:top w:val="single" w:color="auto" w:sz="12" w:space="0"/>
        <w:bottom w:val="single" w:color="auto" w:sz="12" w:space="0"/>
        <w:insideH w:val="single" w:color="auto" w:sz="4" w:space="0"/>
        <w:insideV w:val="single" w:color="auto" w:sz="4" w:space="0"/>
      </w:tblBorders>
    </w:tblPr>
    <w:trPr>
      <w:jc w:val="center"/>
    </w:trPr>
    <w:tcPr>
      <w:tcMar>
        <w:left w:w="28" w:type="dxa"/>
        <w:right w:w="28" w:type="dxa"/>
      </w:tcMar>
      <w:vAlign w:val="center"/>
    </w:tcPr>
  </w:style>
  <w:style w:type="paragraph" w:customStyle="1" w:styleId="60">
    <w:name w:val="文本"/>
    <w:basedOn w:val="61"/>
    <w:qFormat/>
    <w:uiPriority w:val="0"/>
    <w:pPr>
      <w:ind w:firstLine="200"/>
    </w:pPr>
    <w:rPr>
      <w:rFonts w:eastAsia="仿宋_GB2312"/>
      <w:color w:val="000000"/>
      <w:kern w:val="0"/>
    </w:rPr>
  </w:style>
  <w:style w:type="paragraph" w:customStyle="1" w:styleId="61">
    <w:name w:val="样式4"/>
    <w:basedOn w:val="7"/>
    <w:qFormat/>
    <w:uiPriority w:val="0"/>
    <w:pPr>
      <w:ind w:firstLine="480"/>
    </w:pPr>
    <w:rPr>
      <w:rFonts w:eastAsia="华文中宋"/>
      <w:szCs w:val="24"/>
    </w:rPr>
  </w:style>
  <w:style w:type="paragraph" w:customStyle="1" w:styleId="62">
    <w:name w:val="无间隔1"/>
    <w:next w:val="1"/>
    <w:qFormat/>
    <w:uiPriority w:val="0"/>
    <w:pPr>
      <w:adjustRightInd w:val="0"/>
      <w:snapToGrid w:val="0"/>
      <w:ind w:left="-30" w:leftChars="-30" w:right="-30" w:rightChars="-30"/>
      <w:jc w:val="center"/>
    </w:pPr>
    <w:rPr>
      <w:rFonts w:ascii="Times New Roman" w:hAnsi="Times New Roman" w:eastAsia="仿宋_GB2312" w:cs="Times New Roman"/>
      <w:snapToGrid w:val="0"/>
      <w:sz w:val="18"/>
      <w:szCs w:val="24"/>
      <w:lang w:val="en-US" w:eastAsia="zh-CN" w:bidi="ar-SA"/>
    </w:rPr>
  </w:style>
  <w:style w:type="table" w:customStyle="1" w:styleId="63">
    <w:name w:val="样式3"/>
    <w:basedOn w:val="26"/>
    <w:qFormat/>
    <w:uiPriority w:val="99"/>
    <w:pPr>
      <w:jc w:val="center"/>
    </w:pPr>
    <w:rPr>
      <w:rFonts w:eastAsia="仿宋_GB2312"/>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vAlign w:val="center"/>
    </w:tcPr>
  </w:style>
  <w:style w:type="paragraph" w:styleId="64">
    <w:name w:val="No Spacing"/>
    <w:qFormat/>
    <w:uiPriority w:val="1"/>
    <w:pPr>
      <w:widowControl w:val="0"/>
      <w:spacing w:line="360" w:lineRule="auto"/>
      <w:jc w:val="both"/>
    </w:pPr>
    <w:rPr>
      <w:rFonts w:ascii="Calibri" w:hAnsi="Calibri" w:eastAsia="宋体" w:cs="Times New Roman"/>
      <w:kern w:val="2"/>
      <w:sz w:val="21"/>
      <w:szCs w:val="22"/>
      <w:lang w:val="en-US" w:eastAsia="zh-CN" w:bidi="ar-SA"/>
    </w:rPr>
  </w:style>
  <w:style w:type="paragraph" w:customStyle="1" w:styleId="65">
    <w:name w:val="表内容"/>
    <w:basedOn w:val="1"/>
    <w:qFormat/>
    <w:uiPriority w:val="0"/>
    <w:pPr>
      <w:widowControl/>
      <w:adjustRightInd/>
      <w:spacing w:line="240" w:lineRule="auto"/>
      <w:ind w:firstLine="0" w:firstLineChars="0"/>
      <w:jc w:val="center"/>
    </w:pPr>
    <w:rPr>
      <w:rFonts w:eastAsia="宋体"/>
      <w:snapToGrid w:val="0"/>
      <w:color w:val="000000"/>
      <w:sz w:val="18"/>
      <w:szCs w:val="18"/>
    </w:rPr>
  </w:style>
  <w:style w:type="paragraph" w:customStyle="1" w:styleId="66">
    <w:name w:val="正文-欣欣"/>
    <w:basedOn w:val="1"/>
    <w:qFormat/>
    <w:uiPriority w:val="0"/>
    <w:pPr>
      <w:ind w:firstLine="200"/>
    </w:pPr>
    <w:rPr>
      <w:szCs w:val="30"/>
    </w:rPr>
  </w:style>
  <w:style w:type="character" w:customStyle="1" w:styleId="67">
    <w:name w:val="批注文字 字符"/>
    <w:basedOn w:val="28"/>
    <w:link w:val="8"/>
    <w:qFormat/>
    <w:uiPriority w:val="99"/>
    <w:rPr>
      <w:rFonts w:eastAsia="仿宋_GB2312" w:cstheme="minorBidi"/>
      <w:kern w:val="2"/>
      <w:sz w:val="24"/>
      <w:szCs w:val="24"/>
    </w:rPr>
  </w:style>
  <w:style w:type="character" w:customStyle="1" w:styleId="68">
    <w:name w:val="批注主题 字符"/>
    <w:basedOn w:val="67"/>
    <w:link w:val="24"/>
    <w:qFormat/>
    <w:uiPriority w:val="0"/>
    <w:rPr>
      <w:rFonts w:eastAsia="仿宋_GB2312" w:cstheme="minorBidi"/>
      <w:b/>
      <w:bCs/>
      <w:kern w:val="2"/>
      <w:sz w:val="24"/>
      <w:szCs w:val="24"/>
    </w:rPr>
  </w:style>
  <w:style w:type="character" w:customStyle="1" w:styleId="69">
    <w:name w:val="批注框文本 字符"/>
    <w:basedOn w:val="28"/>
    <w:link w:val="16"/>
    <w:qFormat/>
    <w:uiPriority w:val="0"/>
    <w:rPr>
      <w:rFonts w:eastAsia="仿宋_GB2312" w:cstheme="minorBidi"/>
      <w:kern w:val="2"/>
      <w:sz w:val="18"/>
      <w:szCs w:val="18"/>
    </w:rPr>
  </w:style>
  <w:style w:type="table" w:customStyle="1" w:styleId="70">
    <w:name w:val="Table Normal3"/>
    <w:semiHidden/>
    <w:unhideWhenUsed/>
    <w:qFormat/>
    <w:uiPriority w:val="0"/>
    <w:rPr>
      <w:rFonts w:ascii="Arial" w:hAnsi="Arial" w:cs="Arial"/>
      <w:snapToGrid w:val="0"/>
      <w:color w:val="000000"/>
      <w:sz w:val="21"/>
      <w:szCs w:val="21"/>
    </w:rPr>
    <w:tblPr>
      <w:tblCellMar>
        <w:top w:w="0" w:type="dxa"/>
        <w:left w:w="0" w:type="dxa"/>
        <w:bottom w:w="0" w:type="dxa"/>
        <w:right w:w="0" w:type="dxa"/>
      </w:tblCellMar>
    </w:tblPr>
  </w:style>
  <w:style w:type="table" w:customStyle="1" w:styleId="71">
    <w:name w:val="Table Normal9"/>
    <w:semiHidden/>
    <w:unhideWhenUsed/>
    <w:qFormat/>
    <w:uiPriority w:val="0"/>
    <w:rPr>
      <w:rFonts w:ascii="Arial" w:hAnsi="Arial" w:cs="Arial"/>
      <w:snapToGrid w:val="0"/>
      <w:color w:val="000000"/>
      <w:sz w:val="21"/>
      <w:szCs w:val="21"/>
    </w:rPr>
    <w:tblPr>
      <w:tblCellMar>
        <w:top w:w="0" w:type="dxa"/>
        <w:left w:w="0" w:type="dxa"/>
        <w:bottom w:w="0" w:type="dxa"/>
        <w:right w:w="0" w:type="dxa"/>
      </w:tblCellMar>
    </w:tblPr>
  </w:style>
  <w:style w:type="table" w:customStyle="1" w:styleId="72">
    <w:name w:val="Table Normal10"/>
    <w:semiHidden/>
    <w:unhideWhenUsed/>
    <w:qFormat/>
    <w:uiPriority w:val="0"/>
    <w:rPr>
      <w:rFonts w:ascii="Arial" w:hAnsi="Arial" w:cs="Arial"/>
      <w:snapToGrid w:val="0"/>
      <w:color w:val="000000"/>
      <w:sz w:val="21"/>
      <w:szCs w:val="21"/>
    </w:rPr>
    <w:tblPr>
      <w:tblCellMar>
        <w:top w:w="0" w:type="dxa"/>
        <w:left w:w="0" w:type="dxa"/>
        <w:bottom w:w="0" w:type="dxa"/>
        <w:right w:w="0" w:type="dxa"/>
      </w:tblCellMar>
    </w:tblPr>
  </w:style>
  <w:style w:type="table" w:customStyle="1" w:styleId="73">
    <w:name w:val="Table Normal11"/>
    <w:semiHidden/>
    <w:unhideWhenUsed/>
    <w:qFormat/>
    <w:uiPriority w:val="0"/>
    <w:rPr>
      <w:rFonts w:ascii="Arial" w:hAnsi="Arial" w:cs="Arial"/>
      <w:snapToGrid w:val="0"/>
      <w:color w:val="000000"/>
      <w:sz w:val="21"/>
      <w:szCs w:val="21"/>
    </w:rPr>
    <w:tblPr>
      <w:tblCellMar>
        <w:top w:w="0" w:type="dxa"/>
        <w:left w:w="0" w:type="dxa"/>
        <w:bottom w:w="0" w:type="dxa"/>
        <w:right w:w="0" w:type="dxa"/>
      </w:tblCellMar>
    </w:tblPr>
  </w:style>
  <w:style w:type="character" w:customStyle="1" w:styleId="74">
    <w:name w:val="页脚 字符"/>
    <w:basedOn w:val="28"/>
    <w:link w:val="17"/>
    <w:qFormat/>
    <w:uiPriority w:val="99"/>
    <w:rPr>
      <w:rFonts w:eastAsia="黑体" w:cstheme="minorBidi"/>
      <w:kern w:val="2"/>
      <w:sz w:val="21"/>
      <w:szCs w:val="21"/>
    </w:rPr>
  </w:style>
  <w:style w:type="character" w:customStyle="1" w:styleId="75">
    <w:name w:val="日期 字符"/>
    <w:basedOn w:val="28"/>
    <w:link w:val="14"/>
    <w:qFormat/>
    <w:uiPriority w:val="0"/>
    <w:rPr>
      <w:rFonts w:eastAsia="仿宋_GB2312" w:cstheme="minorBidi"/>
      <w:kern w:val="2"/>
      <w:sz w:val="24"/>
      <w:szCs w:val="24"/>
    </w:rPr>
  </w:style>
  <w:style w:type="table" w:customStyle="1" w:styleId="76">
    <w:name w:val="Table Normal"/>
    <w:semiHidden/>
    <w:unhideWhenUsed/>
    <w:qFormat/>
    <w:uiPriority w:val="0"/>
    <w:tblPr>
      <w:tblCellMar>
        <w:top w:w="0" w:type="dxa"/>
        <w:left w:w="0" w:type="dxa"/>
        <w:bottom w:w="0" w:type="dxa"/>
        <w:right w:w="0" w:type="dxa"/>
      </w:tblCellMar>
    </w:tblPr>
  </w:style>
  <w:style w:type="paragraph" w:customStyle="1" w:styleId="77">
    <w:name w:val="Table Text"/>
    <w:basedOn w:val="1"/>
    <w:semiHidden/>
    <w:qFormat/>
    <w:uiPriority w:val="0"/>
    <w:rPr>
      <w:rFonts w:ascii="宋体" w:hAnsi="宋体" w:eastAsia="宋体" w:cs="宋体"/>
      <w:sz w:val="28"/>
      <w:szCs w:val="28"/>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6" Type="http://schemas.openxmlformats.org/officeDocument/2006/relationships/fontTable" Target="fontTable.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37.png"/><Relationship Id="rId72" Type="http://schemas.openxmlformats.org/officeDocument/2006/relationships/image" Target="media/image36.png"/><Relationship Id="rId71" Type="http://schemas.openxmlformats.org/officeDocument/2006/relationships/image" Target="media/image35.png"/><Relationship Id="rId70" Type="http://schemas.openxmlformats.org/officeDocument/2006/relationships/image" Target="media/image34.wmf"/><Relationship Id="rId7" Type="http://schemas.openxmlformats.org/officeDocument/2006/relationships/header" Target="header3.xml"/><Relationship Id="rId69" Type="http://schemas.openxmlformats.org/officeDocument/2006/relationships/oleObject" Target="embeddings/oleObject5.bin"/><Relationship Id="rId68" Type="http://schemas.openxmlformats.org/officeDocument/2006/relationships/image" Target="media/image33.wmf"/><Relationship Id="rId67" Type="http://schemas.openxmlformats.org/officeDocument/2006/relationships/oleObject" Target="embeddings/oleObject4.bin"/><Relationship Id="rId66" Type="http://schemas.openxmlformats.org/officeDocument/2006/relationships/image" Target="media/image32.wmf"/><Relationship Id="rId65" Type="http://schemas.openxmlformats.org/officeDocument/2006/relationships/oleObject" Target="embeddings/oleObject3.bin"/><Relationship Id="rId64" Type="http://schemas.openxmlformats.org/officeDocument/2006/relationships/image" Target="media/image31.wmf"/><Relationship Id="rId63" Type="http://schemas.openxmlformats.org/officeDocument/2006/relationships/oleObject" Target="embeddings/oleObject2.bin"/><Relationship Id="rId62" Type="http://schemas.openxmlformats.org/officeDocument/2006/relationships/image" Target="media/image30.wmf"/><Relationship Id="rId61" Type="http://schemas.openxmlformats.org/officeDocument/2006/relationships/oleObject" Target="embeddings/oleObject1.bin"/><Relationship Id="rId60" Type="http://schemas.openxmlformats.org/officeDocument/2006/relationships/image" Target="media/image29.png"/><Relationship Id="rId6" Type="http://schemas.openxmlformats.org/officeDocument/2006/relationships/header" Target="header2.xml"/><Relationship Id="rId59" Type="http://schemas.openxmlformats.org/officeDocument/2006/relationships/image" Target="media/image28.png"/><Relationship Id="rId58" Type="http://schemas.openxmlformats.org/officeDocument/2006/relationships/image" Target="media/image27.png"/><Relationship Id="rId57" Type="http://schemas.openxmlformats.org/officeDocument/2006/relationships/image" Target="media/image26.png"/><Relationship Id="rId56" Type="http://schemas.openxmlformats.org/officeDocument/2006/relationships/image" Target="media/image25.png"/><Relationship Id="rId55" Type="http://schemas.openxmlformats.org/officeDocument/2006/relationships/image" Target="media/image24.png"/><Relationship Id="rId54" Type="http://schemas.openxmlformats.org/officeDocument/2006/relationships/image" Target="media/image23.png"/><Relationship Id="rId53" Type="http://schemas.openxmlformats.org/officeDocument/2006/relationships/image" Target="media/image22.png"/><Relationship Id="rId52" Type="http://schemas.openxmlformats.org/officeDocument/2006/relationships/image" Target="media/image21.png"/><Relationship Id="rId51" Type="http://schemas.openxmlformats.org/officeDocument/2006/relationships/image" Target="media/image20.png"/><Relationship Id="rId50" Type="http://schemas.openxmlformats.org/officeDocument/2006/relationships/image" Target="media/image19.png"/><Relationship Id="rId5" Type="http://schemas.openxmlformats.org/officeDocument/2006/relationships/header" Target="header1.xml"/><Relationship Id="rId49" Type="http://schemas.openxmlformats.org/officeDocument/2006/relationships/image" Target="media/image18.png"/><Relationship Id="rId48" Type="http://schemas.openxmlformats.org/officeDocument/2006/relationships/image" Target="media/image17.png"/><Relationship Id="rId47" Type="http://schemas.openxmlformats.org/officeDocument/2006/relationships/image" Target="media/image16.jpeg"/><Relationship Id="rId46" Type="http://schemas.openxmlformats.org/officeDocument/2006/relationships/image" Target="media/image15.png"/><Relationship Id="rId45" Type="http://schemas.openxmlformats.org/officeDocument/2006/relationships/image" Target="media/image14.png"/><Relationship Id="rId44" Type="http://schemas.openxmlformats.org/officeDocument/2006/relationships/image" Target="media/image13.jpeg"/><Relationship Id="rId43" Type="http://schemas.openxmlformats.org/officeDocument/2006/relationships/image" Target="media/image12.png"/><Relationship Id="rId42" Type="http://schemas.openxmlformats.org/officeDocument/2006/relationships/image" Target="media/image11.png"/><Relationship Id="rId41" Type="http://schemas.openxmlformats.org/officeDocument/2006/relationships/image" Target="media/image10.png"/><Relationship Id="rId40" Type="http://schemas.openxmlformats.org/officeDocument/2006/relationships/image" Target="media/image9.png"/><Relationship Id="rId4" Type="http://schemas.openxmlformats.org/officeDocument/2006/relationships/endnotes" Target="endnotes.xml"/><Relationship Id="rId39" Type="http://schemas.openxmlformats.org/officeDocument/2006/relationships/image" Target="media/image8.png"/><Relationship Id="rId38" Type="http://schemas.openxmlformats.org/officeDocument/2006/relationships/image" Target="media/image7.png"/><Relationship Id="rId37" Type="http://schemas.openxmlformats.org/officeDocument/2006/relationships/image" Target="media/image6.png"/><Relationship Id="rId36" Type="http://schemas.openxmlformats.org/officeDocument/2006/relationships/image" Target="media/image5.png"/><Relationship Id="rId35" Type="http://schemas.openxmlformats.org/officeDocument/2006/relationships/image" Target="media/image4.png"/><Relationship Id="rId34" Type="http://schemas.openxmlformats.org/officeDocument/2006/relationships/image" Target="media/image3.png"/><Relationship Id="rId33" Type="http://schemas.openxmlformats.org/officeDocument/2006/relationships/image" Target="media/image2.png"/><Relationship Id="rId32" Type="http://schemas.openxmlformats.org/officeDocument/2006/relationships/image" Target="media/image1.png"/><Relationship Id="rId31" Type="http://schemas.openxmlformats.org/officeDocument/2006/relationships/theme" Target="theme/theme1.xml"/><Relationship Id="rId30" Type="http://schemas.openxmlformats.org/officeDocument/2006/relationships/header" Target="header17.xml"/><Relationship Id="rId3" Type="http://schemas.openxmlformats.org/officeDocument/2006/relationships/footnotes" Target="footnotes.xml"/><Relationship Id="rId29" Type="http://schemas.openxmlformats.org/officeDocument/2006/relationships/header" Target="header16.xml"/><Relationship Id="rId28" Type="http://schemas.openxmlformats.org/officeDocument/2006/relationships/header" Target="header15.xml"/><Relationship Id="rId27" Type="http://schemas.openxmlformats.org/officeDocument/2006/relationships/header" Target="header14.xml"/><Relationship Id="rId26" Type="http://schemas.openxmlformats.org/officeDocument/2006/relationships/header" Target="header13.xml"/><Relationship Id="rId25" Type="http://schemas.openxmlformats.org/officeDocument/2006/relationships/header" Target="header12.xml"/><Relationship Id="rId24" Type="http://schemas.openxmlformats.org/officeDocument/2006/relationships/header" Target="header11.xml"/><Relationship Id="rId23" Type="http://schemas.openxmlformats.org/officeDocument/2006/relationships/header" Target="header10.xml"/><Relationship Id="rId22" Type="http://schemas.openxmlformats.org/officeDocument/2006/relationships/header" Target="header9.xml"/><Relationship Id="rId21" Type="http://schemas.openxmlformats.org/officeDocument/2006/relationships/header" Target="header8.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header" Target="header6.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header" Target="header5.xml"/><Relationship Id="rId15" Type="http://schemas.openxmlformats.org/officeDocument/2006/relationships/header" Target="header4.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ExMDE5OTIyMTg1IiwKCSJHcm91cElkIiA6ICIxMjI1NjE1MzAzIiwKCSJJbWFnZSIgOiAiaVZCT1J3MEtHZ29BQUFBTlNVaEVVZ0FBQlNBQUFBTUVDQVlBQUFDditJc0xBQUFBQVhOU1IwSUFyczRjNlFBQUlBQkpSRUZVZUp6czNYZVlWZFc5UC83M0dhb0tDcWdSTEpGZ0x4aFJ1U3FKOTFvVDlTb2FiK3l4bTJpc055b205a28wc1FXL2xoaTdNWnJZa2xpSkxURWFJeExFSzgwQVFXS1hMbldBbVRtL1A1VDVPVExBZ0xNNUFxL1g4L0E0WisyMTEva2NaUjgzYjliYUt3R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ZE9jdm5IN3d3NVVuOGhrQUFBQUFTVVZPUks1Q1lJST0iLAoJIlRoZW1lIiA6ICIiLAoJIlR5cGUiIDogImZsb3c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112</Pages>
  <Words>547</Words>
  <Characters>587</Characters>
  <Lines>1</Lines>
  <Paragraphs>1</Paragraphs>
  <TotalTime>0</TotalTime>
  <ScaleCrop>false</ScaleCrop>
  <LinksUpToDate>false</LinksUpToDate>
  <CharactersWithSpaces>601</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2018-11-02T07:34:00Z</dcterms:created>
  <dc:creator>濉风孜～此</dc:creator>
  <cp:lastModifiedBy>WPS_1603096137</cp:lastModifiedBy>
  <cp:lastPrinted>2023-03-31T01:43:00Z</cp:lastPrinted>
  <dcterms:modified xsi:type="dcterms:W3CDTF">2024-12-09T03:53:44Z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6FC826AC79B34604958D8058467E4FCB_13</vt:lpwstr>
  </property>
</Properties>
</file>